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СБСУ-03/12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3</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СБСУ-03/12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grdgtrgh</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lang w:val="ru-RU"/>
        </w:rPr>
        <w:t>ноль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ноль рублей ноль копеек</w:t>
      </w:r>
      <w:r>
        <w:rPr>
          <w:rFonts w:ascii="Times New Roman" w:hAnsi="Times New Roman"/>
          <w:sz w:val="22"/>
          <w:szCs w:val="22"/>
        </w:rPr>
        <w:t xml:space="preserve">). </w:t>
      </w:r>
    </w:p>
    <w:p w14:paraId="711341AE">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ru-RU"/>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grdgtrgh</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37140895">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1ED8DA35">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3EC17731">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36897BB9">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СБСУ-03/12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3</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grdgtrgh</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СБСУ-03/12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3</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56C0EAFF">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7299B997">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67C6F20"/>
    <w:rsid w:val="3E710DC9"/>
    <w:rsid w:val="4FA84F68"/>
    <w:rsid w:val="53ED1C4B"/>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2024-12-03T13:14:03Z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AB92E74D86FA47F38BBDF01BDE513F4D_13</vt:lpwstr>
  </property>
</Properties>
</file>