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D55272">
      <w:pPr>
        <w:pStyle w:val="2"/>
        <w:pageBreakBefore/>
        <w:ind w:left="0" w:right="0" w:firstLine="426"/>
        <w:rPr>
          <w:sz w:val="22"/>
          <w:szCs w:val="22"/>
        </w:rPr>
      </w:pPr>
      <w:r>
        <w:rPr>
          <w:sz w:val="22"/>
          <w:szCs w:val="22"/>
        </w:rPr>
        <w:t xml:space="preserve">ДОГОВОР № </w:t>
      </w:r>
      <w:r>
        <w:rPr>
          <w:sz w:val="22"/>
          <w:szCs w:val="22"/>
          <w:lang w:val="en-US"/>
        </w:rPr>
        <w:t>&lt;DOC_NUM&gt;</w:t>
      </w:r>
    </w:p>
    <w:p w14:paraId="204B0C47">
      <w:pPr>
        <w:pStyle w:val="9"/>
        <w:ind w:left="0" w:firstLine="426"/>
        <w:rPr>
          <w:rFonts w:ascii="Times New Roman" w:hAnsi="Times New Roman" w:cs="Times New Roman"/>
          <w:b/>
          <w:sz w:val="22"/>
          <w:szCs w:val="22"/>
        </w:rPr>
      </w:pPr>
    </w:p>
    <w:tbl>
      <w:tblPr>
        <w:tblStyle w:val="4"/>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13"/>
        <w:ind w:firstLine="426"/>
        <w:rPr>
          <w:rFonts w:ascii="Times New Roman" w:hAnsi="Times New Roman" w:cs="Times New Roman"/>
          <w:sz w:val="22"/>
          <w:szCs w:val="22"/>
          <w:lang w:val="en-US"/>
        </w:rPr>
      </w:pPr>
    </w:p>
    <w:p w14:paraId="2EAC0BC5">
      <w:pPr>
        <w:pStyle w:val="14"/>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15"/>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15"/>
        <w:tabs>
          <w:tab w:val="left" w:pos="709"/>
        </w:tabs>
        <w:ind w:left="1356" w:firstLine="0"/>
        <w:rPr>
          <w:rFonts w:ascii="Times New Roman" w:hAnsi="Times New Roman" w:cs="Times New Roman"/>
          <w:sz w:val="22"/>
          <w:szCs w:val="22"/>
        </w:rPr>
      </w:pPr>
    </w:p>
    <w:p w14:paraId="1CC0ABDB">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8"/>
        <w:ind w:firstLine="426"/>
        <w:jc w:val="center"/>
        <w:rPr>
          <w:rFonts w:ascii="Times New Roman" w:hAnsi="Times New Roman" w:cs="Times New Roman"/>
          <w:sz w:val="22"/>
          <w:szCs w:val="22"/>
        </w:rPr>
      </w:pPr>
    </w:p>
    <w:p w14:paraId="7748F133">
      <w:pPr>
        <w:pStyle w:val="15"/>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&lt;Avans&gt;</w:t>
      </w:r>
    </w:p>
    <w:p w14:paraId="6EEEDBBB">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15"/>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15"/>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15"/>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15"/>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15"/>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15"/>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15"/>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15"/>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15"/>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15"/>
        <w:ind w:left="0" w:firstLine="0"/>
        <w:rPr>
          <w:rFonts w:ascii="Times New Roman" w:hAnsi="Times New Roman" w:cs="Times New Roman"/>
          <w:sz w:val="22"/>
          <w:szCs w:val="22"/>
        </w:rPr>
      </w:pPr>
    </w:p>
    <w:p w14:paraId="5B542A0E">
      <w:pPr>
        <w:pStyle w:val="15"/>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15"/>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15"/>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11"/>
        <w:spacing w:after="0"/>
        <w:ind w:firstLine="426"/>
        <w:rPr>
          <w:sz w:val="22"/>
          <w:szCs w:val="22"/>
        </w:rPr>
      </w:pPr>
    </w:p>
    <w:p w14:paraId="68D10E2B">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5"/>
        <w:ind w:firstLine="426"/>
        <w:rPr>
          <w:rFonts w:ascii="Times New Roman" w:hAnsi="Times New Roman" w:cs="Times New Roman"/>
          <w:sz w:val="22"/>
          <w:szCs w:val="22"/>
        </w:rPr>
      </w:pPr>
    </w:p>
    <w:p w14:paraId="05686FF1">
      <w:pPr>
        <w:pStyle w:val="15"/>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15"/>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15"/>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15"/>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15"/>
        <w:ind w:left="0" w:firstLine="0"/>
        <w:rPr>
          <w:rFonts w:ascii="Times New Roman" w:hAnsi="Times New Roman" w:cs="Times New Roman"/>
          <w:sz w:val="22"/>
          <w:szCs w:val="22"/>
        </w:rPr>
      </w:pPr>
    </w:p>
    <w:p w14:paraId="430562EE">
      <w:pPr>
        <w:pStyle w:val="15"/>
        <w:ind w:left="0" w:firstLine="0"/>
        <w:rPr>
          <w:rFonts w:ascii="Times New Roman" w:hAnsi="Times New Roman" w:cs="Times New Roman"/>
          <w:sz w:val="22"/>
          <w:szCs w:val="22"/>
        </w:rPr>
      </w:pPr>
    </w:p>
    <w:p w14:paraId="39E6A8A3">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15"/>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15"/>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15"/>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15"/>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16"/>
        <w:ind w:left="0" w:right="-1" w:firstLine="426"/>
        <w:rPr>
          <w:rFonts w:ascii="Times New Roman" w:hAnsi="Times New Roman" w:cs="Times New Roman"/>
          <w:sz w:val="22"/>
          <w:szCs w:val="22"/>
        </w:rPr>
      </w:pPr>
    </w:p>
    <w:tbl>
      <w:tblPr>
        <w:tblStyle w:val="4"/>
        <w:tblW w:w="0" w:type="auto"/>
        <w:tblInd w:w="0" w:type="dxa"/>
        <w:tblLayout w:type="fixed"/>
        <w:tblCellMar>
          <w:top w:w="0" w:type="dxa"/>
          <w:left w:w="108" w:type="dxa"/>
          <w:bottom w:w="0" w:type="dxa"/>
          <w:right w:w="108" w:type="dxa"/>
        </w:tblCellMar>
      </w:tblPr>
      <w:tblGrid>
        <w:gridCol w:w="5211"/>
        <w:gridCol w:w="5103"/>
      </w:tblGrid>
      <w:tr w14:paraId="41831351">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355A762">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70A74E10">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1A2F068F">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50927BDE">
            <w:pPr>
              <w:rPr>
                <w:rFonts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 xml:space="preserve">&lt;OKPO&gt; </w:t>
            </w:r>
            <w:r>
              <w:rPr>
                <w:rFonts w:ascii="Times New Roman" w:hAnsi="Times New Roman" w:cs="Times New Roman"/>
                <w:sz w:val="22"/>
                <w:szCs w:val="22"/>
              </w:rPr>
              <w:t xml:space="preserve">ОГРН </w:t>
            </w:r>
            <w:r>
              <w:rPr>
                <w:rFonts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4"/>
        <w:tblW w:w="10113" w:type="dxa"/>
        <w:jc w:val="center"/>
        <w:tblLayout w:type="fixed"/>
        <w:tblCellMar>
          <w:top w:w="0" w:type="dxa"/>
          <w:left w:w="108" w:type="dxa"/>
          <w:bottom w:w="0" w:type="dxa"/>
          <w:right w:w="108" w:type="dxa"/>
        </w:tblCellMar>
      </w:tblPr>
      <w:tblGrid>
        <w:gridCol w:w="4915"/>
        <w:gridCol w:w="5198"/>
      </w:tblGrid>
      <w:tr w14:paraId="2C8B30C1">
        <w:tblPrEx>
          <w:tblCellMar>
            <w:top w:w="0" w:type="dxa"/>
            <w:left w:w="108" w:type="dxa"/>
            <w:bottom w:w="0" w:type="dxa"/>
            <w:right w:w="108" w:type="dxa"/>
          </w:tblCellMar>
        </w:tblPrEx>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17"/>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rPr>
              <w:t>&lt;</w:t>
            </w:r>
            <w:r>
              <w:rPr>
                <w:sz w:val="22"/>
                <w:szCs w:val="22"/>
                <w:lang w:val="en-US"/>
              </w:rPr>
              <w:t>ORG</w:t>
            </w:r>
            <w:r>
              <w:rPr>
                <w:sz w:val="22"/>
                <w:szCs w:val="22"/>
              </w:rPr>
              <w:t xml:space="preserve">&gt;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7"/>
        <w:tabs>
          <w:tab w:val="left" w:pos="7005"/>
        </w:tabs>
        <w:spacing w:line="240" w:lineRule="auto"/>
        <w:jc w:val="right"/>
        <w:rPr>
          <w:rFonts w:ascii="Times New Roman" w:hAnsi="Times New Roman"/>
          <w:sz w:val="22"/>
          <w:szCs w:val="22"/>
        </w:rPr>
      </w:pPr>
    </w:p>
    <w:p w14:paraId="39585D2A">
      <w:pPr>
        <w:pStyle w:val="7"/>
        <w:tabs>
          <w:tab w:val="left" w:pos="7005"/>
        </w:tabs>
        <w:spacing w:line="240" w:lineRule="auto"/>
        <w:jc w:val="right"/>
        <w:rPr>
          <w:rFonts w:ascii="Times New Roman" w:hAnsi="Times New Roman"/>
          <w:sz w:val="22"/>
          <w:szCs w:val="22"/>
        </w:rPr>
      </w:pPr>
    </w:p>
    <w:p w14:paraId="250C95E3">
      <w:pPr>
        <w:pStyle w:val="7"/>
        <w:tabs>
          <w:tab w:val="left" w:pos="7005"/>
        </w:tabs>
        <w:spacing w:line="240" w:lineRule="auto"/>
        <w:jc w:val="right"/>
        <w:rPr>
          <w:rFonts w:ascii="Times New Roman" w:hAnsi="Times New Roman"/>
          <w:sz w:val="22"/>
          <w:szCs w:val="22"/>
        </w:rPr>
      </w:pPr>
    </w:p>
    <w:p w14:paraId="6D56DDBC">
      <w:pPr>
        <w:pStyle w:val="7"/>
        <w:tabs>
          <w:tab w:val="left" w:pos="7005"/>
        </w:tabs>
        <w:spacing w:line="240" w:lineRule="auto"/>
        <w:rPr>
          <w:rFonts w:ascii="Times New Roman" w:hAnsi="Times New Roman"/>
          <w:sz w:val="22"/>
          <w:szCs w:val="22"/>
          <w:lang w:val="en-US"/>
        </w:rPr>
      </w:pPr>
    </w:p>
    <w:p w14:paraId="72BDD3B4">
      <w:pPr>
        <w:pStyle w:val="7"/>
        <w:tabs>
          <w:tab w:val="left" w:pos="7005"/>
        </w:tabs>
        <w:spacing w:line="240" w:lineRule="auto"/>
        <w:jc w:val="right"/>
        <w:rPr>
          <w:rFonts w:ascii="Times New Roman" w:hAnsi="Times New Roman"/>
          <w:sz w:val="22"/>
          <w:szCs w:val="22"/>
        </w:rPr>
      </w:pPr>
    </w:p>
    <w:p w14:paraId="7049E1B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7"/>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7"/>
        <w:spacing w:line="240" w:lineRule="auto"/>
        <w:jc w:val="center"/>
        <w:rPr>
          <w:rFonts w:ascii="Times New Roman" w:hAnsi="Times New Roman"/>
          <w:b/>
          <w:sz w:val="22"/>
          <w:szCs w:val="22"/>
          <w:lang w:val="en-US"/>
        </w:rPr>
      </w:pPr>
    </w:p>
    <w:p w14:paraId="047DF9E6">
      <w:pPr>
        <w:pStyle w:val="7"/>
        <w:spacing w:line="240" w:lineRule="auto"/>
        <w:jc w:val="center"/>
        <w:rPr>
          <w:rFonts w:ascii="Times New Roman" w:hAnsi="Times New Roman"/>
          <w:b/>
          <w:sz w:val="22"/>
          <w:szCs w:val="22"/>
          <w:lang w:val="en-US"/>
        </w:rPr>
      </w:pPr>
    </w:p>
    <w:p w14:paraId="13CE52C3">
      <w:pPr>
        <w:pStyle w:val="7"/>
        <w:spacing w:line="240" w:lineRule="auto"/>
        <w:jc w:val="center"/>
        <w:rPr>
          <w:rFonts w:ascii="Times New Roman" w:hAnsi="Times New Roman"/>
          <w:b/>
          <w:sz w:val="22"/>
          <w:szCs w:val="22"/>
          <w:lang w:val="en-US"/>
        </w:rPr>
      </w:pPr>
    </w:p>
    <w:p w14:paraId="541AA5F4">
      <w:pPr>
        <w:pStyle w:val="7"/>
        <w:spacing w:line="240" w:lineRule="auto"/>
        <w:jc w:val="center"/>
        <w:rPr>
          <w:rFonts w:ascii="Times New Roman" w:hAnsi="Times New Roman"/>
          <w:b/>
          <w:sz w:val="22"/>
          <w:szCs w:val="22"/>
          <w:lang w:val="en-US"/>
        </w:rPr>
      </w:pPr>
    </w:p>
    <w:p w14:paraId="0C329EC4">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1769E5D8">
      <w:pPr>
        <w:pStyle w:val="7"/>
        <w:jc w:val="center"/>
        <w:rPr>
          <w:rFonts w:hint="default" w:ascii="Times New Roman" w:hAnsi="Times New Roman"/>
          <w:sz w:val="22"/>
          <w:szCs w:val="22"/>
          <w:lang w:val="en-US"/>
        </w:rPr>
      </w:pPr>
      <w:r>
        <w:rPr>
          <w:rFonts w:hint="default" w:ascii="Times New Roman" w:hAnsi="Times New Roman"/>
          <w:sz w:val="22"/>
          <w:szCs w:val="22"/>
          <w:lang w:val="en-US"/>
        </w:rPr>
        <w:t>&lt;Table&gt;</w:t>
      </w:r>
    </w:p>
    <w:tbl>
      <w:tblPr>
        <w:tblStyle w:val="4"/>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 п/п</w:t>
            </w:r>
          </w:p>
          <w:p w14:paraId="57B95787">
            <w:pPr>
              <w:suppressAutoHyphens w:val="0"/>
              <w:jc w:val="center"/>
              <w:rPr>
                <w:rFonts w:ascii="Times New Roman" w:hAnsi="Times New Roman" w:cs="Times New Roman"/>
                <w:color w:val="000000"/>
                <w:sz w:val="24"/>
                <w:szCs w:val="24"/>
                <w:highlight w:val="none"/>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Наименование работ</w:t>
            </w:r>
          </w:p>
          <w:p w14:paraId="46B442DB">
            <w:pPr>
              <w:suppressAutoHyphens w:val="0"/>
              <w:jc w:val="center"/>
              <w:rPr>
                <w:rFonts w:ascii="Times New Roman" w:hAnsi="Times New Roman" w:cs="Times New Roman"/>
                <w:color w:val="000000"/>
                <w:sz w:val="24"/>
                <w:szCs w:val="24"/>
                <w:highlight w:val="none"/>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Объем</w:t>
            </w:r>
          </w:p>
          <w:p w14:paraId="33CD2316">
            <w:pPr>
              <w:suppressAutoHyphens w:val="0"/>
              <w:jc w:val="center"/>
              <w:rPr>
                <w:rFonts w:ascii="Times New Roman" w:hAnsi="Times New Roman" w:cs="Times New Roman"/>
                <w:color w:val="000000"/>
                <w:sz w:val="24"/>
                <w:szCs w:val="24"/>
                <w:highlight w:val="none"/>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Ед. измер.</w:t>
            </w:r>
          </w:p>
          <w:p w14:paraId="5F4982D5">
            <w:pPr>
              <w:suppressAutoHyphens w:val="0"/>
              <w:jc w:val="center"/>
              <w:rPr>
                <w:rFonts w:ascii="Times New Roman" w:hAnsi="Times New Roman" w:cs="Times New Roman"/>
                <w:color w:val="000000"/>
                <w:sz w:val="24"/>
                <w:szCs w:val="24"/>
                <w:highlight w:val="none"/>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Цена за ед.</w:t>
            </w:r>
          </w:p>
          <w:p w14:paraId="391AAF83">
            <w:pPr>
              <w:suppressAutoHyphens w:val="0"/>
              <w:jc w:val="center"/>
              <w:rPr>
                <w:rFonts w:ascii="Times New Roman" w:hAnsi="Times New Roman" w:cs="Times New Roman"/>
                <w:color w:val="000000"/>
                <w:sz w:val="24"/>
                <w:szCs w:val="24"/>
                <w:highlight w:val="none"/>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Стоимость работ</w:t>
            </w:r>
          </w:p>
          <w:p w14:paraId="5EEFF765">
            <w:pPr>
              <w:suppressAutoHyphens w:val="0"/>
              <w:jc w:val="center"/>
              <w:rPr>
                <w:rFonts w:ascii="Times New Roman" w:hAnsi="Times New Roman" w:cs="Times New Roman"/>
                <w:color w:val="000000"/>
                <w:sz w:val="24"/>
                <w:szCs w:val="24"/>
                <w:highlight w:val="none"/>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none"/>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none"/>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none"/>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none"/>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none"/>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none"/>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 xml:space="preserve">Устройство переходов методом ГНБ , прокладка 1-ой трубы </w:t>
            </w:r>
            <w:r>
              <w:rPr>
                <w:rFonts w:ascii="Times New Roman" w:hAnsi="Times New Roman" w:cs="Times New Roman"/>
                <w:color w:val="000000"/>
                <w:highlight w:val="none"/>
                <w:lang w:val="en-US"/>
              </w:rPr>
              <w:t>d</w:t>
            </w:r>
            <w:r>
              <w:rPr>
                <w:rFonts w:ascii="Times New Roman" w:hAnsi="Times New Roman" w:cs="Times New Roman"/>
                <w:color w:val="000000"/>
                <w:highlight w:val="none"/>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none"/>
              </w:rPr>
            </w:pPr>
            <w:r>
              <w:rPr>
                <w:rFonts w:ascii="Times New Roman" w:hAnsi="Times New Roman" w:cs="Times New Roman"/>
                <w:color w:val="000000"/>
                <w:highlight w:val="none"/>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none"/>
                <w:lang w:eastAsia="ru-RU"/>
              </w:rPr>
            </w:pPr>
            <w:r>
              <w:rPr>
                <w:rFonts w:ascii="Times New Roman" w:hAnsi="Times New Roman" w:cs="Times New Roman"/>
                <w:b/>
                <w:bCs/>
                <w:color w:val="000000"/>
                <w:sz w:val="24"/>
                <w:szCs w:val="24"/>
                <w:highlight w:val="none"/>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none"/>
                <w:lang w:val="en-US" w:eastAsia="ru-RU"/>
              </w:rPr>
            </w:pPr>
            <w:r>
              <w:rPr>
                <w:rFonts w:ascii="Times New Roman" w:hAnsi="Times New Roman" w:cs="Times New Roman"/>
                <w:b/>
                <w:bCs/>
                <w:color w:val="000000"/>
                <w:sz w:val="24"/>
                <w:szCs w:val="24"/>
                <w:highlight w:val="none"/>
              </w:rPr>
              <w:t>50 000,00</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4"/>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17"/>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&lt;ORG&gt;</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&lt;DIR&gt;</w:t>
            </w:r>
            <w:r>
              <w:rPr>
                <w:rFonts w:ascii="Times New Roman" w:hAnsi="Times New Roman" w:cs="Times New Roman"/>
                <w:color w:val="000000"/>
                <w:sz w:val="22"/>
                <w:szCs w:val="22"/>
              </w:rPr>
              <w:t>/</w:t>
            </w:r>
          </w:p>
        </w:tc>
      </w:tr>
    </w:tbl>
    <w:p w14:paraId="2B8C411B"/>
    <w:p w14:paraId="0B5FBF20">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45C8C"/>
    <w:rsid w:val="43745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7"/>
    <w:qFormat/>
    <w:uiPriority w:val="0"/>
    <w:pPr>
      <w:ind w:right="142"/>
    </w:pPr>
    <w:rPr>
      <w:rFonts w:ascii="Tahoma" w:hAnsi="Tahoma" w:cs="Tahoma"/>
      <w:sz w:val="24"/>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3">
    <w:name w:val="Основной текст 21"/>
    <w:basedOn w:val="1"/>
    <w:qFormat/>
    <w:uiPriority w:val="0"/>
    <w:pPr>
      <w:jc w:val="both"/>
    </w:pPr>
    <w:rPr>
      <w:rFonts w:ascii="Tahoma" w:hAnsi="Tahoma" w:cs="Tahoma"/>
      <w:sz w:val="24"/>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15">
    <w:name w:val="Основной текст с отступом 22"/>
    <w:basedOn w:val="1"/>
    <w:qFormat/>
    <w:uiPriority w:val="0"/>
    <w:pPr>
      <w:ind w:left="567" w:hanging="567"/>
      <w:jc w:val="both"/>
    </w:pPr>
    <w:rPr>
      <w:rFonts w:ascii="Tahoma" w:hAnsi="Tahoma" w:cs="Tahoma"/>
    </w:rPr>
  </w:style>
  <w:style w:type="paragraph" w:customStyle="1" w:styleId="16">
    <w:name w:val="Основной текст 24"/>
    <w:basedOn w:val="1"/>
    <w:qFormat/>
    <w:uiPriority w:val="0"/>
    <w:pPr>
      <w:spacing w:line="240" w:lineRule="atLeast"/>
      <w:ind w:left="567" w:firstLine="567"/>
      <w:jc w:val="both"/>
    </w:pPr>
    <w:rPr>
      <w:rFonts w:ascii="Tahoma" w:hAnsi="Tahoma" w:cs="Tahoma"/>
    </w:rPr>
  </w:style>
  <w:style w:type="paragraph" w:customStyle="1" w:styleId="17">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2024-11-24T17:26:00Z</dcterms:created>
  <dc:creator>Pekarnya</dc:creator>
  <cp:lastModifiedBy>Pekarnya</cp:lastModifiedBy>
  <dcterms:modified xsi:type="dcterms:W3CDTF">2024-11-24T17:27:40Z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DAD5BB38BDBF4AE9BB6943E6F396F14B_11</vt:lpwstr>
  </property>
</Properties>
</file>