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2"/>
        </w:rPr>
        <w:t>PRODUCT REQUIREMENTS DOCUMENT</w:t>
      </w:r>
    </w:p>
    <w:p>
      <w:pPr>
        <w:spacing w:after="80"/>
      </w:pPr>
      <w:r>
        <w:rPr>
          <w:rFonts w:ascii="Calibri" w:hAnsi="Calibri"/>
          <w:b/>
          <w:color w:val="000000"/>
          <w:sz w:val="56"/>
        </w:rPr>
        <w:t>Prastuti</w:t>
      </w:r>
    </w:p>
    <w:p>
      <w:pPr>
        <w:spacing w:after="300"/>
      </w:pPr>
      <w:r>
        <w:rPr>
          <w:rFonts w:ascii="Calibri" w:hAnsi="Calibri"/>
          <w:color w:val="5B6573"/>
          <w:sz w:val="28"/>
        </w:rPr>
        <w:t>India-first real-time presentation and classroom translation</w:t>
      </w:r>
    </w:p>
    <w:p>
      <w:pPr>
        <w:spacing w:before="0" w:after="40" w:line="240" w:lineRule="auto"/>
      </w:pPr>
      <w:r>
        <w:rPr>
          <w:rFonts w:ascii="Calibri" w:hAnsi="Calibri"/>
          <w:b/>
          <w:color w:val="000000"/>
          <w:sz w:val="21"/>
        </w:rPr>
        <w:t xml:space="preserve">Document owner: </w:t>
      </w:r>
      <w:r>
        <w:rPr>
          <w:rFonts w:ascii="Calibri" w:hAnsi="Calibri"/>
          <w:color w:val="1F2937"/>
          <w:sz w:val="21"/>
        </w:rPr>
        <w:t>Product &amp; Engineering</w:t>
      </w:r>
    </w:p>
    <w:p>
      <w:pPr>
        <w:spacing w:before="0" w:after="40" w:line="240" w:lineRule="auto"/>
      </w:pPr>
      <w:r>
        <w:rPr>
          <w:rFonts w:ascii="Calibri" w:hAnsi="Calibri"/>
          <w:b/>
          <w:color w:val="000000"/>
          <w:sz w:val="21"/>
        </w:rPr>
        <w:t xml:space="preserve">Status: </w:t>
      </w:r>
      <w:r>
        <w:rPr>
          <w:rFonts w:ascii="Calibri" w:hAnsi="Calibri"/>
          <w:color w:val="1F2937"/>
          <w:sz w:val="21"/>
        </w:rPr>
        <w:t>Draft for discovery and pilot planning</w:t>
      </w:r>
    </w:p>
    <w:p>
      <w:pPr>
        <w:spacing w:before="0" w:after="40" w:line="240" w:lineRule="auto"/>
      </w:pPr>
      <w:r>
        <w:rPr>
          <w:rFonts w:ascii="Calibri" w:hAnsi="Calibri"/>
          <w:b/>
          <w:color w:val="000000"/>
          <w:sz w:val="21"/>
        </w:rPr>
        <w:t xml:space="preserve">Version: </w:t>
      </w:r>
      <w:r>
        <w:rPr>
          <w:rFonts w:ascii="Calibri" w:hAnsi="Calibri"/>
          <w:color w:val="1F2937"/>
          <w:sz w:val="21"/>
        </w:rPr>
        <w:t>1.2</w:t>
      </w:r>
    </w:p>
    <w:p>
      <w:pPr>
        <w:spacing w:before="0" w:after="40" w:line="240" w:lineRule="auto"/>
      </w:pPr>
      <w:r>
        <w:rPr>
          <w:rFonts w:ascii="Calibri" w:hAnsi="Calibri"/>
          <w:b/>
          <w:color w:val="000000"/>
          <w:sz w:val="21"/>
        </w:rPr>
        <w:t xml:space="preserve">Date: </w:t>
      </w:r>
      <w:r>
        <w:rPr>
          <w:rFonts w:ascii="Calibri" w:hAnsi="Calibri"/>
          <w:color w:val="1F2937"/>
          <w:sz w:val="21"/>
        </w:rPr>
        <w:t>23 July 2026</w:t>
      </w:r>
    </w:p>
    <w:p>
      <w:pPr>
        <w:spacing w:before="0" w:after="40" w:line="240" w:lineRule="auto"/>
      </w:pPr>
      <w:r>
        <w:rPr>
          <w:rFonts w:ascii="Calibri" w:hAnsi="Calibri"/>
          <w:b/>
          <w:color w:val="000000"/>
          <w:sz w:val="21"/>
        </w:rPr>
        <w:t xml:space="preserve">Initial pilot: </w:t>
      </w:r>
      <w:r>
        <w:rPr>
          <w:rFonts w:ascii="Calibri" w:hAnsi="Calibri"/>
          <w:color w:val="1F2937"/>
          <w:sz w:val="21"/>
        </w:rPr>
        <w:t>MicroDegree technical training sessions</w:t>
      </w:r>
    </w:p>
    <w:p>
      <w:pPr>
        <w:spacing w:before="0" w:after="40" w:line="240" w:lineRule="auto"/>
      </w:pPr>
      <w:r>
        <w:rPr>
          <w:rFonts w:ascii="Calibri" w:hAnsi="Calibri"/>
          <w:b/>
          <w:color w:val="000000"/>
          <w:sz w:val="21"/>
        </w:rPr>
        <w:t xml:space="preserve">Launch languages: </w:t>
      </w:r>
      <w:r>
        <w:rPr>
          <w:rFonts w:ascii="Calibri" w:hAnsi="Calibri"/>
          <w:color w:val="1F2937"/>
          <w:sz w:val="21"/>
        </w:rPr>
        <w:t>Kannada, English, Hindi, Telugu</w:t>
      </w:r>
    </w:p>
    <w:p>
      <w:pPr>
        <w:spacing w:before="160" w:after="240"/>
        <w:pBdr>
          <w:bottom w:val="single" w:sz="18" w:space="8" w:color="2E74B5"/>
        </w:pBdr>
      </w:pPr>
    </w:p>
    <w:p>
      <w:pPr>
        <w:spacing w:before="100" w:after="200" w:line="269" w:lineRule="auto"/>
        <w:ind w:left="160" w:right="160"/>
        <w:shd w:fill="F4F6F9"/>
        <w:pBdr>
          <w:left w:val="single" w:sz="18" w:space="8" w:color="2E74B5"/>
        </w:pBdr>
      </w:pPr>
      <w:r>
        <w:rPr>
          <w:rFonts w:ascii="Calibri" w:hAnsi="Calibri"/>
          <w:b/>
          <w:color w:val="2E74B5"/>
          <w:sz w:val="21"/>
        </w:rPr>
        <w:t xml:space="preserve">Product thesis: </w:t>
      </w:r>
      <w:r>
        <w:rPr>
          <w:rFonts w:ascii="Calibri" w:hAnsi="Calibri"/>
          <w:color w:val="1F2937"/>
          <w:sz w:val="21"/>
        </w:rPr>
        <w:t>A presenter speaks once; every attendee listens and reads in a preferred Indian language using only a phone and headphones—without installing an app or using interpretation equipment.</w:t>
      </w:r>
    </w:p>
    <w:p>
      <w:pPr>
        <w:pStyle w:val="Heading1"/>
      </w:pPr>
      <w:r>
        <w:t>1. Executive summary</w:t>
      </w:r>
    </w:p>
    <w:p>
      <w:pPr/>
      <w:r>
        <w:rPr>
          <w:rFonts w:ascii="Calibri" w:hAnsi="Calibri"/>
        </w:rPr>
        <w:t>Prastuti is a browser-based, one-to-many live translation platform for classrooms, training programs, and presentations. The product captures a presenter’s audio, produces source captions, applies presentation context and terminology, incrementally translates into requested languages, synthesizes one shared audio stream per language, and delivers audio plus bilingual captions to attendee phones.</w:t>
      </w:r>
    </w:p>
    <w:p>
      <w:pPr/>
      <w:r>
        <w:rPr>
          <w:rFonts w:ascii="Calibri" w:hAnsi="Calibri"/>
        </w:rPr>
        <w:t>The initial wedge is multilingual technical education in India, where presenters frequently code-switch between an Indian language and English. The MVP focuses on Kannada-led training with English, Hindi, and Telugu outputs, up to 100 attendees, and no attendee login.</w:t>
      </w:r>
    </w:p>
    <w:p>
      <w:pPr/>
      <w:r>
        <w:rPr>
          <w:rFonts w:ascii="Calibri" w:hAnsi="Calibri"/>
        </w:rPr>
        <w:t>The product is differentiated by Indian code-switching accuracy, presentation-aware terminology, low-bandwidth delivery, correction reuse, and cost-efficient language-channel fan-out—not by proprietary speech models.</w:t>
      </w:r>
    </w:p>
    <w:p>
      <w:pPr>
        <w:pStyle w:val="Heading1"/>
      </w:pPr>
      <w:r>
        <w:t>2. Product definition</w:t>
      </w:r>
    </w:p>
    <w:p>
      <w:pPr>
        <w:pStyle w:val="Heading2"/>
      </w:pPr>
      <w:r>
        <w:t>2.1 Problem</w:t>
      </w:r>
    </w:p>
    <w:p>
      <w:pPr/>
      <w:r>
        <w:rPr>
          <w:rFonts w:ascii="Calibri" w:hAnsi="Calibri"/>
        </w:rPr>
        <w:t>Presentations and technical classes often exclude attendees who are not fluent in the presenter’s language. Conventional interpretation requires specialist equipment, interpreters, or event-specific setup. Generic speech translation can mishandle Indian code-switching, technical vocabulary, names, numbers, and weak venue connectivity.</w:t>
      </w:r>
    </w:p>
    <w:p>
      <w:pPr>
        <w:pStyle w:val="Heading2"/>
      </w:pPr>
      <w:r>
        <w:t>2.2 Vision</w:t>
      </w:r>
    </w:p>
    <w:p>
      <w:pPr>
        <w:spacing w:before="100" w:after="200" w:line="269" w:lineRule="auto"/>
        <w:ind w:left="160" w:right="160"/>
        <w:shd w:fill="F4F6F9"/>
        <w:pBdr>
          <w:left w:val="single" w:sz="18" w:space="8" w:color="1F4D78"/>
        </w:pBdr>
      </w:pPr>
      <w:r>
        <w:rPr>
          <w:rFonts w:ascii="Calibri" w:hAnsi="Calibri"/>
          <w:b/>
          <w:color w:val="1F4D78"/>
          <w:sz w:val="21"/>
        </w:rPr>
        <w:t xml:space="preserve">Vision: </w:t>
      </w:r>
      <w:r>
        <w:rPr>
          <w:rFonts w:ascii="Calibri" w:hAnsi="Calibri"/>
          <w:color w:val="1F2937"/>
          <w:sz w:val="21"/>
        </w:rPr>
        <w:t>Speak once. Everyone listens in their own language.</w:t>
      </w:r>
    </w:p>
    <w:p>
      <w:pPr>
        <w:pStyle w:val="Heading2"/>
      </w:pPr>
      <w:r>
        <w:t>2.3 Positioning</w:t>
      </w:r>
    </w:p>
    <w:p>
      <w:pPr/>
      <w:r>
        <w:rPr>
          <w:rFonts w:ascii="Calibri" w:hAnsi="Calibri"/>
        </w:rPr>
        <w:t>For Indian training providers and educational institutions that need to serve multilingual audiences, Prastuti is a browser-based live translation platform that delivers shared translated audio and captions on attendee phones. Unlike generic event translators, it is designed for Indian code-switching, presentation context, technical terminology, affordability, and variable connectivity.</w:t>
      </w:r>
    </w:p>
    <w:p>
      <w:pPr>
        <w:pStyle w:val="Heading2"/>
      </w:pPr>
      <w:r>
        <w:t>2.4 Value proposition</w:t>
      </w:r>
    </w:p>
    <w:p>
      <w:pPr>
        <w:spacing w:after="160" w:line="280" w:lineRule="auto"/>
        <w:numPr>
          <w:ilvl w:val="0"/>
          <w:numId w:val="10"/>
        </w:numPr>
      </w:pPr>
      <w:r>
        <w:rPr>
          <w:rFonts w:ascii="Calibri" w:hAnsi="Calibri"/>
        </w:rPr>
        <w:t>Attendees join in seconds by scanning a QR code; no installation, account, or receiver hardware is required.</w:t>
      </w:r>
    </w:p>
    <w:p>
      <w:pPr>
        <w:spacing w:after="160" w:line="280" w:lineRule="auto"/>
        <w:numPr>
          <w:ilvl w:val="0"/>
          <w:numId w:val="10"/>
        </w:numPr>
      </w:pPr>
      <w:r>
        <w:rPr>
          <w:rFonts w:ascii="Calibri" w:hAnsi="Calibri"/>
        </w:rPr>
        <w:t>Presenters upload slides and glossaries so domain terms, names, abbreviations, and numbers survive transcription and translation.</w:t>
      </w:r>
    </w:p>
    <w:p>
      <w:pPr>
        <w:spacing w:after="160" w:line="280" w:lineRule="auto"/>
        <w:numPr>
          <w:ilvl w:val="0"/>
          <w:numId w:val="10"/>
        </w:numPr>
      </w:pPr>
      <w:r>
        <w:rPr>
          <w:rFonts w:ascii="Calibri" w:hAnsi="Calibri"/>
        </w:rPr>
        <w:t>Organizers load prepaid credits and pay only for metered session usage rather than buying a subscription plan or per-attendee AI generation.</w:t>
      </w:r>
    </w:p>
    <w:p>
      <w:pPr>
        <w:spacing w:after="160" w:line="280" w:lineRule="auto"/>
        <w:numPr>
          <w:ilvl w:val="0"/>
          <w:numId w:val="10"/>
        </w:numPr>
      </w:pPr>
      <w:r>
        <w:rPr>
          <w:rFonts w:ascii="Calibri" w:hAnsi="Calibri"/>
        </w:rPr>
        <w:t>Training teams receive multilingual transcripts, notes, summaries, captions, and language analytics after the event.</w:t>
      </w:r>
    </w:p>
    <w:p>
      <w:pPr>
        <w:pStyle w:val="Heading1"/>
      </w:pPr>
      <w:r>
        <w:t>3. Goals, non-goals, and principles</w:t>
      </w:r>
    </w:p>
    <w:p>
      <w:pPr>
        <w:pStyle w:val="Heading2"/>
      </w:pPr>
      <w:r>
        <w:t>3.1 MVP goals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5700"/>
        <w:gridCol w:w="276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Goal</w:t>
            </w:r>
          </w:p>
        </w:tc>
        <w:tc>
          <w:tcPr>
            <w:tcW w:type="dxa" w:w="57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Outcome</w:t>
            </w:r>
          </w:p>
        </w:tc>
        <w:tc>
          <w:tcPr>
            <w:tcW w:type="dxa" w:w="27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Measure</w:t>
            </w:r>
          </w:p>
        </w:tc>
      </w:tr>
      <w:tr>
        <w:trPr>
          <w:cantSplit/>
        </w:trPr>
        <w:tc>
          <w:tcPr>
            <w:tcW w:type="dxa" w:w="900"/>
          </w:tcPr>
          <w:p>
            <w:pPr>
              <w:spacing w:before="0" w:after="0" w:line="259" w:lineRule="auto"/>
            </w:pPr>
            <w:r>
              <w:rPr>
                <w:rFonts w:ascii="Calibri" w:hAnsi="Calibri"/>
                <w:b/>
                <w:color w:val="1F2937"/>
                <w:sz w:val="18"/>
              </w:rPr>
              <w:t>G1</w:t>
            </w:r>
          </w:p>
        </w:tc>
        <w:tc>
          <w:tcPr>
            <w:tcW w:type="dxa" w:w="5700"/>
          </w:tcPr>
          <w:p>
            <w:pPr>
              <w:spacing w:before="0" w:after="0" w:line="259" w:lineRule="auto"/>
            </w:pPr>
            <w:r>
              <w:rPr>
                <w:rFonts w:ascii="Calibri" w:hAnsi="Calibri"/>
                <w:color w:val="1F2937"/>
                <w:sz w:val="18"/>
              </w:rPr>
              <w:t>Enable a Kannada- or English-speaking presenter to broadcast translated captions and audio in up to three target languages.</w:t>
            </w:r>
          </w:p>
        </w:tc>
        <w:tc>
          <w:tcPr>
            <w:tcW w:type="dxa" w:w="2760"/>
          </w:tcPr>
          <w:p>
            <w:pPr>
              <w:spacing w:before="0" w:after="0" w:line="259" w:lineRule="auto"/>
            </w:pPr>
            <w:r>
              <w:rPr>
                <w:rFonts w:ascii="Calibri" w:hAnsi="Calibri"/>
                <w:color w:val="1F2937"/>
                <w:sz w:val="18"/>
              </w:rPr>
              <w:t>Pilot completion</w:t>
            </w:r>
          </w:p>
        </w:tc>
      </w:tr>
      <w:tr>
        <w:trPr>
          <w:cantSplit/>
        </w:trPr>
        <w:tc>
          <w:tcPr>
            <w:tcW w:type="dxa" w:w="900"/>
          </w:tcPr>
          <w:p>
            <w:pPr>
              <w:spacing w:before="0" w:after="0" w:line="259" w:lineRule="auto"/>
            </w:pPr>
            <w:r>
              <w:rPr>
                <w:rFonts w:ascii="Calibri" w:hAnsi="Calibri"/>
                <w:b/>
                <w:color w:val="1F2937"/>
                <w:sz w:val="18"/>
              </w:rPr>
              <w:t>G2</w:t>
            </w:r>
          </w:p>
        </w:tc>
        <w:tc>
          <w:tcPr>
            <w:tcW w:type="dxa" w:w="5700"/>
          </w:tcPr>
          <w:p>
            <w:pPr>
              <w:spacing w:before="0" w:after="0" w:line="259" w:lineRule="auto"/>
            </w:pPr>
            <w:r>
              <w:rPr>
                <w:rFonts w:ascii="Calibri" w:hAnsi="Calibri"/>
                <w:color w:val="1F2937"/>
                <w:sz w:val="18"/>
              </w:rPr>
              <w:t>Let attendees join from a mobile browser and start listening within 30 seconds of scanning the QR code.</w:t>
            </w:r>
          </w:p>
        </w:tc>
        <w:tc>
          <w:tcPr>
            <w:tcW w:type="dxa" w:w="2760"/>
          </w:tcPr>
          <w:p>
            <w:pPr>
              <w:spacing w:before="0" w:after="0" w:line="259" w:lineRule="auto"/>
            </w:pPr>
            <w:r>
              <w:rPr>
                <w:rFonts w:ascii="Calibri" w:hAnsi="Calibri"/>
                <w:color w:val="1F2937"/>
                <w:sz w:val="18"/>
              </w:rPr>
              <w:t>Median join time</w:t>
            </w:r>
          </w:p>
        </w:tc>
      </w:tr>
      <w:tr>
        <w:trPr>
          <w:cantSplit/>
        </w:trPr>
        <w:tc>
          <w:tcPr>
            <w:tcW w:type="dxa" w:w="900"/>
          </w:tcPr>
          <w:p>
            <w:pPr>
              <w:spacing w:before="0" w:after="0" w:line="259" w:lineRule="auto"/>
            </w:pPr>
            <w:r>
              <w:rPr>
                <w:rFonts w:ascii="Calibri" w:hAnsi="Calibri"/>
                <w:b/>
                <w:color w:val="1F2937"/>
                <w:sz w:val="18"/>
              </w:rPr>
              <w:t>G3</w:t>
            </w:r>
          </w:p>
        </w:tc>
        <w:tc>
          <w:tcPr>
            <w:tcW w:type="dxa" w:w="5700"/>
          </w:tcPr>
          <w:p>
            <w:pPr>
              <w:spacing w:before="0" w:after="0" w:line="259" w:lineRule="auto"/>
            </w:pPr>
            <w:r>
              <w:rPr>
                <w:rFonts w:ascii="Calibri" w:hAnsi="Calibri"/>
                <w:color w:val="1F2937"/>
                <w:sz w:val="18"/>
              </w:rPr>
              <w:t>Maintain conversational continuity with captions first and translated audio following at an internal median target of 3 seconds end to end.</w:t>
            </w:r>
          </w:p>
        </w:tc>
        <w:tc>
          <w:tcPr>
            <w:tcW w:type="dxa" w:w="2760"/>
          </w:tcPr>
          <w:p>
            <w:pPr>
              <w:spacing w:before="0" w:after="0" w:line="259" w:lineRule="auto"/>
            </w:pPr>
            <w:r>
              <w:rPr>
                <w:rFonts w:ascii="Calibri" w:hAnsi="Calibri"/>
                <w:color w:val="1F2937"/>
                <w:sz w:val="18"/>
              </w:rPr>
              <w:t>Stage and E2E latency</w:t>
            </w:r>
          </w:p>
        </w:tc>
      </w:tr>
      <w:tr>
        <w:trPr>
          <w:cantSplit/>
        </w:trPr>
        <w:tc>
          <w:tcPr>
            <w:tcW w:type="dxa" w:w="900"/>
          </w:tcPr>
          <w:p>
            <w:pPr>
              <w:spacing w:before="0" w:after="0" w:line="259" w:lineRule="auto"/>
            </w:pPr>
            <w:r>
              <w:rPr>
                <w:rFonts w:ascii="Calibri" w:hAnsi="Calibri"/>
                <w:b/>
                <w:color w:val="1F2937"/>
                <w:sz w:val="18"/>
              </w:rPr>
              <w:t>G4</w:t>
            </w:r>
          </w:p>
        </w:tc>
        <w:tc>
          <w:tcPr>
            <w:tcW w:type="dxa" w:w="5700"/>
          </w:tcPr>
          <w:p>
            <w:pPr>
              <w:spacing w:before="0" w:after="0" w:line="259" w:lineRule="auto"/>
            </w:pPr>
            <w:r>
              <w:rPr>
                <w:rFonts w:ascii="Calibri" w:hAnsi="Calibri"/>
                <w:color w:val="1F2937"/>
                <w:sz w:val="18"/>
              </w:rPr>
              <w:t>Improve technical-term handling through slide, glossary, and speaker-context ingestion.</w:t>
            </w:r>
          </w:p>
        </w:tc>
        <w:tc>
          <w:tcPr>
            <w:tcW w:type="dxa" w:w="2760"/>
          </w:tcPr>
          <w:p>
            <w:pPr>
              <w:spacing w:before="0" w:after="0" w:line="259" w:lineRule="auto"/>
            </w:pPr>
            <w:r>
              <w:rPr>
                <w:rFonts w:ascii="Calibri" w:hAnsi="Calibri"/>
                <w:color w:val="1F2937"/>
                <w:sz w:val="18"/>
              </w:rPr>
              <w:t>Term accuracy</w:t>
            </w:r>
          </w:p>
        </w:tc>
      </w:tr>
      <w:tr>
        <w:trPr>
          <w:cantSplit/>
        </w:trPr>
        <w:tc>
          <w:tcPr>
            <w:tcW w:type="dxa" w:w="900"/>
          </w:tcPr>
          <w:p>
            <w:pPr>
              <w:spacing w:before="0" w:after="0" w:line="259" w:lineRule="auto"/>
            </w:pPr>
            <w:r>
              <w:rPr>
                <w:rFonts w:ascii="Calibri" w:hAnsi="Calibri"/>
                <w:b/>
                <w:color w:val="1F2937"/>
                <w:sz w:val="18"/>
              </w:rPr>
              <w:t>G5</w:t>
            </w:r>
          </w:p>
        </w:tc>
        <w:tc>
          <w:tcPr>
            <w:tcW w:type="dxa" w:w="5700"/>
          </w:tcPr>
          <w:p>
            <w:pPr>
              <w:spacing w:before="0" w:after="0" w:line="259" w:lineRule="auto"/>
            </w:pPr>
            <w:r>
              <w:rPr>
                <w:rFonts w:ascii="Calibri" w:hAnsi="Calibri"/>
                <w:color w:val="1F2937"/>
                <w:sz w:val="18"/>
              </w:rPr>
              <w:t>Validate usefulness, willingness to pay, and operational fit in real MicroDegree sessions.</w:t>
            </w:r>
          </w:p>
        </w:tc>
        <w:tc>
          <w:tcPr>
            <w:tcW w:type="dxa" w:w="2760"/>
          </w:tcPr>
          <w:p>
            <w:pPr>
              <w:spacing w:before="0" w:after="0" w:line="259" w:lineRule="auto"/>
            </w:pPr>
            <w:r>
              <w:rPr>
                <w:rFonts w:ascii="Calibri" w:hAnsi="Calibri"/>
                <w:color w:val="1F2937"/>
                <w:sz w:val="18"/>
              </w:rPr>
              <w:t>Pilot feedback</w:t>
            </w:r>
          </w:p>
        </w:tc>
      </w:tr>
    </w:tbl>
    <w:p>
      <w:pPr>
        <w:spacing w:before="80" w:after="0"/>
      </w:pPr>
    </w:p>
    <w:p>
      <w:pPr>
        <w:pStyle w:val="Heading2"/>
      </w:pPr>
      <w:r>
        <w:t>3.2 Non-goals for the pilot</w:t>
      </w:r>
    </w:p>
    <w:p>
      <w:pPr>
        <w:spacing w:after="160" w:line="280" w:lineRule="auto"/>
        <w:numPr>
          <w:ilvl w:val="0"/>
          <w:numId w:val="10"/>
        </w:numPr>
      </w:pPr>
      <w:r>
        <w:rPr>
          <w:rFonts w:ascii="Calibri" w:hAnsi="Calibri"/>
        </w:rPr>
        <w:t>A general-purpose consumer conversation translator.</w:t>
      </w:r>
    </w:p>
    <w:p>
      <w:pPr>
        <w:spacing w:after="160" w:line="280" w:lineRule="auto"/>
        <w:numPr>
          <w:ilvl w:val="0"/>
          <w:numId w:val="10"/>
        </w:numPr>
      </w:pPr>
      <w:r>
        <w:rPr>
          <w:rFonts w:ascii="Calibri" w:hAnsi="Calibri"/>
        </w:rPr>
        <w:t>Election, political-rally, emergency-response, medical-diagnosis, or legal interpretation use.</w:t>
      </w:r>
    </w:p>
    <w:p>
      <w:pPr>
        <w:spacing w:after="160" w:line="280" w:lineRule="auto"/>
        <w:numPr>
          <w:ilvl w:val="0"/>
          <w:numId w:val="10"/>
        </w:numPr>
      </w:pPr>
      <w:r>
        <w:rPr>
          <w:rFonts w:ascii="Calibri" w:hAnsi="Calibri"/>
        </w:rPr>
        <w:t>Native attendee mobile applications; the attendee experience is a PWA/browser experience.</w:t>
      </w:r>
    </w:p>
    <w:p>
      <w:pPr>
        <w:spacing w:after="160" w:line="280" w:lineRule="auto"/>
        <w:numPr>
          <w:ilvl w:val="0"/>
          <w:numId w:val="10"/>
        </w:numPr>
      </w:pPr>
      <w:r>
        <w:rPr>
          <w:rFonts w:ascii="Calibri" w:hAnsi="Calibri"/>
        </w:rPr>
        <w:t>Voice cloning or preservation of the presenter’s exact voice in translated audio.</w:t>
      </w:r>
    </w:p>
    <w:p>
      <w:pPr>
        <w:spacing w:after="160" w:line="280" w:lineRule="auto"/>
        <w:numPr>
          <w:ilvl w:val="0"/>
          <w:numId w:val="10"/>
        </w:numPr>
      </w:pPr>
      <w:r>
        <w:rPr>
          <w:rFonts w:ascii="Calibri" w:hAnsi="Calibri"/>
        </w:rPr>
        <w:t>Offline translation with no network connectivity.</w:t>
      </w:r>
    </w:p>
    <w:p>
      <w:pPr>
        <w:spacing w:after="160" w:line="280" w:lineRule="auto"/>
        <w:numPr>
          <w:ilvl w:val="0"/>
          <w:numId w:val="10"/>
        </w:numPr>
      </w:pPr>
      <w:r>
        <w:rPr>
          <w:rFonts w:ascii="Calibri" w:hAnsi="Calibri"/>
        </w:rPr>
        <w:t>Guaranteed interpreter-grade accuracy or contractual use without human review.</w:t>
      </w:r>
    </w:p>
    <w:p>
      <w:pPr>
        <w:spacing w:after="160" w:line="280" w:lineRule="auto"/>
        <w:numPr>
          <w:ilvl w:val="0"/>
          <w:numId w:val="10"/>
        </w:numPr>
      </w:pPr>
      <w:r>
        <w:rPr>
          <w:rFonts w:ascii="Calibri" w:hAnsi="Calibri"/>
        </w:rPr>
        <w:t>Personalized translation or TTS generation for each attendee.</w:t>
      </w:r>
    </w:p>
    <w:p>
      <w:pPr>
        <w:pStyle w:val="Heading2"/>
      </w:pPr>
      <w:r>
        <w:t>3.3 Product principles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7200"/>
      </w:tblGrid>
      <w:tr>
        <w:trPr>
          <w:tblHeader w:val="true"/>
          <w:cantSplit/>
        </w:trPr>
        <w:tc>
          <w:tcPr>
            <w:tcW w:type="dxa" w:w="21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Principle</w:t>
            </w:r>
          </w:p>
        </w:tc>
        <w:tc>
          <w:tcPr>
            <w:tcW w:type="dxa" w:w="72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Implication</w:t>
            </w:r>
          </w:p>
        </w:tc>
      </w:tr>
      <w:tr>
        <w:trPr>
          <w:cantSplit/>
        </w:trPr>
        <w:tc>
          <w:tcPr>
            <w:tcW w:type="dxa" w:w="2160"/>
          </w:tcPr>
          <w:p>
            <w:pPr>
              <w:spacing w:before="0" w:after="0" w:line="259" w:lineRule="auto"/>
            </w:pPr>
            <w:r>
              <w:rPr>
                <w:rFonts w:ascii="Calibri" w:hAnsi="Calibri"/>
                <w:color w:val="1F2937"/>
                <w:sz w:val="18"/>
              </w:rPr>
              <w:t>Phone-first</w:t>
            </w:r>
          </w:p>
        </w:tc>
        <w:tc>
          <w:tcPr>
            <w:tcW w:type="dxa" w:w="7200"/>
          </w:tcPr>
          <w:p>
            <w:pPr>
              <w:spacing w:before="0" w:after="0" w:line="259" w:lineRule="auto"/>
            </w:pPr>
            <w:r>
              <w:rPr>
                <w:rFonts w:ascii="Calibri" w:hAnsi="Calibri"/>
                <w:color w:val="1F2937"/>
                <w:sz w:val="18"/>
              </w:rPr>
              <w:t>Every attendee workflow must work in a current mobile browser.</w:t>
            </w:r>
          </w:p>
        </w:tc>
      </w:tr>
      <w:tr>
        <w:trPr>
          <w:cantSplit/>
        </w:trPr>
        <w:tc>
          <w:tcPr>
            <w:tcW w:type="dxa" w:w="2160"/>
          </w:tcPr>
          <w:p>
            <w:pPr>
              <w:spacing w:before="0" w:after="0" w:line="259" w:lineRule="auto"/>
            </w:pPr>
            <w:r>
              <w:rPr>
                <w:rFonts w:ascii="Calibri" w:hAnsi="Calibri"/>
                <w:color w:val="1F2937"/>
                <w:sz w:val="18"/>
              </w:rPr>
              <w:t>Caption-first</w:t>
            </w:r>
          </w:p>
        </w:tc>
        <w:tc>
          <w:tcPr>
            <w:tcW w:type="dxa" w:w="7200"/>
          </w:tcPr>
          <w:p>
            <w:pPr>
              <w:spacing w:before="0" w:after="0" w:line="259" w:lineRule="auto"/>
            </w:pPr>
            <w:r>
              <w:rPr>
                <w:rFonts w:ascii="Calibri" w:hAnsi="Calibri"/>
                <w:color w:val="1F2937"/>
                <w:sz w:val="18"/>
              </w:rPr>
              <w:t>Show useful text before waiting for synthesized speech.</w:t>
            </w:r>
          </w:p>
        </w:tc>
      </w:tr>
      <w:tr>
        <w:trPr>
          <w:cantSplit/>
        </w:trPr>
        <w:tc>
          <w:tcPr>
            <w:tcW w:type="dxa" w:w="2160"/>
          </w:tcPr>
          <w:p>
            <w:pPr>
              <w:spacing w:before="0" w:after="0" w:line="259" w:lineRule="auto"/>
            </w:pPr>
            <w:r>
              <w:rPr>
                <w:rFonts w:ascii="Calibri" w:hAnsi="Calibri"/>
                <w:color w:val="1F2937"/>
                <w:sz w:val="18"/>
              </w:rPr>
              <w:t>One stream per language</w:t>
            </w:r>
          </w:p>
        </w:tc>
        <w:tc>
          <w:tcPr>
            <w:tcW w:type="dxa" w:w="7200"/>
          </w:tcPr>
          <w:p>
            <w:pPr>
              <w:spacing w:before="0" w:after="0" w:line="259" w:lineRule="auto"/>
            </w:pPr>
            <w:r>
              <w:rPr>
                <w:rFonts w:ascii="Calibri" w:hAnsi="Calibri"/>
                <w:color w:val="1F2937"/>
                <w:sz w:val="18"/>
              </w:rPr>
              <w:t>Compute translation and TTS once for each active output language, then fan out.</w:t>
            </w:r>
          </w:p>
        </w:tc>
      </w:tr>
      <w:tr>
        <w:trPr>
          <w:cantSplit/>
        </w:trPr>
        <w:tc>
          <w:tcPr>
            <w:tcW w:type="dxa" w:w="2160"/>
          </w:tcPr>
          <w:p>
            <w:pPr>
              <w:spacing w:before="0" w:after="0" w:line="259" w:lineRule="auto"/>
            </w:pPr>
            <w:r>
              <w:rPr>
                <w:rFonts w:ascii="Calibri" w:hAnsi="Calibri"/>
                <w:color w:val="1F2937"/>
                <w:sz w:val="18"/>
              </w:rPr>
              <w:t>Context is core</w:t>
            </w:r>
          </w:p>
        </w:tc>
        <w:tc>
          <w:tcPr>
            <w:tcW w:type="dxa" w:w="7200"/>
          </w:tcPr>
          <w:p>
            <w:pPr>
              <w:spacing w:before="0" w:after="0" w:line="259" w:lineRule="auto"/>
            </w:pPr>
            <w:r>
              <w:rPr>
                <w:rFonts w:ascii="Calibri" w:hAnsi="Calibri"/>
                <w:color w:val="1F2937"/>
                <w:sz w:val="18"/>
              </w:rPr>
              <w:t>Slides, glossaries, names, and prior sentences inform the live pipeline.</w:t>
            </w:r>
          </w:p>
        </w:tc>
      </w:tr>
      <w:tr>
        <w:trPr>
          <w:cantSplit/>
        </w:trPr>
        <w:tc>
          <w:tcPr>
            <w:tcW w:type="dxa" w:w="2160"/>
          </w:tcPr>
          <w:p>
            <w:pPr>
              <w:spacing w:before="0" w:after="0" w:line="259" w:lineRule="auto"/>
            </w:pPr>
            <w:r>
              <w:rPr>
                <w:rFonts w:ascii="Calibri" w:hAnsi="Calibri"/>
                <w:color w:val="1F2937"/>
                <w:sz w:val="18"/>
              </w:rPr>
              <w:t>Uncertainty is visible</w:t>
            </w:r>
          </w:p>
        </w:tc>
        <w:tc>
          <w:tcPr>
            <w:tcW w:type="dxa" w:w="7200"/>
          </w:tcPr>
          <w:p>
            <w:pPr>
              <w:spacing w:before="0" w:after="0" w:line="259" w:lineRule="auto"/>
            </w:pPr>
            <w:r>
              <w:rPr>
                <w:rFonts w:ascii="Calibri" w:hAnsi="Calibri"/>
                <w:color w:val="1F2937"/>
                <w:sz w:val="18"/>
              </w:rPr>
              <w:t>Retain source text and avoid overconfident rendering of uncertain names, numbers, and terms.</w:t>
            </w:r>
          </w:p>
        </w:tc>
      </w:tr>
      <w:tr>
        <w:trPr>
          <w:cantSplit/>
        </w:trPr>
        <w:tc>
          <w:tcPr>
            <w:tcW w:type="dxa" w:w="2160"/>
          </w:tcPr>
          <w:p>
            <w:pPr>
              <w:spacing w:before="0" w:after="0" w:line="259" w:lineRule="auto"/>
            </w:pPr>
            <w:r>
              <w:rPr>
                <w:rFonts w:ascii="Calibri" w:hAnsi="Calibri"/>
                <w:color w:val="1F2937"/>
                <w:sz w:val="18"/>
              </w:rPr>
              <w:t>Degrade gracefully</w:t>
            </w:r>
          </w:p>
        </w:tc>
        <w:tc>
          <w:tcPr>
            <w:tcW w:type="dxa" w:w="7200"/>
          </w:tcPr>
          <w:p>
            <w:pPr>
              <w:spacing w:before="0" w:after="0" w:line="259" w:lineRule="auto"/>
            </w:pPr>
            <w:r>
              <w:rPr>
                <w:rFonts w:ascii="Calibri" w:hAnsi="Calibri"/>
                <w:color w:val="1F2937"/>
                <w:sz w:val="18"/>
              </w:rPr>
              <w:t>Fallback from audio plus captions to low-bitrate audio or captions only.</w:t>
            </w:r>
          </w:p>
        </w:tc>
      </w:tr>
      <w:tr>
        <w:trPr>
          <w:cantSplit/>
        </w:trPr>
        <w:tc>
          <w:tcPr>
            <w:tcW w:type="dxa" w:w="2160"/>
          </w:tcPr>
          <w:p>
            <w:pPr>
              <w:spacing w:before="0" w:after="0" w:line="259" w:lineRule="auto"/>
            </w:pPr>
            <w:r>
              <w:rPr>
                <w:rFonts w:ascii="Calibri" w:hAnsi="Calibri"/>
                <w:color w:val="1F2937"/>
                <w:sz w:val="18"/>
              </w:rPr>
              <w:t>Human control</w:t>
            </w:r>
          </w:p>
        </w:tc>
        <w:tc>
          <w:tcPr>
            <w:tcW w:type="dxa" w:w="7200"/>
          </w:tcPr>
          <w:p>
            <w:pPr>
              <w:spacing w:before="0" w:after="0" w:line="259" w:lineRule="auto"/>
            </w:pPr>
            <w:r>
              <w:rPr>
                <w:rFonts w:ascii="Calibri" w:hAnsi="Calibri"/>
                <w:color w:val="1F2937"/>
                <w:sz w:val="18"/>
              </w:rPr>
              <w:t>Moderators can correct terms; future releases can hand a language channel to an interpreter.</w:t>
            </w:r>
          </w:p>
        </w:tc>
      </w:tr>
    </w:tbl>
    <w:p>
      <w:pPr>
        <w:spacing w:before="80" w:after="0"/>
      </w:pPr>
    </w:p>
    <w:p>
      <w:pPr>
        <w:pStyle w:val="Heading1"/>
      </w:pPr>
      <w:r>
        <w:t>4. Target users and jobs to be done</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960"/>
        <w:gridCol w:w="3600"/>
      </w:tblGrid>
      <w:tr>
        <w:trPr>
          <w:tblHeader w:val="true"/>
          <w:cantSplit/>
        </w:trPr>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Persona</w:t>
            </w:r>
          </w:p>
        </w:tc>
        <w:tc>
          <w:tcPr>
            <w:tcW w:type="dxa" w:w="39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Primary job</w:t>
            </w:r>
          </w:p>
        </w:tc>
        <w:tc>
          <w:tcPr>
            <w:tcW w:type="dxa" w:w="36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Key friction</w:t>
            </w:r>
          </w:p>
        </w:tc>
      </w:tr>
      <w:tr>
        <w:trPr>
          <w:cantSplit/>
        </w:trPr>
        <w:tc>
          <w:tcPr>
            <w:tcW w:type="dxa" w:w="1800"/>
          </w:tcPr>
          <w:p>
            <w:pPr>
              <w:spacing w:before="0" w:after="0" w:line="259" w:lineRule="auto"/>
            </w:pPr>
            <w:r>
              <w:rPr>
                <w:rFonts w:ascii="Calibri" w:hAnsi="Calibri"/>
                <w:b/>
                <w:color w:val="1F2937"/>
                <w:sz w:val="18"/>
              </w:rPr>
              <w:t>Presenter / trainer</w:t>
            </w:r>
          </w:p>
        </w:tc>
        <w:tc>
          <w:tcPr>
            <w:tcW w:type="dxa" w:w="3960"/>
          </w:tcPr>
          <w:p>
            <w:pPr>
              <w:spacing w:before="0" w:after="0" w:line="259" w:lineRule="auto"/>
            </w:pPr>
            <w:r>
              <w:rPr>
                <w:rFonts w:ascii="Calibri" w:hAnsi="Calibri"/>
                <w:color w:val="1F2937"/>
                <w:sz w:val="18"/>
              </w:rPr>
              <w:t>Deliver a technical session once while reaching learners across language preferences.</w:t>
            </w:r>
          </w:p>
        </w:tc>
        <w:tc>
          <w:tcPr>
            <w:tcW w:type="dxa" w:w="3600"/>
          </w:tcPr>
          <w:p>
            <w:pPr>
              <w:spacing w:before="0" w:after="0" w:line="259" w:lineRule="auto"/>
            </w:pPr>
            <w:r>
              <w:rPr>
                <w:rFonts w:ascii="Calibri" w:hAnsi="Calibri"/>
                <w:color w:val="1F2937"/>
                <w:sz w:val="18"/>
              </w:rPr>
              <w:t>Terminology errors; distracting controls; poor microphone quality.</w:t>
            </w:r>
          </w:p>
        </w:tc>
      </w:tr>
      <w:tr>
        <w:trPr>
          <w:cantSplit/>
        </w:trPr>
        <w:tc>
          <w:tcPr>
            <w:tcW w:type="dxa" w:w="1800"/>
          </w:tcPr>
          <w:p>
            <w:pPr>
              <w:spacing w:before="0" w:after="0" w:line="259" w:lineRule="auto"/>
            </w:pPr>
            <w:r>
              <w:rPr>
                <w:rFonts w:ascii="Calibri" w:hAnsi="Calibri"/>
                <w:b/>
                <w:color w:val="1F2937"/>
                <w:sz w:val="18"/>
              </w:rPr>
              <w:t>Attendee / learner</w:t>
            </w:r>
          </w:p>
        </w:tc>
        <w:tc>
          <w:tcPr>
            <w:tcW w:type="dxa" w:w="3960"/>
          </w:tcPr>
          <w:p>
            <w:pPr>
              <w:spacing w:before="0" w:after="0" w:line="259" w:lineRule="auto"/>
            </w:pPr>
            <w:r>
              <w:rPr>
                <w:rFonts w:ascii="Calibri" w:hAnsi="Calibri"/>
                <w:color w:val="1F2937"/>
                <w:sz w:val="18"/>
              </w:rPr>
              <w:t>Understand the presentation live without installing an app or exposing personal data.</w:t>
            </w:r>
          </w:p>
        </w:tc>
        <w:tc>
          <w:tcPr>
            <w:tcW w:type="dxa" w:w="3600"/>
          </w:tcPr>
          <w:p>
            <w:pPr>
              <w:spacing w:before="0" w:after="0" w:line="259" w:lineRule="auto"/>
            </w:pPr>
            <w:r>
              <w:rPr>
                <w:rFonts w:ascii="Calibri" w:hAnsi="Calibri"/>
                <w:color w:val="1F2937"/>
                <w:sz w:val="18"/>
              </w:rPr>
              <w:t>Slow join; confusing language controls; delayed or incorrect translation.</w:t>
            </w:r>
          </w:p>
        </w:tc>
      </w:tr>
      <w:tr>
        <w:trPr>
          <w:cantSplit/>
        </w:trPr>
        <w:tc>
          <w:tcPr>
            <w:tcW w:type="dxa" w:w="1800"/>
          </w:tcPr>
          <w:p>
            <w:pPr>
              <w:spacing w:before="0" w:after="0" w:line="259" w:lineRule="auto"/>
            </w:pPr>
            <w:r>
              <w:rPr>
                <w:rFonts w:ascii="Calibri" w:hAnsi="Calibri"/>
                <w:b/>
                <w:color w:val="1F2937"/>
                <w:sz w:val="18"/>
              </w:rPr>
              <w:t>Organizer / moderator</w:t>
            </w:r>
          </w:p>
        </w:tc>
        <w:tc>
          <w:tcPr>
            <w:tcW w:type="dxa" w:w="3960"/>
          </w:tcPr>
          <w:p>
            <w:pPr>
              <w:spacing w:before="0" w:after="0" w:line="259" w:lineRule="auto"/>
            </w:pPr>
            <w:r>
              <w:rPr>
                <w:rFonts w:ascii="Calibri" w:hAnsi="Calibri"/>
                <w:color w:val="1F2937"/>
                <w:sz w:val="18"/>
              </w:rPr>
              <w:t>Configure, monitor, troubleshoot, and report on a multilingual session.</w:t>
            </w:r>
          </w:p>
        </w:tc>
        <w:tc>
          <w:tcPr>
            <w:tcW w:type="dxa" w:w="3600"/>
          </w:tcPr>
          <w:p>
            <w:pPr>
              <w:spacing w:before="0" w:after="0" w:line="259" w:lineRule="auto"/>
            </w:pPr>
            <w:r>
              <w:rPr>
                <w:rFonts w:ascii="Calibri" w:hAnsi="Calibri"/>
                <w:color w:val="1F2937"/>
                <w:sz w:val="18"/>
              </w:rPr>
              <w:t>Unknown network readiness; no visibility into latency or connection health.</w:t>
            </w:r>
          </w:p>
        </w:tc>
      </w:tr>
      <w:tr>
        <w:trPr>
          <w:cantSplit/>
        </w:trPr>
        <w:tc>
          <w:tcPr>
            <w:tcW w:type="dxa" w:w="1800"/>
          </w:tcPr>
          <w:p>
            <w:pPr>
              <w:spacing w:before="0" w:after="0" w:line="259" w:lineRule="auto"/>
            </w:pPr>
            <w:r>
              <w:rPr>
                <w:rFonts w:ascii="Calibri" w:hAnsi="Calibri"/>
                <w:b/>
                <w:color w:val="1F2937"/>
                <w:sz w:val="18"/>
              </w:rPr>
              <w:t>Institution admin</w:t>
            </w:r>
          </w:p>
        </w:tc>
        <w:tc>
          <w:tcPr>
            <w:tcW w:type="dxa" w:w="3960"/>
          </w:tcPr>
          <w:p>
            <w:pPr>
              <w:spacing w:before="0" w:after="0" w:line="259" w:lineRule="auto"/>
            </w:pPr>
            <w:r>
              <w:rPr>
                <w:rFonts w:ascii="Calibri" w:hAnsi="Calibri"/>
                <w:color w:val="1F2937"/>
                <w:sz w:val="18"/>
              </w:rPr>
              <w:t>Procure a predictable service with privacy, analytics, support, and governance.</w:t>
            </w:r>
          </w:p>
        </w:tc>
        <w:tc>
          <w:tcPr>
            <w:tcW w:type="dxa" w:w="3600"/>
          </w:tcPr>
          <w:p>
            <w:pPr>
              <w:spacing w:before="0" w:after="0" w:line="259" w:lineRule="auto"/>
            </w:pPr>
            <w:r>
              <w:rPr>
                <w:rFonts w:ascii="Calibri" w:hAnsi="Calibri"/>
                <w:color w:val="1F2937"/>
                <w:sz w:val="18"/>
              </w:rPr>
              <w:t>Variable cost; compliance uncertainty; lack of auditability.</w:t>
            </w:r>
          </w:p>
        </w:tc>
      </w:tr>
    </w:tbl>
    <w:p>
      <w:pPr>
        <w:spacing w:before="80" w:after="0"/>
      </w:pPr>
    </w:p>
    <w:p>
      <w:pPr>
        <w:pStyle w:val="Heading2"/>
      </w:pPr>
      <w:r>
        <w:t>4.1 Primary use case</w:t>
      </w:r>
    </w:p>
    <w:p>
      <w:pPr>
        <w:spacing w:before="100" w:after="200" w:line="269" w:lineRule="auto"/>
        <w:ind w:left="160" w:right="160"/>
        <w:shd w:fill="EEF8F3"/>
        <w:pBdr>
          <w:left w:val="single" w:sz="18" w:space="8" w:color="1E6B4F"/>
        </w:pBdr>
      </w:pPr>
      <w:r>
        <w:rPr>
          <w:rFonts w:ascii="Calibri" w:hAnsi="Calibri"/>
          <w:b/>
          <w:color w:val="1E6B4F"/>
          <w:sz w:val="21"/>
        </w:rPr>
        <w:t xml:space="preserve">Pilot scenario: </w:t>
      </w:r>
      <w:r>
        <w:rPr>
          <w:rFonts w:ascii="Calibri" w:hAnsi="Calibri"/>
          <w:color w:val="1F2937"/>
          <w:sz w:val="21"/>
        </w:rPr>
        <w:t>A trainer presents a technical class in Kannada with English terminology. Learners listen or read in English, Hindi, or Telugu, using their own phones and headphones.</w:t>
      </w:r>
    </w:p>
    <w:p>
      <w:pPr>
        <w:pStyle w:val="Heading2"/>
      </w:pPr>
      <w:r>
        <w:t>4.2 Secondary expansion use cases</w:t>
      </w:r>
    </w:p>
    <w:p>
      <w:pPr>
        <w:spacing w:after="160" w:line="280" w:lineRule="auto"/>
        <w:numPr>
          <w:ilvl w:val="0"/>
          <w:numId w:val="10"/>
        </w:numPr>
      </w:pPr>
      <w:r>
        <w:rPr>
          <w:rFonts w:ascii="Calibri" w:hAnsi="Calibri"/>
        </w:rPr>
        <w:t>Corporate onboarding, town halls, and learning programs.</w:t>
      </w:r>
    </w:p>
    <w:p>
      <w:pPr>
        <w:spacing w:after="160" w:line="280" w:lineRule="auto"/>
        <w:numPr>
          <w:ilvl w:val="0"/>
          <w:numId w:val="10"/>
        </w:numPr>
      </w:pPr>
      <w:r>
        <w:rPr>
          <w:rFonts w:ascii="Calibri" w:hAnsi="Calibri"/>
        </w:rPr>
        <w:t>College lectures, government skilling programs, and technical boot camps.</w:t>
      </w:r>
    </w:p>
    <w:p>
      <w:pPr>
        <w:spacing w:after="160" w:line="280" w:lineRule="auto"/>
        <w:numPr>
          <w:ilvl w:val="0"/>
          <w:numId w:val="10"/>
        </w:numPr>
      </w:pPr>
      <w:r>
        <w:rPr>
          <w:rFonts w:ascii="Calibri" w:hAnsi="Calibri"/>
        </w:rPr>
        <w:t>Conferences, seminars, manufacturing safety training, NGO awareness programs, and religious discourses.</w:t>
      </w:r>
    </w:p>
    <w:p>
      <w:pPr>
        <w:spacing w:after="160" w:line="280" w:lineRule="auto"/>
        <w:numPr>
          <w:ilvl w:val="0"/>
          <w:numId w:val="10"/>
        </w:numPr>
      </w:pPr>
      <w:r>
        <w:rPr>
          <w:rFonts w:ascii="Calibri" w:hAnsi="Calibri"/>
        </w:rPr>
        <w:t>Human-assisted interpretation for high-stakes conferences.</w:t>
      </w:r>
    </w:p>
    <w:p>
      <w:pPr>
        <w:pStyle w:val="Heading1"/>
      </w:pPr>
      <w:r>
        <w:t>5. Experience and core workflows</w:t>
      </w:r>
    </w:p>
    <w:p>
      <w:pPr>
        <w:pStyle w:val="Heading2"/>
      </w:pPr>
      <w:r>
        <w:t>5.1 Presenter workflow</w:t>
      </w:r>
    </w:p>
    <w:p>
      <w:pPr>
        <w:spacing w:after="160" w:line="280" w:lineRule="auto"/>
        <w:numPr>
          <w:ilvl w:val="0"/>
          <w:numId w:val="11"/>
        </w:numPr>
      </w:pPr>
      <w:r>
        <w:rPr>
          <w:rFonts w:ascii="Calibri" w:hAnsi="Calibri"/>
        </w:rPr>
        <w:t>Create an event, name the session, set date/time, and choose the source language.</w:t>
      </w:r>
    </w:p>
    <w:p>
      <w:pPr>
        <w:spacing w:after="160" w:line="280" w:lineRule="auto"/>
        <w:numPr>
          <w:ilvl w:val="0"/>
          <w:numId w:val="11"/>
        </w:numPr>
      </w:pPr>
      <w:r>
        <w:rPr>
          <w:rFonts w:ascii="Calibri" w:hAnsi="Calibri"/>
        </w:rPr>
        <w:t>Select up to three target languages from the four-language launch set.</w:t>
      </w:r>
    </w:p>
    <w:p>
      <w:pPr>
        <w:spacing w:after="160" w:line="280" w:lineRule="auto"/>
        <w:numPr>
          <w:ilvl w:val="0"/>
          <w:numId w:val="11"/>
        </w:numPr>
      </w:pPr>
      <w:r>
        <w:rPr>
          <w:rFonts w:ascii="Calibri" w:hAnsi="Calibri"/>
        </w:rPr>
        <w:t>Upload PPT, PDF, agenda, speaker notes, or a glossary; review extracted terminology.</w:t>
      </w:r>
    </w:p>
    <w:p>
      <w:pPr>
        <w:spacing w:after="160" w:line="280" w:lineRule="auto"/>
        <w:numPr>
          <w:ilvl w:val="0"/>
          <w:numId w:val="11"/>
        </w:numPr>
      </w:pPr>
      <w:r>
        <w:rPr>
          <w:rFonts w:ascii="Calibri" w:hAnsi="Calibri"/>
        </w:rPr>
        <w:t>Open the host page, select the microphone or venue audio input, and run an audio/network preflight.</w:t>
      </w:r>
    </w:p>
    <w:p>
      <w:pPr>
        <w:spacing w:after="160" w:line="280" w:lineRule="auto"/>
        <w:numPr>
          <w:ilvl w:val="0"/>
          <w:numId w:val="11"/>
        </w:numPr>
      </w:pPr>
      <w:r>
        <w:rPr>
          <w:rFonts w:ascii="Calibri" w:hAnsi="Calibri"/>
        </w:rPr>
        <w:t>Display the session QR code and attendee join URL.</w:t>
      </w:r>
    </w:p>
    <w:p>
      <w:pPr>
        <w:spacing w:after="160" w:line="280" w:lineRule="auto"/>
        <w:numPr>
          <w:ilvl w:val="0"/>
          <w:numId w:val="11"/>
        </w:numPr>
      </w:pPr>
      <w:r>
        <w:rPr>
          <w:rFonts w:ascii="Calibri" w:hAnsi="Calibri"/>
        </w:rPr>
        <w:t>Start broadcasting; monitor source and translated transcripts, latency, active attendees, and channel health.</w:t>
      </w:r>
    </w:p>
    <w:p>
      <w:pPr>
        <w:spacing w:after="160" w:line="280" w:lineRule="auto"/>
        <w:numPr>
          <w:ilvl w:val="0"/>
          <w:numId w:val="11"/>
        </w:numPr>
      </w:pPr>
      <w:r>
        <w:rPr>
          <w:rFonts w:ascii="Calibri" w:hAnsi="Calibri"/>
        </w:rPr>
        <w:t>Correct an uncertain name or term when necessary; apply the correction to the remaining session.</w:t>
      </w:r>
    </w:p>
    <w:p>
      <w:pPr>
        <w:spacing w:after="160" w:line="280" w:lineRule="auto"/>
        <w:numPr>
          <w:ilvl w:val="0"/>
          <w:numId w:val="11"/>
        </w:numPr>
      </w:pPr>
      <w:r>
        <w:rPr>
          <w:rFonts w:ascii="Calibri" w:hAnsi="Calibri"/>
        </w:rPr>
        <w:t>Stop the event and review post-event processing status and outputs.</w:t>
      </w:r>
    </w:p>
    <w:p>
      <w:pPr>
        <w:pStyle w:val="Heading2"/>
      </w:pPr>
      <w:r>
        <w:t>5.2 Attendee workflow</w:t>
      </w:r>
    </w:p>
    <w:p>
      <w:pPr>
        <w:spacing w:after="160" w:line="280" w:lineRule="auto"/>
        <w:numPr>
          <w:ilvl w:val="0"/>
          <w:numId w:val="12"/>
        </w:numPr>
      </w:pPr>
      <w:r>
        <w:rPr>
          <w:rFonts w:ascii="Calibri" w:hAnsi="Calibri"/>
        </w:rPr>
        <w:t>Scan the event QR code or open the join URL.</w:t>
      </w:r>
    </w:p>
    <w:p>
      <w:pPr>
        <w:spacing w:after="160" w:line="280" w:lineRule="auto"/>
        <w:numPr>
          <w:ilvl w:val="0"/>
          <w:numId w:val="12"/>
        </w:numPr>
      </w:pPr>
      <w:r>
        <w:rPr>
          <w:rFonts w:ascii="Calibri" w:hAnsi="Calibri"/>
        </w:rPr>
        <w:t>Choose a preferred language; the presenter language is displayed.</w:t>
      </w:r>
    </w:p>
    <w:p>
      <w:pPr>
        <w:spacing w:after="160" w:line="280" w:lineRule="auto"/>
        <w:numPr>
          <w:ilvl w:val="0"/>
          <w:numId w:val="12"/>
        </w:numPr>
      </w:pPr>
      <w:r>
        <w:rPr>
          <w:rFonts w:ascii="Calibri" w:hAnsi="Calibri"/>
        </w:rPr>
        <w:t>Tap Start Listening to satisfy mobile-browser autoplay restrictions.</w:t>
      </w:r>
    </w:p>
    <w:p>
      <w:pPr>
        <w:spacing w:after="160" w:line="280" w:lineRule="auto"/>
        <w:numPr>
          <w:ilvl w:val="0"/>
          <w:numId w:val="12"/>
        </w:numPr>
      </w:pPr>
      <w:r>
        <w:rPr>
          <w:rFonts w:ascii="Calibri" w:hAnsi="Calibri"/>
        </w:rPr>
        <w:t>Listen through headphones while viewing translated, original, or bilingual captions.</w:t>
      </w:r>
    </w:p>
    <w:p>
      <w:pPr>
        <w:spacing w:after="160" w:line="280" w:lineRule="auto"/>
        <w:numPr>
          <w:ilvl w:val="0"/>
          <w:numId w:val="12"/>
        </w:numPr>
      </w:pPr>
      <w:r>
        <w:rPr>
          <w:rFonts w:ascii="Calibri" w:hAnsi="Calibri"/>
        </w:rPr>
        <w:t>Adjust caption font size, translated-audio volume, and bandwidth mode.</w:t>
      </w:r>
    </w:p>
    <w:p>
      <w:pPr>
        <w:spacing w:after="160" w:line="280" w:lineRule="auto"/>
        <w:numPr>
          <w:ilvl w:val="0"/>
          <w:numId w:val="12"/>
        </w:numPr>
      </w:pPr>
      <w:r>
        <w:rPr>
          <w:rFonts w:ascii="Calibri" w:hAnsi="Calibri"/>
        </w:rPr>
        <w:t>Automatically reconnect after a transient network interruption; fall back to captions if audio cannot recover.</w:t>
      </w:r>
    </w:p>
    <w:p>
      <w:pPr>
        <w:spacing w:after="160" w:line="280" w:lineRule="auto"/>
        <w:numPr>
          <w:ilvl w:val="0"/>
          <w:numId w:val="12"/>
        </w:numPr>
      </w:pPr>
      <w:r>
        <w:rPr>
          <w:rFonts w:ascii="Calibri" w:hAnsi="Calibri"/>
        </w:rPr>
        <w:t>After the session, open shared notes or captions if the organizer has enabled access.</w:t>
      </w:r>
    </w:p>
    <w:p>
      <w:pPr>
        <w:pStyle w:val="Heading2"/>
      </w:pPr>
      <w:r>
        <w:t>5.3 Live processing flow</w:t>
      </w:r>
    </w:p>
    <w:p>
      <w:pPr>
        <w:spacing w:before="100" w:after="200" w:line="269" w:lineRule="auto"/>
        <w:ind w:left="160" w:right="160"/>
        <w:shd w:fill="F4F6F9"/>
        <w:pBdr>
          <w:left w:val="single" w:sz="18" w:space="8" w:color="2E74B5"/>
        </w:pBdr>
      </w:pPr>
      <w:r>
        <w:rPr>
          <w:rFonts w:ascii="Calibri" w:hAnsi="Calibri"/>
          <w:b/>
          <w:color w:val="2E74B5"/>
          <w:sz w:val="21"/>
        </w:rPr>
        <w:t xml:space="preserve">System flow: </w:t>
      </w:r>
      <w:r>
        <w:rPr>
          <w:rFonts w:ascii="Calibri" w:hAnsi="Calibri"/>
          <w:color w:val="1F2937"/>
          <w:sz w:val="21"/>
        </w:rPr>
        <w:t>Presenter audio → ingestion and cleanup → streaming STT → terminology/context layer → incremental translation → streaming TTS → one shared channel per target language → attendee browsers.</w:t>
      </w:r>
    </w:p>
    <w:p>
      <w:pPr/>
      <w:r>
        <w:rPr>
          <w:rFonts w:ascii="Calibri" w:hAnsi="Calibri"/>
        </w:rPr>
        <w:t>A language channel is created only when configured and needed. All attendees who select the same language subscribe to the same translated audio and caption stream. Listener count therefore affects delivery fan-out, while translation and TTS cost scale primarily with session duration and active language channels.</w:t>
      </w:r>
    </w:p>
    <w:p>
      <w:pPr>
        <w:pStyle w:val="Heading1"/>
      </w:pPr>
      <w:r>
        <w:t>6. Scope and release phasing</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60"/>
        <w:gridCol w:w="6120"/>
        <w:gridCol w:w="1980"/>
      </w:tblGrid>
      <w:tr>
        <w:trPr>
          <w:tblHeader w:val="true"/>
          <w:cantSplit/>
        </w:trPr>
        <w:tc>
          <w:tcPr>
            <w:tcW w:type="dxa" w:w="12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Phase</w:t>
            </w:r>
          </w:p>
        </w:tc>
        <w:tc>
          <w:tcPr>
            <w:tcW w:type="dxa" w:w="61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Included capabilities</w:t>
            </w:r>
          </w:p>
        </w:tc>
        <w:tc>
          <w:tcPr>
            <w:tcW w:type="dxa" w:w="198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Gate</w:t>
            </w:r>
          </w:p>
        </w:tc>
      </w:tr>
      <w:tr>
        <w:trPr>
          <w:cantSplit/>
        </w:trPr>
        <w:tc>
          <w:tcPr>
            <w:tcW w:type="dxa" w:w="1260"/>
          </w:tcPr>
          <w:p>
            <w:pPr>
              <w:spacing w:before="0" w:after="0" w:line="259" w:lineRule="auto"/>
            </w:pPr>
            <w:r>
              <w:rPr>
                <w:rFonts w:ascii="Calibri" w:hAnsi="Calibri"/>
                <w:b/>
                <w:color w:val="1F2937"/>
                <w:sz w:val="18"/>
              </w:rPr>
              <w:t>P0 Pilot</w:t>
            </w:r>
          </w:p>
        </w:tc>
        <w:tc>
          <w:tcPr>
            <w:tcW w:type="dxa" w:w="6120"/>
          </w:tcPr>
          <w:p>
            <w:pPr>
              <w:spacing w:before="0" w:after="0" w:line="259" w:lineRule="auto"/>
            </w:pPr>
            <w:r>
              <w:rPr>
                <w:rFonts w:ascii="Calibri" w:hAnsi="Calibri"/>
                <w:color w:val="1F2937"/>
                <w:sz w:val="18"/>
              </w:rPr>
              <w:t>Event setup; four launch languages; up to three targets; uploads; QR join; live source/translated captions; shared translated audio; attendee controls; reconnection; live monitoring; transcripts; summary; notes; basic analytics; prepaid wallet; credit reservation and settlement.</w:t>
            </w:r>
          </w:p>
        </w:tc>
        <w:tc>
          <w:tcPr>
            <w:tcW w:type="dxa" w:w="1980"/>
          </w:tcPr>
          <w:p>
            <w:pPr>
              <w:spacing w:before="0" w:after="0" w:line="259" w:lineRule="auto"/>
            </w:pPr>
            <w:r>
              <w:rPr>
                <w:rFonts w:ascii="Calibri" w:hAnsi="Calibri"/>
                <w:color w:val="1F2937"/>
                <w:sz w:val="18"/>
              </w:rPr>
              <w:t>Required for first live pilot</w:t>
            </w:r>
          </w:p>
        </w:tc>
      </w:tr>
      <w:tr>
        <w:trPr>
          <w:cantSplit/>
        </w:trPr>
        <w:tc>
          <w:tcPr>
            <w:tcW w:type="dxa" w:w="1260"/>
          </w:tcPr>
          <w:p>
            <w:pPr>
              <w:spacing w:before="0" w:after="0" w:line="259" w:lineRule="auto"/>
            </w:pPr>
            <w:r>
              <w:rPr>
                <w:rFonts w:ascii="Calibri" w:hAnsi="Calibri"/>
                <w:b/>
                <w:color w:val="1F2937"/>
                <w:sz w:val="18"/>
              </w:rPr>
              <w:t>P1 MVP+</w:t>
            </w:r>
          </w:p>
        </w:tc>
        <w:tc>
          <w:tcPr>
            <w:tcW w:type="dxa" w:w="6120"/>
          </w:tcPr>
          <w:p>
            <w:pPr>
              <w:spacing w:before="0" w:after="0" w:line="259" w:lineRule="auto"/>
            </w:pPr>
            <w:r>
              <w:rPr>
                <w:rFonts w:ascii="Calibri" w:hAnsi="Calibri"/>
                <w:color w:val="1F2937"/>
                <w:sz w:val="18"/>
              </w:rPr>
              <w:t>Searchable synchronized recording; downloadable caption formats; richer correction console; reusable organization glossary; network readiness report; automatic top-up; invoices and usage export.</w:t>
            </w:r>
          </w:p>
        </w:tc>
        <w:tc>
          <w:tcPr>
            <w:tcW w:type="dxa" w:w="1980"/>
          </w:tcPr>
          <w:p>
            <w:pPr>
              <w:spacing w:before="0" w:after="0" w:line="259" w:lineRule="auto"/>
            </w:pPr>
            <w:r>
              <w:rPr>
                <w:rFonts w:ascii="Calibri" w:hAnsi="Calibri"/>
                <w:color w:val="1F2937"/>
                <w:sz w:val="18"/>
              </w:rPr>
              <w:t>After pilot validation</w:t>
            </w:r>
          </w:p>
        </w:tc>
      </w:tr>
      <w:tr>
        <w:trPr>
          <w:cantSplit/>
        </w:trPr>
        <w:tc>
          <w:tcPr>
            <w:tcW w:type="dxa" w:w="1260"/>
          </w:tcPr>
          <w:p>
            <w:pPr>
              <w:spacing w:before="0" w:after="0" w:line="259" w:lineRule="auto"/>
            </w:pPr>
            <w:r>
              <w:rPr>
                <w:rFonts w:ascii="Calibri" w:hAnsi="Calibri"/>
                <w:b/>
                <w:color w:val="1F2937"/>
                <w:sz w:val="18"/>
              </w:rPr>
              <w:t>P2 Expansion</w:t>
            </w:r>
          </w:p>
        </w:tc>
        <w:tc>
          <w:tcPr>
            <w:tcW w:type="dxa" w:w="6120"/>
          </w:tcPr>
          <w:p>
            <w:pPr>
              <w:spacing w:before="0" w:after="0" w:line="259" w:lineRule="auto"/>
            </w:pPr>
            <w:r>
              <w:rPr>
                <w:rFonts w:ascii="Calibri" w:hAnsi="Calibri"/>
                <w:color w:val="1F2937"/>
                <w:sz w:val="18"/>
              </w:rPr>
              <w:t>Translated audience Q&amp;A; human interpreter takeover; more Indian languages; native mobile app; SSO; private deployment; multi-room conferences.</w:t>
            </w:r>
          </w:p>
        </w:tc>
        <w:tc>
          <w:tcPr>
            <w:tcW w:type="dxa" w:w="1980"/>
          </w:tcPr>
          <w:p>
            <w:pPr>
              <w:spacing w:before="0" w:after="0" w:line="259" w:lineRule="auto"/>
            </w:pPr>
            <w:r>
              <w:rPr>
                <w:rFonts w:ascii="Calibri" w:hAnsi="Calibri"/>
                <w:color w:val="1F2937"/>
                <w:sz w:val="18"/>
              </w:rPr>
              <w:t>Commercial expansion</w:t>
            </w:r>
          </w:p>
        </w:tc>
      </w:tr>
    </w:tbl>
    <w:p>
      <w:pPr>
        <w:spacing w:before="80" w:after="0"/>
      </w:pPr>
    </w:p>
    <w:p>
      <w:pPr>
        <w:pStyle w:val="Heading2"/>
      </w:pPr>
      <w:r>
        <w:t>6.1 Launch language matrix</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5760"/>
      </w:tblGrid>
      <w:tr>
        <w:trPr>
          <w:tblHeader w:val="true"/>
          <w:cantSplit/>
        </w:trPr>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Language</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MVP role</w:t>
            </w:r>
          </w:p>
        </w:tc>
        <w:tc>
          <w:tcPr>
            <w:tcW w:type="dxa" w:w="57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Notes</w:t>
            </w:r>
          </w:p>
        </w:tc>
      </w:tr>
      <w:tr>
        <w:trPr>
          <w:cantSplit/>
        </w:trPr>
        <w:tc>
          <w:tcPr>
            <w:tcW w:type="dxa" w:w="1800"/>
          </w:tcPr>
          <w:p>
            <w:pPr>
              <w:spacing w:before="0" w:after="0" w:line="259" w:lineRule="auto"/>
            </w:pPr>
            <w:r>
              <w:rPr>
                <w:rFonts w:ascii="Calibri" w:hAnsi="Calibri"/>
                <w:b/>
                <w:color w:val="1F2937"/>
                <w:sz w:val="18"/>
              </w:rPr>
              <w:t>Kannada</w:t>
            </w:r>
          </w:p>
        </w:tc>
        <w:tc>
          <w:tcPr>
            <w:tcW w:type="dxa" w:w="1800"/>
          </w:tcPr>
          <w:p>
            <w:pPr>
              <w:spacing w:before="0" w:after="0" w:line="259" w:lineRule="auto"/>
            </w:pPr>
            <w:r>
              <w:rPr>
                <w:rFonts w:ascii="Calibri" w:hAnsi="Calibri"/>
                <w:color w:val="1F2937"/>
                <w:sz w:val="18"/>
              </w:rPr>
              <w:t>Source + target</w:t>
            </w:r>
          </w:p>
        </w:tc>
        <w:tc>
          <w:tcPr>
            <w:tcW w:type="dxa" w:w="5760"/>
          </w:tcPr>
          <w:p>
            <w:pPr>
              <w:spacing w:before="0" w:after="0" w:line="259" w:lineRule="auto"/>
            </w:pPr>
            <w:r>
              <w:rPr>
                <w:rFonts w:ascii="Calibri" w:hAnsi="Calibri"/>
                <w:color w:val="1F2937"/>
                <w:sz w:val="18"/>
              </w:rPr>
              <w:t>Primary pilot source; code-switching with English is critical.</w:t>
            </w:r>
          </w:p>
        </w:tc>
      </w:tr>
      <w:tr>
        <w:trPr>
          <w:cantSplit/>
        </w:trPr>
        <w:tc>
          <w:tcPr>
            <w:tcW w:type="dxa" w:w="1800"/>
          </w:tcPr>
          <w:p>
            <w:pPr>
              <w:spacing w:before="0" w:after="0" w:line="259" w:lineRule="auto"/>
            </w:pPr>
            <w:r>
              <w:rPr>
                <w:rFonts w:ascii="Calibri" w:hAnsi="Calibri"/>
                <w:b/>
                <w:color w:val="1F2937"/>
                <w:sz w:val="18"/>
              </w:rPr>
              <w:t>English</w:t>
            </w:r>
          </w:p>
        </w:tc>
        <w:tc>
          <w:tcPr>
            <w:tcW w:type="dxa" w:w="1800"/>
          </w:tcPr>
          <w:p>
            <w:pPr>
              <w:spacing w:before="0" w:after="0" w:line="259" w:lineRule="auto"/>
            </w:pPr>
            <w:r>
              <w:rPr>
                <w:rFonts w:ascii="Calibri" w:hAnsi="Calibri"/>
                <w:color w:val="1F2937"/>
                <w:sz w:val="18"/>
              </w:rPr>
              <w:t>Source + target</w:t>
            </w:r>
          </w:p>
        </w:tc>
        <w:tc>
          <w:tcPr>
            <w:tcW w:type="dxa" w:w="5760"/>
          </w:tcPr>
          <w:p>
            <w:pPr>
              <w:spacing w:before="0" w:after="0" w:line="259" w:lineRule="auto"/>
            </w:pPr>
            <w:r>
              <w:rPr>
                <w:rFonts w:ascii="Calibri" w:hAnsi="Calibri"/>
                <w:color w:val="1F2937"/>
                <w:sz w:val="18"/>
              </w:rPr>
              <w:t>Technical terminology anchor and common target.</w:t>
            </w:r>
          </w:p>
        </w:tc>
      </w:tr>
      <w:tr>
        <w:trPr>
          <w:cantSplit/>
        </w:trPr>
        <w:tc>
          <w:tcPr>
            <w:tcW w:type="dxa" w:w="1800"/>
          </w:tcPr>
          <w:p>
            <w:pPr>
              <w:spacing w:before="0" w:after="0" w:line="259" w:lineRule="auto"/>
            </w:pPr>
            <w:r>
              <w:rPr>
                <w:rFonts w:ascii="Calibri" w:hAnsi="Calibri"/>
                <w:b/>
                <w:color w:val="1F2937"/>
                <w:sz w:val="18"/>
              </w:rPr>
              <w:t>Hindi</w:t>
            </w:r>
          </w:p>
        </w:tc>
        <w:tc>
          <w:tcPr>
            <w:tcW w:type="dxa" w:w="1800"/>
          </w:tcPr>
          <w:p>
            <w:pPr>
              <w:spacing w:before="0" w:after="0" w:line="259" w:lineRule="auto"/>
            </w:pPr>
            <w:r>
              <w:rPr>
                <w:rFonts w:ascii="Calibri" w:hAnsi="Calibri"/>
                <w:color w:val="1F2937"/>
                <w:sz w:val="18"/>
              </w:rPr>
              <w:t>Source + target</w:t>
            </w:r>
          </w:p>
        </w:tc>
        <w:tc>
          <w:tcPr>
            <w:tcW w:type="dxa" w:w="5760"/>
          </w:tcPr>
          <w:p>
            <w:pPr>
              <w:spacing w:before="0" w:after="0" w:line="259" w:lineRule="auto"/>
            </w:pPr>
            <w:r>
              <w:rPr>
                <w:rFonts w:ascii="Calibri" w:hAnsi="Calibri"/>
                <w:color w:val="1F2937"/>
                <w:sz w:val="18"/>
              </w:rPr>
              <w:t>Launch target and later source validation.</w:t>
            </w:r>
          </w:p>
        </w:tc>
      </w:tr>
      <w:tr>
        <w:trPr>
          <w:cantSplit/>
        </w:trPr>
        <w:tc>
          <w:tcPr>
            <w:tcW w:type="dxa" w:w="1800"/>
          </w:tcPr>
          <w:p>
            <w:pPr>
              <w:spacing w:before="0" w:after="0" w:line="259" w:lineRule="auto"/>
            </w:pPr>
            <w:r>
              <w:rPr>
                <w:rFonts w:ascii="Calibri" w:hAnsi="Calibri"/>
                <w:b/>
                <w:color w:val="1F2937"/>
                <w:sz w:val="18"/>
              </w:rPr>
              <w:t>Telugu</w:t>
            </w:r>
          </w:p>
        </w:tc>
        <w:tc>
          <w:tcPr>
            <w:tcW w:type="dxa" w:w="1800"/>
          </w:tcPr>
          <w:p>
            <w:pPr>
              <w:spacing w:before="0" w:after="0" w:line="259" w:lineRule="auto"/>
            </w:pPr>
            <w:r>
              <w:rPr>
                <w:rFonts w:ascii="Calibri" w:hAnsi="Calibri"/>
                <w:color w:val="1F2937"/>
                <w:sz w:val="18"/>
              </w:rPr>
              <w:t>Source + target</w:t>
            </w:r>
          </w:p>
        </w:tc>
        <w:tc>
          <w:tcPr>
            <w:tcW w:type="dxa" w:w="5760"/>
          </w:tcPr>
          <w:p>
            <w:pPr>
              <w:spacing w:before="0" w:after="0" w:line="259" w:lineRule="auto"/>
            </w:pPr>
            <w:r>
              <w:rPr>
                <w:rFonts w:ascii="Calibri" w:hAnsi="Calibri"/>
                <w:color w:val="1F2937"/>
                <w:sz w:val="18"/>
              </w:rPr>
              <w:t>Launch target and later source validation.</w:t>
            </w:r>
          </w:p>
        </w:tc>
      </w:tr>
    </w:tbl>
    <w:p>
      <w:pPr>
        <w:spacing w:before="80" w:after="0"/>
      </w:pPr>
    </w:p>
    <w:p>
      <w:pPr>
        <w:pStyle w:val="Heading1"/>
      </w:pPr>
      <w:r>
        <w:t>7. Functional requirements</w:t>
      </w:r>
    </w:p>
    <w:p>
      <w:pPr>
        <w:pStyle w:val="Heading2"/>
      </w:pPr>
      <w:r>
        <w:t>7.1 Event setup and presenter controls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4440"/>
        <w:gridCol w:w="720"/>
        <w:gridCol w:w="330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4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w:t>
            </w:r>
          </w:p>
        </w:tc>
        <w:tc>
          <w:tcPr>
            <w:tcW w:type="dxa" w:w="33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Acceptance signal</w:t>
            </w:r>
          </w:p>
        </w:tc>
      </w:tr>
      <w:tr>
        <w:trPr>
          <w:cantSplit/>
        </w:trPr>
        <w:tc>
          <w:tcPr>
            <w:tcW w:type="dxa" w:w="900"/>
          </w:tcPr>
          <w:p>
            <w:pPr>
              <w:spacing w:before="0" w:after="0" w:line="259" w:lineRule="auto"/>
            </w:pPr>
            <w:r>
              <w:rPr>
                <w:rFonts w:ascii="Calibri" w:hAnsi="Calibri"/>
                <w:b/>
                <w:color w:val="1F2937"/>
                <w:sz w:val="18"/>
              </w:rPr>
              <w:t>FR-001</w:t>
            </w:r>
          </w:p>
        </w:tc>
        <w:tc>
          <w:tcPr>
            <w:tcW w:type="dxa" w:w="4440"/>
          </w:tcPr>
          <w:p>
            <w:pPr>
              <w:spacing w:before="0" w:after="0" w:line="259" w:lineRule="auto"/>
            </w:pPr>
            <w:r>
              <w:rPr>
                <w:rFonts w:ascii="Calibri" w:hAnsi="Calibri"/>
                <w:color w:val="1F2937"/>
                <w:sz w:val="18"/>
              </w:rPr>
              <w:t>Authenticated organizer can create, edit, duplicate, and cancel an event.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Event persists with owner, time, status, and join URL.</w:t>
            </w:r>
          </w:p>
        </w:tc>
      </w:tr>
      <w:tr>
        <w:trPr>
          <w:cantSplit/>
        </w:trPr>
        <w:tc>
          <w:tcPr>
            <w:tcW w:type="dxa" w:w="900"/>
          </w:tcPr>
          <w:p>
            <w:pPr>
              <w:spacing w:before="0" w:after="0" w:line="259" w:lineRule="auto"/>
            </w:pPr>
            <w:r>
              <w:rPr>
                <w:rFonts w:ascii="Calibri" w:hAnsi="Calibri"/>
                <w:b/>
                <w:color w:val="1F2937"/>
                <w:sz w:val="18"/>
              </w:rPr>
              <w:t>FR-002</w:t>
            </w:r>
          </w:p>
        </w:tc>
        <w:tc>
          <w:tcPr>
            <w:tcW w:type="dxa" w:w="4440"/>
          </w:tcPr>
          <w:p>
            <w:pPr>
              <w:spacing w:before="0" w:after="0" w:line="259" w:lineRule="auto"/>
            </w:pPr>
            <w:r>
              <w:rPr>
                <w:rFonts w:ascii="Calibri" w:hAnsi="Calibri"/>
                <w:color w:val="1F2937"/>
                <w:sz w:val="18"/>
              </w:rPr>
              <w:t>Organizer selects one source and up to three target languages.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Invalid combinations are blocked before broadcast.</w:t>
            </w:r>
          </w:p>
        </w:tc>
      </w:tr>
      <w:tr>
        <w:trPr>
          <w:cantSplit/>
        </w:trPr>
        <w:tc>
          <w:tcPr>
            <w:tcW w:type="dxa" w:w="900"/>
          </w:tcPr>
          <w:p>
            <w:pPr>
              <w:spacing w:before="0" w:after="0" w:line="259" w:lineRule="auto"/>
            </w:pPr>
            <w:r>
              <w:rPr>
                <w:rFonts w:ascii="Calibri" w:hAnsi="Calibri"/>
                <w:b/>
                <w:color w:val="1F2937"/>
                <w:sz w:val="18"/>
              </w:rPr>
              <w:t>FR-003</w:t>
            </w:r>
          </w:p>
        </w:tc>
        <w:tc>
          <w:tcPr>
            <w:tcW w:type="dxa" w:w="4440"/>
          </w:tcPr>
          <w:p>
            <w:pPr>
              <w:spacing w:before="0" w:after="0" w:line="259" w:lineRule="auto"/>
            </w:pPr>
            <w:r>
              <w:rPr>
                <w:rFonts w:ascii="Calibri" w:hAnsi="Calibri"/>
                <w:color w:val="1F2937"/>
                <w:sz w:val="18"/>
              </w:rPr>
              <w:t>Organizer uploads PPT, PPTX, PDF, TXT, or CSV glossary content.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Supported content is parsed and processing status is visible.</w:t>
            </w:r>
          </w:p>
        </w:tc>
      </w:tr>
      <w:tr>
        <w:trPr>
          <w:cantSplit/>
        </w:trPr>
        <w:tc>
          <w:tcPr>
            <w:tcW w:type="dxa" w:w="900"/>
          </w:tcPr>
          <w:p>
            <w:pPr>
              <w:spacing w:before="0" w:after="0" w:line="259" w:lineRule="auto"/>
            </w:pPr>
            <w:r>
              <w:rPr>
                <w:rFonts w:ascii="Calibri" w:hAnsi="Calibri"/>
                <w:b/>
                <w:color w:val="1F2937"/>
                <w:sz w:val="18"/>
              </w:rPr>
              <w:t>FR-004</w:t>
            </w:r>
          </w:p>
        </w:tc>
        <w:tc>
          <w:tcPr>
            <w:tcW w:type="dxa" w:w="4440"/>
          </w:tcPr>
          <w:p>
            <w:pPr>
              <w:spacing w:before="0" w:after="0" w:line="259" w:lineRule="auto"/>
            </w:pPr>
            <w:r>
              <w:rPr>
                <w:rFonts w:ascii="Calibri" w:hAnsi="Calibri"/>
                <w:color w:val="1F2937"/>
                <w:sz w:val="18"/>
              </w:rPr>
              <w:t>System extracts candidate terms, names, abbreviations, and numbers for review.</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Presenter can approve, edit, or remove extracted items.</w:t>
            </w:r>
          </w:p>
        </w:tc>
      </w:tr>
      <w:tr>
        <w:trPr>
          <w:cantSplit/>
        </w:trPr>
        <w:tc>
          <w:tcPr>
            <w:tcW w:type="dxa" w:w="900"/>
          </w:tcPr>
          <w:p>
            <w:pPr>
              <w:spacing w:before="0" w:after="0" w:line="259" w:lineRule="auto"/>
            </w:pPr>
            <w:r>
              <w:rPr>
                <w:rFonts w:ascii="Calibri" w:hAnsi="Calibri"/>
                <w:b/>
                <w:color w:val="1F2937"/>
                <w:sz w:val="18"/>
              </w:rPr>
              <w:t>FR-005</w:t>
            </w:r>
          </w:p>
        </w:tc>
        <w:tc>
          <w:tcPr>
            <w:tcW w:type="dxa" w:w="4440"/>
          </w:tcPr>
          <w:p>
            <w:pPr>
              <w:spacing w:before="0" w:after="0" w:line="259" w:lineRule="auto"/>
            </w:pPr>
            <w:r>
              <w:rPr>
                <w:rFonts w:ascii="Calibri" w:hAnsi="Calibri"/>
                <w:color w:val="1F2937"/>
                <w:sz w:val="18"/>
              </w:rPr>
              <w:t>Host selects an audio input and sees input level, noise, and network preflight.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Broadcast cannot start without explicit warning acknowledgment.</w:t>
            </w:r>
          </w:p>
        </w:tc>
      </w:tr>
      <w:tr>
        <w:trPr>
          <w:cantSplit/>
        </w:trPr>
        <w:tc>
          <w:tcPr>
            <w:tcW w:type="dxa" w:w="900"/>
          </w:tcPr>
          <w:p>
            <w:pPr>
              <w:spacing w:before="0" w:after="0" w:line="259" w:lineRule="auto"/>
            </w:pPr>
            <w:r>
              <w:rPr>
                <w:rFonts w:ascii="Calibri" w:hAnsi="Calibri"/>
                <w:b/>
                <w:color w:val="1F2937"/>
                <w:sz w:val="18"/>
              </w:rPr>
              <w:t>FR-006</w:t>
            </w:r>
          </w:p>
        </w:tc>
        <w:tc>
          <w:tcPr>
            <w:tcW w:type="dxa" w:w="4440"/>
          </w:tcPr>
          <w:p>
            <w:pPr>
              <w:spacing w:before="0" w:after="0" w:line="259" w:lineRule="auto"/>
            </w:pPr>
            <w:r>
              <w:rPr>
                <w:rFonts w:ascii="Calibri" w:hAnsi="Calibri"/>
                <w:color w:val="1F2937"/>
                <w:sz w:val="18"/>
              </w:rPr>
              <w:t>Host starts, pauses, resumes, and stops a broadcast.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Attendee state reflects transition within five seconds.</w:t>
            </w:r>
          </w:p>
        </w:tc>
      </w:tr>
      <w:tr>
        <w:trPr>
          <w:cantSplit/>
        </w:trPr>
        <w:tc>
          <w:tcPr>
            <w:tcW w:type="dxa" w:w="900"/>
          </w:tcPr>
          <w:p>
            <w:pPr>
              <w:spacing w:before="0" w:after="0" w:line="259" w:lineRule="auto"/>
            </w:pPr>
            <w:r>
              <w:rPr>
                <w:rFonts w:ascii="Calibri" w:hAnsi="Calibri"/>
                <w:b/>
                <w:color w:val="1F2937"/>
                <w:sz w:val="18"/>
              </w:rPr>
              <w:t>FR-007</w:t>
            </w:r>
          </w:p>
        </w:tc>
        <w:tc>
          <w:tcPr>
            <w:tcW w:type="dxa" w:w="4440"/>
          </w:tcPr>
          <w:p>
            <w:pPr>
              <w:spacing w:before="0" w:after="0" w:line="259" w:lineRule="auto"/>
            </w:pPr>
            <w:r>
              <w:rPr>
                <w:rFonts w:ascii="Calibri" w:hAnsi="Calibri"/>
                <w:color w:val="1F2937"/>
                <w:sz w:val="18"/>
              </w:rPr>
              <w:t>Host sees source and per-language translated transcript streams.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Interim and final segments are visually distinct.</w:t>
            </w:r>
          </w:p>
        </w:tc>
      </w:tr>
      <w:tr>
        <w:trPr>
          <w:cantSplit/>
        </w:trPr>
        <w:tc>
          <w:tcPr>
            <w:tcW w:type="dxa" w:w="900"/>
          </w:tcPr>
          <w:p>
            <w:pPr>
              <w:spacing w:before="0" w:after="0" w:line="259" w:lineRule="auto"/>
            </w:pPr>
            <w:r>
              <w:rPr>
                <w:rFonts w:ascii="Calibri" w:hAnsi="Calibri"/>
                <w:b/>
                <w:color w:val="1F2937"/>
                <w:sz w:val="18"/>
              </w:rPr>
              <w:t>FR-008</w:t>
            </w:r>
          </w:p>
        </w:tc>
        <w:tc>
          <w:tcPr>
            <w:tcW w:type="dxa" w:w="4440"/>
          </w:tcPr>
          <w:p>
            <w:pPr>
              <w:spacing w:before="0" w:after="0" w:line="259" w:lineRule="auto"/>
            </w:pPr>
            <w:r>
              <w:rPr>
                <w:rFonts w:ascii="Calibri" w:hAnsi="Calibri"/>
                <w:color w:val="1F2937"/>
                <w:sz w:val="18"/>
              </w:rPr>
              <w:t>Host sees attendee count, language mix, channel health, and stage latency.</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Metrics refresh at least every five seconds.</w:t>
            </w:r>
          </w:p>
        </w:tc>
      </w:tr>
      <w:tr>
        <w:trPr>
          <w:cantSplit/>
        </w:trPr>
        <w:tc>
          <w:tcPr>
            <w:tcW w:type="dxa" w:w="900"/>
          </w:tcPr>
          <w:p>
            <w:pPr>
              <w:spacing w:before="0" w:after="0" w:line="259" w:lineRule="auto"/>
            </w:pPr>
            <w:r>
              <w:rPr>
                <w:rFonts w:ascii="Calibri" w:hAnsi="Calibri"/>
                <w:b/>
                <w:color w:val="1F2937"/>
                <w:sz w:val="18"/>
              </w:rPr>
              <w:t>FR-009</w:t>
            </w:r>
          </w:p>
        </w:tc>
        <w:tc>
          <w:tcPr>
            <w:tcW w:type="dxa" w:w="4440"/>
          </w:tcPr>
          <w:p>
            <w:pPr>
              <w:spacing w:before="0" w:after="0" w:line="259" w:lineRule="auto"/>
            </w:pPr>
            <w:r>
              <w:rPr>
                <w:rFonts w:ascii="Calibri" w:hAnsi="Calibri"/>
                <w:color w:val="1F2937"/>
                <w:sz w:val="18"/>
              </w:rPr>
              <w:t>Moderator corrects a term or phrase and reuses the correction for later segments.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Correction is timestamped and applied prospectively.</w:t>
            </w:r>
          </w:p>
        </w:tc>
      </w:tr>
      <w:tr>
        <w:trPr>
          <w:cantSplit/>
        </w:trPr>
        <w:tc>
          <w:tcPr>
            <w:tcW w:type="dxa" w:w="900"/>
          </w:tcPr>
          <w:p>
            <w:pPr>
              <w:spacing w:before="0" w:after="0" w:line="259" w:lineRule="auto"/>
            </w:pPr>
            <w:r>
              <w:rPr>
                <w:rFonts w:ascii="Calibri" w:hAnsi="Calibri"/>
                <w:b/>
                <w:color w:val="1F2937"/>
                <w:sz w:val="18"/>
              </w:rPr>
              <w:t>FR-010</w:t>
            </w:r>
          </w:p>
        </w:tc>
        <w:tc>
          <w:tcPr>
            <w:tcW w:type="dxa" w:w="4440"/>
          </w:tcPr>
          <w:p>
            <w:pPr>
              <w:spacing w:before="0" w:after="0" w:line="259" w:lineRule="auto"/>
            </w:pPr>
            <w:r>
              <w:rPr>
                <w:rFonts w:ascii="Calibri" w:hAnsi="Calibri"/>
                <w:color w:val="1F2937"/>
                <w:sz w:val="18"/>
              </w:rPr>
              <w:t>Host can display or copy a QR code and join URL.</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QR resolves to the correct live event.</w:t>
            </w:r>
          </w:p>
        </w:tc>
      </w:tr>
    </w:tbl>
    <w:p>
      <w:pPr>
        <w:spacing w:before="80" w:after="0"/>
      </w:pPr>
    </w:p>
    <w:p>
      <w:pPr>
        <w:pStyle w:val="Heading2"/>
      </w:pPr>
      <w:r>
        <w:t>7.2 Attendee experience</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4440"/>
        <w:gridCol w:w="720"/>
        <w:gridCol w:w="330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4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w:t>
            </w:r>
          </w:p>
        </w:tc>
        <w:tc>
          <w:tcPr>
            <w:tcW w:type="dxa" w:w="33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Acceptance signal</w:t>
            </w:r>
          </w:p>
        </w:tc>
      </w:tr>
      <w:tr>
        <w:trPr>
          <w:cantSplit/>
        </w:trPr>
        <w:tc>
          <w:tcPr>
            <w:tcW w:type="dxa" w:w="900"/>
          </w:tcPr>
          <w:p>
            <w:pPr>
              <w:spacing w:before="0" w:after="0" w:line="259" w:lineRule="auto"/>
            </w:pPr>
            <w:r>
              <w:rPr>
                <w:rFonts w:ascii="Calibri" w:hAnsi="Calibri"/>
                <w:b/>
                <w:color w:val="1F2937"/>
                <w:sz w:val="18"/>
              </w:rPr>
              <w:t>FR-011</w:t>
            </w:r>
          </w:p>
        </w:tc>
        <w:tc>
          <w:tcPr>
            <w:tcW w:type="dxa" w:w="4440"/>
          </w:tcPr>
          <w:p>
            <w:pPr>
              <w:spacing w:before="0" w:after="0" w:line="259" w:lineRule="auto"/>
            </w:pPr>
            <w:r>
              <w:rPr>
                <w:rFonts w:ascii="Calibri" w:hAnsi="Calibri"/>
                <w:color w:val="1F2937"/>
                <w:sz w:val="18"/>
              </w:rPr>
              <w:t>Attendee joins without login or installation.</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Supported browser opens directly to language selection.</w:t>
            </w:r>
          </w:p>
        </w:tc>
      </w:tr>
      <w:tr>
        <w:trPr>
          <w:cantSplit/>
        </w:trPr>
        <w:tc>
          <w:tcPr>
            <w:tcW w:type="dxa" w:w="900"/>
          </w:tcPr>
          <w:p>
            <w:pPr>
              <w:spacing w:before="0" w:after="0" w:line="259" w:lineRule="auto"/>
            </w:pPr>
            <w:r>
              <w:rPr>
                <w:rFonts w:ascii="Calibri" w:hAnsi="Calibri"/>
                <w:b/>
                <w:color w:val="1F2937"/>
                <w:sz w:val="18"/>
              </w:rPr>
              <w:t>FR-012</w:t>
            </w:r>
          </w:p>
        </w:tc>
        <w:tc>
          <w:tcPr>
            <w:tcW w:type="dxa" w:w="4440"/>
          </w:tcPr>
          <w:p>
            <w:pPr>
              <w:spacing w:before="0" w:after="0" w:line="259" w:lineRule="auto"/>
            </w:pPr>
            <w:r>
              <w:rPr>
                <w:rFonts w:ascii="Calibri" w:hAnsi="Calibri"/>
                <w:color w:val="1F2937"/>
                <w:sz w:val="18"/>
              </w:rPr>
              <w:t>Attendee selects or changes the preferred language during the session.</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Audio/captions switch without rejoining the event.</w:t>
            </w:r>
          </w:p>
        </w:tc>
      </w:tr>
      <w:tr>
        <w:trPr>
          <w:cantSplit/>
        </w:trPr>
        <w:tc>
          <w:tcPr>
            <w:tcW w:type="dxa" w:w="900"/>
          </w:tcPr>
          <w:p>
            <w:pPr>
              <w:spacing w:before="0" w:after="0" w:line="259" w:lineRule="auto"/>
            </w:pPr>
            <w:r>
              <w:rPr>
                <w:rFonts w:ascii="Calibri" w:hAnsi="Calibri"/>
                <w:b/>
                <w:color w:val="1F2937"/>
                <w:sz w:val="18"/>
              </w:rPr>
              <w:t>FR-013</w:t>
            </w:r>
          </w:p>
        </w:tc>
        <w:tc>
          <w:tcPr>
            <w:tcW w:type="dxa" w:w="4440"/>
          </w:tcPr>
          <w:p>
            <w:pPr>
              <w:spacing w:before="0" w:after="0" w:line="259" w:lineRule="auto"/>
            </w:pPr>
            <w:r>
              <w:rPr>
                <w:rFonts w:ascii="Calibri" w:hAnsi="Calibri"/>
                <w:color w:val="1F2937"/>
                <w:sz w:val="18"/>
              </w:rPr>
              <w:t>Audio starts only after an explicit Start Listening gesture.</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Works within iOS and Android autoplay policies.</w:t>
            </w:r>
          </w:p>
        </w:tc>
      </w:tr>
      <w:tr>
        <w:trPr>
          <w:cantSplit/>
        </w:trPr>
        <w:tc>
          <w:tcPr>
            <w:tcW w:type="dxa" w:w="900"/>
          </w:tcPr>
          <w:p>
            <w:pPr>
              <w:spacing w:before="0" w:after="0" w:line="259" w:lineRule="auto"/>
            </w:pPr>
            <w:r>
              <w:rPr>
                <w:rFonts w:ascii="Calibri" w:hAnsi="Calibri"/>
                <w:b/>
                <w:color w:val="1F2937"/>
                <w:sz w:val="18"/>
              </w:rPr>
              <w:t>FR-014</w:t>
            </w:r>
          </w:p>
        </w:tc>
        <w:tc>
          <w:tcPr>
            <w:tcW w:type="dxa" w:w="4440"/>
          </w:tcPr>
          <w:p>
            <w:pPr>
              <w:spacing w:before="0" w:after="0" w:line="259" w:lineRule="auto"/>
            </w:pPr>
            <w:r>
              <w:rPr>
                <w:rFonts w:ascii="Calibri" w:hAnsi="Calibri"/>
                <w:color w:val="1F2937"/>
                <w:sz w:val="18"/>
              </w:rPr>
              <w:t>Attendee can view translation, original, or both caption tracks.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Selection persists for the browser session.</w:t>
            </w:r>
          </w:p>
        </w:tc>
      </w:tr>
      <w:tr>
        <w:trPr>
          <w:cantSplit/>
        </w:trPr>
        <w:tc>
          <w:tcPr>
            <w:tcW w:type="dxa" w:w="900"/>
          </w:tcPr>
          <w:p>
            <w:pPr>
              <w:spacing w:before="0" w:after="0" w:line="259" w:lineRule="auto"/>
            </w:pPr>
            <w:r>
              <w:rPr>
                <w:rFonts w:ascii="Calibri" w:hAnsi="Calibri"/>
                <w:b/>
                <w:color w:val="1F2937"/>
                <w:sz w:val="18"/>
              </w:rPr>
              <w:t>FR-015</w:t>
            </w:r>
          </w:p>
        </w:tc>
        <w:tc>
          <w:tcPr>
            <w:tcW w:type="dxa" w:w="4440"/>
          </w:tcPr>
          <w:p>
            <w:pPr>
              <w:spacing w:before="0" w:after="0" w:line="259" w:lineRule="auto"/>
            </w:pPr>
            <w:r>
              <w:rPr>
                <w:rFonts w:ascii="Calibri" w:hAnsi="Calibri"/>
                <w:color w:val="1F2937"/>
                <w:sz w:val="18"/>
              </w:rPr>
              <w:t>Attendee adjusts caption size and translated-audio volume.</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Controls are keyboard and touch accessible.</w:t>
            </w:r>
          </w:p>
        </w:tc>
      </w:tr>
      <w:tr>
        <w:trPr>
          <w:cantSplit/>
        </w:trPr>
        <w:tc>
          <w:tcPr>
            <w:tcW w:type="dxa" w:w="900"/>
          </w:tcPr>
          <w:p>
            <w:pPr>
              <w:spacing w:before="0" w:after="0" w:line="259" w:lineRule="auto"/>
            </w:pPr>
            <w:r>
              <w:rPr>
                <w:rFonts w:ascii="Calibri" w:hAnsi="Calibri"/>
                <w:b/>
                <w:color w:val="1F2937"/>
                <w:sz w:val="18"/>
              </w:rPr>
              <w:t>FR-016</w:t>
            </w:r>
          </w:p>
        </w:tc>
        <w:tc>
          <w:tcPr>
            <w:tcW w:type="dxa" w:w="4440"/>
          </w:tcPr>
          <w:p>
            <w:pPr>
              <w:spacing w:before="0" w:after="0" w:line="259" w:lineRule="auto"/>
            </w:pPr>
            <w:r>
              <w:rPr>
                <w:rFonts w:ascii="Calibri" w:hAnsi="Calibri"/>
                <w:color w:val="1F2937"/>
                <w:sz w:val="18"/>
              </w:rPr>
              <w:t>Attendee selects audio + captions, low-bandwidth audio, or captions only.</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Mode change preserves session position.</w:t>
            </w:r>
          </w:p>
        </w:tc>
      </w:tr>
      <w:tr>
        <w:trPr>
          <w:cantSplit/>
        </w:trPr>
        <w:tc>
          <w:tcPr>
            <w:tcW w:type="dxa" w:w="900"/>
          </w:tcPr>
          <w:p>
            <w:pPr>
              <w:spacing w:before="0" w:after="0" w:line="259" w:lineRule="auto"/>
            </w:pPr>
            <w:r>
              <w:rPr>
                <w:rFonts w:ascii="Calibri" w:hAnsi="Calibri"/>
                <w:b/>
                <w:color w:val="1F2937"/>
                <w:sz w:val="18"/>
              </w:rPr>
              <w:t>FR-017</w:t>
            </w:r>
          </w:p>
        </w:tc>
        <w:tc>
          <w:tcPr>
            <w:tcW w:type="dxa" w:w="4440"/>
          </w:tcPr>
          <w:p>
            <w:pPr>
              <w:spacing w:before="0" w:after="0" w:line="259" w:lineRule="auto"/>
            </w:pPr>
            <w:r>
              <w:rPr>
                <w:rFonts w:ascii="Calibri" w:hAnsi="Calibri"/>
                <w:color w:val="1F2937"/>
                <w:sz w:val="18"/>
              </w:rPr>
              <w:t>Client reconnects automatically after transient network loss.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User sees state; 95% recover within 10 seconds in test conditions.</w:t>
            </w:r>
          </w:p>
        </w:tc>
      </w:tr>
      <w:tr>
        <w:trPr>
          <w:cantSplit/>
        </w:trPr>
        <w:tc>
          <w:tcPr>
            <w:tcW w:type="dxa" w:w="900"/>
          </w:tcPr>
          <w:p>
            <w:pPr>
              <w:spacing w:before="0" w:after="0" w:line="259" w:lineRule="auto"/>
            </w:pPr>
            <w:r>
              <w:rPr>
                <w:rFonts w:ascii="Calibri" w:hAnsi="Calibri"/>
                <w:b/>
                <w:color w:val="1F2937"/>
                <w:sz w:val="18"/>
              </w:rPr>
              <w:t>FR-018</w:t>
            </w:r>
          </w:p>
        </w:tc>
        <w:tc>
          <w:tcPr>
            <w:tcW w:type="dxa" w:w="4440"/>
          </w:tcPr>
          <w:p>
            <w:pPr>
              <w:spacing w:before="0" w:after="0" w:line="259" w:lineRule="auto"/>
            </w:pPr>
            <w:r>
              <w:rPr>
                <w:rFonts w:ascii="Calibri" w:hAnsi="Calibri"/>
                <w:color w:val="1F2937"/>
                <w:sz w:val="18"/>
              </w:rPr>
              <w:t>System shows original text and uncertainty treatment for low-confidence content.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Names/numbers are not silently replaced when confidence is low.</w:t>
            </w:r>
          </w:p>
        </w:tc>
      </w:tr>
    </w:tbl>
    <w:p>
      <w:pPr>
        <w:spacing w:before="80" w:after="0"/>
      </w:pPr>
    </w:p>
    <w:p>
      <w:pPr>
        <w:pStyle w:val="Heading2"/>
      </w:pPr>
      <w:r>
        <w:t>7.3 Post-event outputs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4440"/>
        <w:gridCol w:w="720"/>
        <w:gridCol w:w="330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4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w:t>
            </w:r>
          </w:p>
        </w:tc>
        <w:tc>
          <w:tcPr>
            <w:tcW w:type="dxa" w:w="33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Acceptance signal</w:t>
            </w:r>
          </w:p>
        </w:tc>
      </w:tr>
      <w:tr>
        <w:trPr>
          <w:cantSplit/>
        </w:trPr>
        <w:tc>
          <w:tcPr>
            <w:tcW w:type="dxa" w:w="900"/>
          </w:tcPr>
          <w:p>
            <w:pPr>
              <w:spacing w:before="0" w:after="0" w:line="259" w:lineRule="auto"/>
            </w:pPr>
            <w:r>
              <w:rPr>
                <w:rFonts w:ascii="Calibri" w:hAnsi="Calibri"/>
                <w:b/>
                <w:color w:val="1F2937"/>
                <w:sz w:val="18"/>
              </w:rPr>
              <w:t>FR-019</w:t>
            </w:r>
          </w:p>
        </w:tc>
        <w:tc>
          <w:tcPr>
            <w:tcW w:type="dxa" w:w="4440"/>
          </w:tcPr>
          <w:p>
            <w:pPr>
              <w:spacing w:before="0" w:after="0" w:line="259" w:lineRule="auto"/>
            </w:pPr>
            <w:r>
              <w:rPr>
                <w:rFonts w:ascii="Calibri" w:hAnsi="Calibri"/>
                <w:color w:val="1F2937"/>
                <w:sz w:val="18"/>
              </w:rPr>
              <w:t>Generate an original transcript with timestamps.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Available for organizer review after processing.</w:t>
            </w:r>
          </w:p>
        </w:tc>
      </w:tr>
      <w:tr>
        <w:trPr>
          <w:cantSplit/>
        </w:trPr>
        <w:tc>
          <w:tcPr>
            <w:tcW w:type="dxa" w:w="900"/>
          </w:tcPr>
          <w:p>
            <w:pPr>
              <w:spacing w:before="0" w:after="0" w:line="259" w:lineRule="auto"/>
            </w:pPr>
            <w:r>
              <w:rPr>
                <w:rFonts w:ascii="Calibri" w:hAnsi="Calibri"/>
                <w:b/>
                <w:color w:val="1F2937"/>
                <w:sz w:val="18"/>
              </w:rPr>
              <w:t>FR-020</w:t>
            </w:r>
          </w:p>
        </w:tc>
        <w:tc>
          <w:tcPr>
            <w:tcW w:type="dxa" w:w="4440"/>
          </w:tcPr>
          <w:p>
            <w:pPr>
              <w:spacing w:before="0" w:after="0" w:line="259" w:lineRule="auto"/>
            </w:pPr>
            <w:r>
              <w:rPr>
                <w:rFonts w:ascii="Calibri" w:hAnsi="Calibri"/>
                <w:color w:val="1F2937"/>
                <w:sz w:val="18"/>
              </w:rPr>
              <w:t>Generate timestamp-aligned translated transcripts for active languages.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Segments map back to source segments.</w:t>
            </w:r>
          </w:p>
        </w:tc>
      </w:tr>
      <w:tr>
        <w:trPr>
          <w:cantSplit/>
        </w:trPr>
        <w:tc>
          <w:tcPr>
            <w:tcW w:type="dxa" w:w="900"/>
          </w:tcPr>
          <w:p>
            <w:pPr>
              <w:spacing w:before="0" w:after="0" w:line="259" w:lineRule="auto"/>
            </w:pPr>
            <w:r>
              <w:rPr>
                <w:rFonts w:ascii="Calibri" w:hAnsi="Calibri"/>
                <w:b/>
                <w:color w:val="1F2937"/>
                <w:sz w:val="18"/>
              </w:rPr>
              <w:t>FR-021</w:t>
            </w:r>
          </w:p>
        </w:tc>
        <w:tc>
          <w:tcPr>
            <w:tcW w:type="dxa" w:w="4440"/>
          </w:tcPr>
          <w:p>
            <w:pPr>
              <w:spacing w:before="0" w:after="0" w:line="259" w:lineRule="auto"/>
            </w:pPr>
            <w:r>
              <w:rPr>
                <w:rFonts w:ascii="Calibri" w:hAnsi="Calibri"/>
                <w:color w:val="1F2937"/>
                <w:sz w:val="18"/>
              </w:rPr>
              <w:t>Generate session summary, key points, and multilingual notes.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Organizer can review before attendee sharing.</w:t>
            </w:r>
          </w:p>
        </w:tc>
      </w:tr>
      <w:tr>
        <w:trPr>
          <w:cantSplit/>
        </w:trPr>
        <w:tc>
          <w:tcPr>
            <w:tcW w:type="dxa" w:w="900"/>
          </w:tcPr>
          <w:p>
            <w:pPr>
              <w:spacing w:before="0" w:after="0" w:line="259" w:lineRule="auto"/>
            </w:pPr>
            <w:r>
              <w:rPr>
                <w:rFonts w:ascii="Calibri" w:hAnsi="Calibri"/>
                <w:b/>
                <w:color w:val="1F2937"/>
                <w:sz w:val="18"/>
              </w:rPr>
              <w:t>FR-022</w:t>
            </w:r>
          </w:p>
        </w:tc>
        <w:tc>
          <w:tcPr>
            <w:tcW w:type="dxa" w:w="4440"/>
          </w:tcPr>
          <w:p>
            <w:pPr>
              <w:spacing w:before="0" w:after="0" w:line="259" w:lineRule="auto"/>
            </w:pPr>
            <w:r>
              <w:rPr>
                <w:rFonts w:ascii="Calibri" w:hAnsi="Calibri"/>
                <w:color w:val="1F2937"/>
                <w:sz w:val="18"/>
              </w:rPr>
              <w:t>Export captions and transcripts in TXT, SRT, and VTT.</w:t>
            </w:r>
          </w:p>
        </w:tc>
        <w:tc>
          <w:tcPr>
            <w:tcW w:type="dxa" w:w="720"/>
          </w:tcPr>
          <w:p>
            <w:pPr>
              <w:spacing w:before="0" w:after="0" w:line="259" w:lineRule="auto"/>
            </w:pPr>
            <w:r>
              <w:rPr>
                <w:rFonts w:ascii="Calibri" w:hAnsi="Calibri"/>
                <w:color w:val="1F2937"/>
                <w:sz w:val="18"/>
              </w:rPr>
              <w:t>P1</w:t>
            </w:r>
          </w:p>
        </w:tc>
        <w:tc>
          <w:tcPr>
            <w:tcW w:type="dxa" w:w="3300"/>
          </w:tcPr>
          <w:p>
            <w:pPr>
              <w:spacing w:before="0" w:after="0" w:line="259" w:lineRule="auto"/>
            </w:pPr>
            <w:r>
              <w:rPr>
                <w:rFonts w:ascii="Calibri" w:hAnsi="Calibri"/>
                <w:color w:val="1F2937"/>
                <w:sz w:val="18"/>
              </w:rPr>
              <w:t>Files pass format validation and preserve timestamps.</w:t>
            </w:r>
          </w:p>
        </w:tc>
      </w:tr>
      <w:tr>
        <w:trPr>
          <w:cantSplit/>
        </w:trPr>
        <w:tc>
          <w:tcPr>
            <w:tcW w:type="dxa" w:w="900"/>
          </w:tcPr>
          <w:p>
            <w:pPr>
              <w:spacing w:before="0" w:after="0" w:line="259" w:lineRule="auto"/>
            </w:pPr>
            <w:r>
              <w:rPr>
                <w:rFonts w:ascii="Calibri" w:hAnsi="Calibri"/>
                <w:b/>
                <w:color w:val="1F2937"/>
                <w:sz w:val="18"/>
              </w:rPr>
              <w:t>FR-023</w:t>
            </w:r>
          </w:p>
        </w:tc>
        <w:tc>
          <w:tcPr>
            <w:tcW w:type="dxa" w:w="4440"/>
          </w:tcPr>
          <w:p>
            <w:pPr>
              <w:spacing w:before="0" w:after="0" w:line="259" w:lineRule="auto"/>
            </w:pPr>
            <w:r>
              <w:rPr>
                <w:rFonts w:ascii="Calibri" w:hAnsi="Calibri"/>
                <w:color w:val="1F2937"/>
                <w:sz w:val="18"/>
              </w:rPr>
              <w:t>Provide attendance, peak concurrency, language choice, join, and reconnect analytics.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Dashboard and CSV export are available.</w:t>
            </w:r>
          </w:p>
        </w:tc>
      </w:tr>
      <w:tr>
        <w:trPr>
          <w:cantSplit/>
        </w:trPr>
        <w:tc>
          <w:tcPr>
            <w:tcW w:type="dxa" w:w="900"/>
          </w:tcPr>
          <w:p>
            <w:pPr>
              <w:spacing w:before="0" w:after="0" w:line="259" w:lineRule="auto"/>
            </w:pPr>
            <w:r>
              <w:rPr>
                <w:rFonts w:ascii="Calibri" w:hAnsi="Calibri"/>
                <w:b/>
                <w:color w:val="1F2937"/>
                <w:sz w:val="18"/>
              </w:rPr>
              <w:t>FR-024</w:t>
            </w:r>
          </w:p>
        </w:tc>
        <w:tc>
          <w:tcPr>
            <w:tcW w:type="dxa" w:w="4440"/>
          </w:tcPr>
          <w:p>
            <w:pPr>
              <w:spacing w:before="0" w:after="0" w:line="259" w:lineRule="auto"/>
            </w:pPr>
            <w:r>
              <w:rPr>
                <w:rFonts w:ascii="Calibri" w:hAnsi="Calibri"/>
                <w:color w:val="1F2937"/>
                <w:sz w:val="18"/>
              </w:rPr>
              <w:t>Provide searchable, synchronized recording playback.</w:t>
            </w:r>
          </w:p>
        </w:tc>
        <w:tc>
          <w:tcPr>
            <w:tcW w:type="dxa" w:w="720"/>
          </w:tcPr>
          <w:p>
            <w:pPr>
              <w:spacing w:before="0" w:after="0" w:line="259" w:lineRule="auto"/>
            </w:pPr>
            <w:r>
              <w:rPr>
                <w:rFonts w:ascii="Calibri" w:hAnsi="Calibri"/>
                <w:color w:val="1F2937"/>
                <w:sz w:val="18"/>
              </w:rPr>
              <w:t>P1</w:t>
            </w:r>
          </w:p>
        </w:tc>
        <w:tc>
          <w:tcPr>
            <w:tcW w:type="dxa" w:w="3300"/>
          </w:tcPr>
          <w:p>
            <w:pPr>
              <w:spacing w:before="0" w:after="0" w:line="259" w:lineRule="auto"/>
            </w:pPr>
            <w:r>
              <w:rPr>
                <w:rFonts w:ascii="Calibri" w:hAnsi="Calibri"/>
                <w:color w:val="1F2937"/>
                <w:sz w:val="18"/>
              </w:rPr>
              <w:t>Search result seeks to matching transcript time.</w:t>
            </w:r>
          </w:p>
        </w:tc>
      </w:tr>
    </w:tbl>
    <w:p>
      <w:pPr>
        <w:spacing w:before="80" w:after="0"/>
      </w:pPr>
    </w:p>
    <w:p>
      <w:pPr>
        <w:pStyle w:val="Heading2"/>
      </w:pPr>
      <w:r>
        <w:t>7.4 Credits and payments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4440"/>
        <w:gridCol w:w="720"/>
        <w:gridCol w:w="330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4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w:t>
            </w:r>
          </w:p>
        </w:tc>
        <w:tc>
          <w:tcPr>
            <w:tcW w:type="dxa" w:w="33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Acceptance signal</w:t>
            </w:r>
          </w:p>
        </w:tc>
      </w:tr>
      <w:tr>
        <w:trPr>
          <w:cantSplit/>
        </w:trPr>
        <w:tc>
          <w:tcPr>
            <w:tcW w:type="dxa" w:w="900"/>
          </w:tcPr>
          <w:p>
            <w:pPr>
              <w:spacing w:before="0" w:after="0" w:line="259" w:lineRule="auto"/>
            </w:pPr>
            <w:r>
              <w:rPr>
                <w:rFonts w:ascii="Calibri" w:hAnsi="Calibri"/>
                <w:b/>
                <w:color w:val="1F2937"/>
                <w:sz w:val="18"/>
              </w:rPr>
              <w:t>FR-025</w:t>
            </w:r>
          </w:p>
        </w:tc>
        <w:tc>
          <w:tcPr>
            <w:tcW w:type="dxa" w:w="4440"/>
          </w:tcPr>
          <w:p>
            <w:pPr>
              <w:spacing w:before="0" w:after="0" w:line="259" w:lineRule="auto"/>
            </w:pPr>
            <w:r>
              <w:rPr>
                <w:rFonts w:ascii="Calibri" w:hAnsi="Calibri"/>
                <w:color w:val="1F2937"/>
                <w:sz w:val="18"/>
              </w:rPr>
              <w:t>Organizer loads prepaid credits without selecting a subscription plan.</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A successful payment creates an immutable credit lot and ledger entry.</w:t>
            </w:r>
          </w:p>
        </w:tc>
      </w:tr>
      <w:tr>
        <w:trPr>
          <w:cantSplit/>
        </w:trPr>
        <w:tc>
          <w:tcPr>
            <w:tcW w:type="dxa" w:w="900"/>
          </w:tcPr>
          <w:p>
            <w:pPr>
              <w:spacing w:before="0" w:after="0" w:line="259" w:lineRule="auto"/>
            </w:pPr>
            <w:r>
              <w:rPr>
                <w:rFonts w:ascii="Calibri" w:hAnsi="Calibri"/>
                <w:b/>
                <w:color w:val="1F2937"/>
                <w:sz w:val="18"/>
              </w:rPr>
              <w:t>FR-026</w:t>
            </w:r>
          </w:p>
        </w:tc>
        <w:tc>
          <w:tcPr>
            <w:tcW w:type="dxa" w:w="4440"/>
          </w:tcPr>
          <w:p>
            <w:pPr>
              <w:spacing w:before="0" w:after="0" w:line="259" w:lineRule="auto"/>
            </w:pPr>
            <w:r>
              <w:rPr>
                <w:rFonts w:ascii="Calibri" w:hAnsi="Calibri"/>
                <w:color w:val="1F2937"/>
                <w:sz w:val="18"/>
              </w:rPr>
              <w:t>Every credit lot expires exactly 365 days after its confirmed loading timestamp.</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Wallet shows the amount and expiry of each lot before payment.</w:t>
            </w:r>
          </w:p>
        </w:tc>
      </w:tr>
      <w:tr>
        <w:trPr>
          <w:cantSplit/>
        </w:trPr>
        <w:tc>
          <w:tcPr>
            <w:tcW w:type="dxa" w:w="900"/>
          </w:tcPr>
          <w:p>
            <w:pPr>
              <w:spacing w:before="0" w:after="0" w:line="259" w:lineRule="auto"/>
            </w:pPr>
            <w:r>
              <w:rPr>
                <w:rFonts w:ascii="Calibri" w:hAnsi="Calibri"/>
                <w:b/>
                <w:color w:val="1F2937"/>
                <w:sz w:val="18"/>
              </w:rPr>
              <w:t>FR-027</w:t>
            </w:r>
          </w:p>
        </w:tc>
        <w:tc>
          <w:tcPr>
            <w:tcW w:type="dxa" w:w="4440"/>
          </w:tcPr>
          <w:p>
            <w:pPr>
              <w:spacing w:before="0" w:after="0" w:line="259" w:lineRule="auto"/>
            </w:pPr>
            <w:r>
              <w:rPr>
                <w:rFonts w:ascii="Calibri" w:hAnsi="Calibri"/>
                <w:color w:val="1F2937"/>
                <w:sz w:val="18"/>
              </w:rPr>
              <w:t>System shows a transparent estimated reservation before a live session starts.</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Estimate breaks down source minutes, language-minutes, audio, context, and outputs.</w:t>
            </w:r>
          </w:p>
        </w:tc>
      </w:tr>
      <w:tr>
        <w:trPr>
          <w:cantSplit/>
        </w:trPr>
        <w:tc>
          <w:tcPr>
            <w:tcW w:type="dxa" w:w="900"/>
          </w:tcPr>
          <w:p>
            <w:pPr>
              <w:spacing w:before="0" w:after="0" w:line="259" w:lineRule="auto"/>
            </w:pPr>
            <w:r>
              <w:rPr>
                <w:rFonts w:ascii="Calibri" w:hAnsi="Calibri"/>
                <w:b/>
                <w:color w:val="1F2937"/>
                <w:sz w:val="18"/>
              </w:rPr>
              <w:t>FR-028</w:t>
            </w:r>
          </w:p>
        </w:tc>
        <w:tc>
          <w:tcPr>
            <w:tcW w:type="dxa" w:w="4440"/>
          </w:tcPr>
          <w:p>
            <w:pPr>
              <w:spacing w:before="0" w:after="0" w:line="259" w:lineRule="auto"/>
            </w:pPr>
            <w:r>
              <w:rPr>
                <w:rFonts w:ascii="Calibri" w:hAnsi="Calibri"/>
                <w:color w:val="1F2937"/>
                <w:sz w:val="18"/>
              </w:rPr>
              <w:t>System reserves credits from the earliest-expiring eligible lots before broadcast.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Broadcast cannot start if the reservation cannot be funded.</w:t>
            </w:r>
          </w:p>
        </w:tc>
      </w:tr>
      <w:tr>
        <w:trPr>
          <w:cantSplit/>
        </w:trPr>
        <w:tc>
          <w:tcPr>
            <w:tcW w:type="dxa" w:w="900"/>
          </w:tcPr>
          <w:p>
            <w:pPr>
              <w:spacing w:before="0" w:after="0" w:line="259" w:lineRule="auto"/>
            </w:pPr>
            <w:r>
              <w:rPr>
                <w:rFonts w:ascii="Calibri" w:hAnsi="Calibri"/>
                <w:b/>
                <w:color w:val="1F2937"/>
                <w:sz w:val="18"/>
              </w:rPr>
              <w:t>FR-029</w:t>
            </w:r>
          </w:p>
        </w:tc>
        <w:tc>
          <w:tcPr>
            <w:tcW w:type="dxa" w:w="4440"/>
          </w:tcPr>
          <w:p>
            <w:pPr>
              <w:spacing w:before="0" w:after="0" w:line="259" w:lineRule="auto"/>
            </w:pPr>
            <w:r>
              <w:rPr>
                <w:rFonts w:ascii="Calibri" w:hAnsi="Calibri"/>
                <w:color w:val="1F2937"/>
                <w:sz w:val="18"/>
              </w:rPr>
              <w:t>System meters actual usage and settles it after session completion.</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Ledger reconciles reserved, consumed, and returned credits by meter.</w:t>
            </w:r>
          </w:p>
        </w:tc>
      </w:tr>
      <w:tr>
        <w:trPr>
          <w:cantSplit/>
        </w:trPr>
        <w:tc>
          <w:tcPr>
            <w:tcW w:type="dxa" w:w="900"/>
          </w:tcPr>
          <w:p>
            <w:pPr>
              <w:spacing w:before="0" w:after="0" w:line="259" w:lineRule="auto"/>
            </w:pPr>
            <w:r>
              <w:rPr>
                <w:rFonts w:ascii="Calibri" w:hAnsi="Calibri"/>
                <w:b/>
                <w:color w:val="1F2937"/>
                <w:sz w:val="18"/>
              </w:rPr>
              <w:t>FR-030</w:t>
            </w:r>
          </w:p>
        </w:tc>
        <w:tc>
          <w:tcPr>
            <w:tcW w:type="dxa" w:w="4440"/>
          </w:tcPr>
          <w:p>
            <w:pPr>
              <w:spacing w:before="0" w:after="0" w:line="259" w:lineRule="auto"/>
            </w:pPr>
            <w:r>
              <w:rPr>
                <w:rFonts w:ascii="Calibri" w:hAnsi="Calibri"/>
                <w:color w:val="1F2937"/>
                <w:sz w:val="18"/>
              </w:rPr>
              <w:t>Unused reserved credits return to the same source lots without extending expiry.</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Returned balance preserves the original lot validity.</w:t>
            </w:r>
          </w:p>
        </w:tc>
      </w:tr>
      <w:tr>
        <w:trPr>
          <w:cantSplit/>
        </w:trPr>
        <w:tc>
          <w:tcPr>
            <w:tcW w:type="dxa" w:w="900"/>
          </w:tcPr>
          <w:p>
            <w:pPr>
              <w:spacing w:before="0" w:after="0" w:line="259" w:lineRule="auto"/>
            </w:pPr>
            <w:r>
              <w:rPr>
                <w:rFonts w:ascii="Calibri" w:hAnsi="Calibri"/>
                <w:b/>
                <w:color w:val="1F2937"/>
                <w:sz w:val="18"/>
              </w:rPr>
              <w:t>FR-031</w:t>
            </w:r>
          </w:p>
        </w:tc>
        <w:tc>
          <w:tcPr>
            <w:tcW w:type="dxa" w:w="4440"/>
          </w:tcPr>
          <w:p>
            <w:pPr>
              <w:spacing w:before="0" w:after="0" w:line="259" w:lineRule="auto"/>
            </w:pPr>
            <w:r>
              <w:rPr>
                <w:rFonts w:ascii="Calibri" w:hAnsi="Calibri"/>
                <w:color w:val="1F2937"/>
                <w:sz w:val="18"/>
              </w:rPr>
              <w:t>Wallet prevents negative balances and alerts organizers before available credits become insufficient.</w:t>
            </w:r>
          </w:p>
        </w:tc>
        <w:tc>
          <w:tcPr>
            <w:tcW w:type="dxa" w:w="720"/>
          </w:tcPr>
          <w:p>
            <w:pPr>
              <w:spacing w:before="0" w:after="0" w:line="259" w:lineRule="auto"/>
            </w:pPr>
            <w:r>
              <w:rPr>
                <w:rFonts w:ascii="Calibri" w:hAnsi="Calibri"/>
                <w:color w:val="1F2937"/>
                <w:sz w:val="18"/>
              </w:rPr>
              <w:t>P0</w:t>
            </w:r>
          </w:p>
        </w:tc>
        <w:tc>
          <w:tcPr>
            <w:tcW w:type="dxa" w:w="3300"/>
          </w:tcPr>
          <w:p>
            <w:pPr>
              <w:spacing w:before="0" w:after="0" w:line="259" w:lineRule="auto"/>
            </w:pPr>
            <w:r>
              <w:rPr>
                <w:rFonts w:ascii="Calibri" w:hAnsi="Calibri"/>
                <w:color w:val="1F2937"/>
                <w:sz w:val="18"/>
              </w:rPr>
              <w:t>Low-balance state is visible before and during the session.</w:t>
            </w:r>
          </w:p>
        </w:tc>
      </w:tr>
      <w:tr>
        <w:trPr>
          <w:cantSplit/>
        </w:trPr>
        <w:tc>
          <w:tcPr>
            <w:tcW w:type="dxa" w:w="900"/>
          </w:tcPr>
          <w:p>
            <w:pPr>
              <w:spacing w:before="0" w:after="0" w:line="259" w:lineRule="auto"/>
            </w:pPr>
            <w:r>
              <w:rPr>
                <w:rFonts w:ascii="Calibri" w:hAnsi="Calibri"/>
                <w:b/>
                <w:color w:val="1F2937"/>
                <w:sz w:val="18"/>
              </w:rPr>
              <w:t>FR-032</w:t>
            </w:r>
          </w:p>
        </w:tc>
        <w:tc>
          <w:tcPr>
            <w:tcW w:type="dxa" w:w="4440"/>
          </w:tcPr>
          <w:p>
            <w:pPr>
              <w:spacing w:before="0" w:after="0" w:line="259" w:lineRule="auto"/>
            </w:pPr>
            <w:r>
              <w:rPr>
                <w:rFonts w:ascii="Calibri" w:hAnsi="Calibri"/>
                <w:color w:val="1F2937"/>
                <w:sz w:val="18"/>
              </w:rPr>
              <w:t>System exposes receipt, tax, refund, chargeback, and manual-adjustment entries as an auditable ledger.</w:t>
            </w:r>
          </w:p>
        </w:tc>
        <w:tc>
          <w:tcPr>
            <w:tcW w:type="dxa" w:w="720"/>
          </w:tcPr>
          <w:p>
            <w:pPr>
              <w:spacing w:before="0" w:after="0" w:line="259" w:lineRule="auto"/>
            </w:pPr>
            <w:r>
              <w:rPr>
                <w:rFonts w:ascii="Calibri" w:hAnsi="Calibri"/>
                <w:color w:val="1F2937"/>
                <w:sz w:val="18"/>
              </w:rPr>
              <w:t>P1</w:t>
            </w:r>
          </w:p>
        </w:tc>
        <w:tc>
          <w:tcPr>
            <w:tcW w:type="dxa" w:w="3300"/>
          </w:tcPr>
          <w:p>
            <w:pPr>
              <w:spacing w:before="0" w:after="0" w:line="259" w:lineRule="auto"/>
            </w:pPr>
            <w:r>
              <w:rPr>
                <w:rFonts w:ascii="Calibri" w:hAnsi="Calibri"/>
                <w:color w:val="1F2937"/>
                <w:sz w:val="18"/>
              </w:rPr>
              <w:t>Every mutation has actor, reason, timestamp, and related payment or session.</w:t>
            </w:r>
          </w:p>
        </w:tc>
      </w:tr>
    </w:tbl>
    <w:p>
      <w:pPr>
        <w:spacing w:before="80" w:after="0"/>
      </w:pPr>
    </w:p>
    <w:p>
      <w:pPr>
        <w:pStyle w:val="Heading1"/>
      </w:pPr>
      <w:r>
        <w:t>8. AI and language requirements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20"/>
        <w:gridCol w:w="7440"/>
        <w:gridCol w:w="900"/>
      </w:tblGrid>
      <w:tr>
        <w:trPr>
          <w:tblHeader w:val="true"/>
          <w:cantSplit/>
        </w:trPr>
        <w:tc>
          <w:tcPr>
            <w:tcW w:type="dxa" w:w="10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7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Pri.</w:t>
            </w:r>
          </w:p>
        </w:tc>
      </w:tr>
      <w:tr>
        <w:trPr>
          <w:cantSplit/>
        </w:trPr>
        <w:tc>
          <w:tcPr>
            <w:tcW w:type="dxa" w:w="1020"/>
          </w:tcPr>
          <w:p>
            <w:pPr>
              <w:spacing w:before="0" w:after="0" w:line="259" w:lineRule="auto"/>
            </w:pPr>
            <w:r>
              <w:rPr>
                <w:rFonts w:ascii="Calibri" w:hAnsi="Calibri"/>
                <w:b/>
                <w:color w:val="1F2937"/>
                <w:sz w:val="18"/>
              </w:rPr>
              <w:t>AI-001</w:t>
            </w:r>
          </w:p>
        </w:tc>
        <w:tc>
          <w:tcPr>
            <w:tcW w:type="dxa" w:w="7440"/>
          </w:tcPr>
          <w:p>
            <w:pPr>
              <w:spacing w:before="0" w:after="0" w:line="259" w:lineRule="auto"/>
            </w:pPr>
            <w:r>
              <w:rPr>
                <w:rFonts w:ascii="Calibri" w:hAnsi="Calibri"/>
                <w:color w:val="1F2937"/>
                <w:sz w:val="18"/>
              </w:rPr>
              <w:t>Streaming transcription emits interim and final segments with timestamps and confidence.</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AI-002</w:t>
            </w:r>
          </w:p>
        </w:tc>
        <w:tc>
          <w:tcPr>
            <w:tcW w:type="dxa" w:w="7440"/>
          </w:tcPr>
          <w:p>
            <w:pPr>
              <w:spacing w:before="0" w:after="0" w:line="259" w:lineRule="auto"/>
            </w:pPr>
            <w:r>
              <w:rPr>
                <w:rFonts w:ascii="Calibri" w:hAnsi="Calibri"/>
                <w:color w:val="1F2937"/>
                <w:sz w:val="18"/>
              </w:rPr>
              <w:t>Language identification supports Indian language + English code-switching within a sentence.</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AI-003</w:t>
            </w:r>
          </w:p>
        </w:tc>
        <w:tc>
          <w:tcPr>
            <w:tcW w:type="dxa" w:w="7440"/>
          </w:tcPr>
          <w:p>
            <w:pPr>
              <w:spacing w:before="0" w:after="0" w:line="259" w:lineRule="auto"/>
            </w:pPr>
            <w:r>
              <w:rPr>
                <w:rFonts w:ascii="Calibri" w:hAnsi="Calibri"/>
                <w:color w:val="1F2937"/>
                <w:sz w:val="18"/>
              </w:rPr>
              <w:t>Translation uses uploaded context, approved glossary, prior segments, and speaker vocabulary.</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AI-004</w:t>
            </w:r>
          </w:p>
        </w:tc>
        <w:tc>
          <w:tcPr>
            <w:tcW w:type="dxa" w:w="7440"/>
          </w:tcPr>
          <w:p>
            <w:pPr>
              <w:spacing w:before="0" w:after="0" w:line="259" w:lineRule="auto"/>
            </w:pPr>
            <w:r>
              <w:rPr>
                <w:rFonts w:ascii="Calibri" w:hAnsi="Calibri"/>
                <w:color w:val="1F2937"/>
                <w:sz w:val="18"/>
              </w:rPr>
              <w:t>Technical names, product names, abbreviations, numbers, and units receive protected-term handling.</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AI-005</w:t>
            </w:r>
          </w:p>
        </w:tc>
        <w:tc>
          <w:tcPr>
            <w:tcW w:type="dxa" w:w="7440"/>
          </w:tcPr>
          <w:p>
            <w:pPr>
              <w:spacing w:before="0" w:after="0" w:line="259" w:lineRule="auto"/>
            </w:pPr>
            <w:r>
              <w:rPr>
                <w:rFonts w:ascii="Calibri" w:hAnsi="Calibri"/>
                <w:color w:val="1F2937"/>
                <w:sz w:val="18"/>
              </w:rPr>
              <w:t>Incremental translation balances delay and stability; finalized segments may correct interim text.</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AI-006</w:t>
            </w:r>
          </w:p>
        </w:tc>
        <w:tc>
          <w:tcPr>
            <w:tcW w:type="dxa" w:w="7440"/>
          </w:tcPr>
          <w:p>
            <w:pPr>
              <w:spacing w:before="0" w:after="0" w:line="259" w:lineRule="auto"/>
            </w:pPr>
            <w:r>
              <w:rPr>
                <w:rFonts w:ascii="Calibri" w:hAnsi="Calibri"/>
                <w:color w:val="1F2937"/>
                <w:sz w:val="18"/>
              </w:rPr>
              <w:t>TTS streams playable audio chunks without generating a full paragraph first.</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AI-007</w:t>
            </w:r>
          </w:p>
        </w:tc>
        <w:tc>
          <w:tcPr>
            <w:tcW w:type="dxa" w:w="7440"/>
          </w:tcPr>
          <w:p>
            <w:pPr>
              <w:spacing w:before="0" w:after="0" w:line="259" w:lineRule="auto"/>
            </w:pPr>
            <w:r>
              <w:rPr>
                <w:rFonts w:ascii="Calibri" w:hAnsi="Calibri"/>
                <w:color w:val="1F2937"/>
                <w:sz w:val="18"/>
              </w:rPr>
              <w:t>Low-confidence names/numbers retain source text and are flagged to presenter/attendee.</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AI-008</w:t>
            </w:r>
          </w:p>
        </w:tc>
        <w:tc>
          <w:tcPr>
            <w:tcW w:type="dxa" w:w="7440"/>
          </w:tcPr>
          <w:p>
            <w:pPr>
              <w:spacing w:before="0" w:after="0" w:line="259" w:lineRule="auto"/>
            </w:pPr>
            <w:r>
              <w:rPr>
                <w:rFonts w:ascii="Calibri" w:hAnsi="Calibri"/>
                <w:color w:val="1F2937"/>
                <w:sz w:val="18"/>
              </w:rPr>
              <w:t>Corrections become event-scoped terminology rules and are included in the audit trail.</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AI-009</w:t>
            </w:r>
          </w:p>
        </w:tc>
        <w:tc>
          <w:tcPr>
            <w:tcW w:type="dxa" w:w="7440"/>
          </w:tcPr>
          <w:p>
            <w:pPr>
              <w:spacing w:before="0" w:after="0" w:line="259" w:lineRule="auto"/>
            </w:pPr>
            <w:r>
              <w:rPr>
                <w:rFonts w:ascii="Calibri" w:hAnsi="Calibri"/>
                <w:color w:val="1F2937"/>
                <w:sz w:val="18"/>
              </w:rPr>
              <w:t>Provider-specific outputs normalize into a common segment, confidence, and timing schema.</w:t>
            </w:r>
          </w:p>
        </w:tc>
        <w:tc>
          <w:tcPr>
            <w:tcW w:type="dxa" w:w="900"/>
          </w:tcPr>
          <w:p>
            <w:pPr>
              <w:spacing w:before="0" w:after="0" w:line="259" w:lineRule="auto"/>
            </w:pPr>
            <w:r>
              <w:rPr>
                <w:rFonts w:ascii="Calibri" w:hAnsi="Calibri"/>
                <w:color w:val="1F2937"/>
                <w:sz w:val="18"/>
              </w:rPr>
              <w:t>P0</w:t>
            </w:r>
          </w:p>
        </w:tc>
      </w:tr>
      <w:tr>
        <w:trPr>
          <w:cantSplit/>
        </w:trPr>
        <w:tc>
          <w:tcPr>
            <w:tcW w:type="dxa" w:w="1020"/>
          </w:tcPr>
          <w:p>
            <w:pPr>
              <w:spacing w:before="0" w:after="0" w:line="259" w:lineRule="auto"/>
            </w:pPr>
            <w:r>
              <w:rPr>
                <w:rFonts w:ascii="Calibri" w:hAnsi="Calibri"/>
                <w:b/>
                <w:color w:val="1F2937"/>
                <w:sz w:val="18"/>
              </w:rPr>
              <w:t>AI-010</w:t>
            </w:r>
          </w:p>
        </w:tc>
        <w:tc>
          <w:tcPr>
            <w:tcW w:type="dxa" w:w="7440"/>
          </w:tcPr>
          <w:p>
            <w:pPr>
              <w:spacing w:before="0" w:after="0" w:line="259" w:lineRule="auto"/>
            </w:pPr>
            <w:r>
              <w:rPr>
                <w:rFonts w:ascii="Calibri" w:hAnsi="Calibri"/>
                <w:color w:val="1F2937"/>
                <w:sz w:val="18"/>
              </w:rPr>
              <w:t>Post-event summaries remain reviewable drafts and include links to source transcript timestamps.</w:t>
            </w:r>
          </w:p>
        </w:tc>
        <w:tc>
          <w:tcPr>
            <w:tcW w:type="dxa" w:w="900"/>
          </w:tcPr>
          <w:p>
            <w:pPr>
              <w:spacing w:before="0" w:after="0" w:line="259" w:lineRule="auto"/>
            </w:pPr>
            <w:r>
              <w:rPr>
                <w:rFonts w:ascii="Calibri" w:hAnsi="Calibri"/>
                <w:color w:val="1F2937"/>
                <w:sz w:val="18"/>
              </w:rPr>
              <w:t>P0</w:t>
            </w:r>
          </w:p>
        </w:tc>
      </w:tr>
    </w:tbl>
    <w:p>
      <w:pPr>
        <w:spacing w:before="80" w:after="0"/>
      </w:pPr>
    </w:p>
    <w:p>
      <w:pPr>
        <w:pStyle w:val="Heading2"/>
      </w:pPr>
      <w:r>
        <w:t>8.1 Quality evaluation</w:t>
      </w:r>
    </w:p>
    <w:p>
      <w:pPr/>
      <w:r>
        <w:rPr>
          <w:rFonts w:ascii="Calibri" w:hAnsi="Calibri"/>
        </w:rPr>
        <w:t>Before each pilot, evaluate the configured pipeline on a curated set of real training audio containing code-switching, slide terms, names, acronyms, numbers, and noisy-room samples. Score transcription word/character error, protected-term retention, translation adequacy, latency, and listener comprehension by language pair.</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4320"/>
      </w:tblGrid>
      <w:tr>
        <w:trPr>
          <w:tblHeader w:val="true"/>
          <w:cantSplit/>
        </w:trPr>
        <w:tc>
          <w:tcPr>
            <w:tcW w:type="dxa" w:w="25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Measure</w:t>
            </w:r>
          </w:p>
        </w:tc>
        <w:tc>
          <w:tcPr>
            <w:tcW w:type="dxa" w:w="25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Initial target</w:t>
            </w:r>
          </w:p>
        </w:tc>
        <w:tc>
          <w:tcPr>
            <w:tcW w:type="dxa" w:w="43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Scope</w:t>
            </w:r>
          </w:p>
        </w:tc>
      </w:tr>
      <w:tr>
        <w:trPr>
          <w:cantSplit/>
        </w:trPr>
        <w:tc>
          <w:tcPr>
            <w:tcW w:type="dxa" w:w="2520"/>
          </w:tcPr>
          <w:p>
            <w:pPr>
              <w:spacing w:before="0" w:after="0" w:line="259" w:lineRule="auto"/>
            </w:pPr>
            <w:r>
              <w:rPr>
                <w:rFonts w:ascii="Calibri" w:hAnsi="Calibri"/>
                <w:b/>
                <w:color w:val="1F2937"/>
                <w:sz w:val="18"/>
              </w:rPr>
              <w:t>Protected-term retention</w:t>
            </w:r>
          </w:p>
        </w:tc>
        <w:tc>
          <w:tcPr>
            <w:tcW w:type="dxa" w:w="2520"/>
          </w:tcPr>
          <w:p>
            <w:pPr>
              <w:spacing w:before="0" w:after="0" w:line="259" w:lineRule="auto"/>
            </w:pPr>
            <w:r>
              <w:rPr>
                <w:rFonts w:ascii="Calibri" w:hAnsi="Calibri"/>
                <w:color w:val="1F2937"/>
                <w:sz w:val="18"/>
              </w:rPr>
              <w:t>≥95% on the approved pilot glossary</w:t>
            </w:r>
          </w:p>
        </w:tc>
        <w:tc>
          <w:tcPr>
            <w:tcW w:type="dxa" w:w="4320"/>
          </w:tcPr>
          <w:p>
            <w:pPr>
              <w:spacing w:before="0" w:after="0" w:line="259" w:lineRule="auto"/>
            </w:pPr>
            <w:r>
              <w:rPr>
                <w:rFonts w:ascii="Calibri" w:hAnsi="Calibri"/>
                <w:color w:val="1F2937"/>
                <w:sz w:val="18"/>
              </w:rPr>
              <w:t>Names, products, acronyms, numbers</w:t>
            </w:r>
          </w:p>
        </w:tc>
      </w:tr>
      <w:tr>
        <w:trPr>
          <w:cantSplit/>
        </w:trPr>
        <w:tc>
          <w:tcPr>
            <w:tcW w:type="dxa" w:w="2520"/>
          </w:tcPr>
          <w:p>
            <w:pPr>
              <w:spacing w:before="0" w:after="0" w:line="259" w:lineRule="auto"/>
            </w:pPr>
            <w:r>
              <w:rPr>
                <w:rFonts w:ascii="Calibri" w:hAnsi="Calibri"/>
                <w:b/>
                <w:color w:val="1F2937"/>
                <w:sz w:val="18"/>
              </w:rPr>
              <w:t>Listener usefulness</w:t>
            </w:r>
          </w:p>
        </w:tc>
        <w:tc>
          <w:tcPr>
            <w:tcW w:type="dxa" w:w="2520"/>
          </w:tcPr>
          <w:p>
            <w:pPr>
              <w:spacing w:before="0" w:after="0" w:line="259" w:lineRule="auto"/>
            </w:pPr>
            <w:r>
              <w:rPr>
                <w:rFonts w:ascii="Calibri" w:hAnsi="Calibri"/>
                <w:color w:val="1F2937"/>
                <w:sz w:val="18"/>
              </w:rPr>
              <w:t>Average ≥4.0/5</w:t>
            </w:r>
          </w:p>
        </w:tc>
        <w:tc>
          <w:tcPr>
            <w:tcW w:type="dxa" w:w="4320"/>
          </w:tcPr>
          <w:p>
            <w:pPr>
              <w:spacing w:before="0" w:after="0" w:line="259" w:lineRule="auto"/>
            </w:pPr>
            <w:r>
              <w:rPr>
                <w:rFonts w:ascii="Calibri" w:hAnsi="Calibri"/>
                <w:color w:val="1F2937"/>
                <w:sz w:val="18"/>
              </w:rPr>
              <w:t>Post-session rating by target language</w:t>
            </w:r>
          </w:p>
        </w:tc>
      </w:tr>
      <w:tr>
        <w:trPr>
          <w:cantSplit/>
        </w:trPr>
        <w:tc>
          <w:tcPr>
            <w:tcW w:type="dxa" w:w="2520"/>
          </w:tcPr>
          <w:p>
            <w:pPr>
              <w:spacing w:before="0" w:after="0" w:line="259" w:lineRule="auto"/>
            </w:pPr>
            <w:r>
              <w:rPr>
                <w:rFonts w:ascii="Calibri" w:hAnsi="Calibri"/>
                <w:b/>
                <w:color w:val="1F2937"/>
                <w:sz w:val="18"/>
              </w:rPr>
              <w:t>Critical-error handling</w:t>
            </w:r>
          </w:p>
        </w:tc>
        <w:tc>
          <w:tcPr>
            <w:tcW w:type="dxa" w:w="2520"/>
          </w:tcPr>
          <w:p>
            <w:pPr>
              <w:spacing w:before="0" w:after="0" w:line="259" w:lineRule="auto"/>
            </w:pPr>
            <w:r>
              <w:rPr>
                <w:rFonts w:ascii="Calibri" w:hAnsi="Calibri"/>
                <w:color w:val="1F2937"/>
                <w:sz w:val="18"/>
              </w:rPr>
              <w:t>100% of detected low-confidence critical tokens retain source text</w:t>
            </w:r>
          </w:p>
        </w:tc>
        <w:tc>
          <w:tcPr>
            <w:tcW w:type="dxa" w:w="4320"/>
          </w:tcPr>
          <w:p>
            <w:pPr>
              <w:spacing w:before="0" w:after="0" w:line="259" w:lineRule="auto"/>
            </w:pPr>
            <w:r>
              <w:rPr>
                <w:rFonts w:ascii="Calibri" w:hAnsi="Calibri"/>
                <w:color w:val="1F2937"/>
                <w:sz w:val="18"/>
              </w:rPr>
              <w:t>Numbers, names, safety-sensitive terms</w:t>
            </w:r>
          </w:p>
        </w:tc>
      </w:tr>
      <w:tr>
        <w:trPr>
          <w:cantSplit/>
        </w:trPr>
        <w:tc>
          <w:tcPr>
            <w:tcW w:type="dxa" w:w="2520"/>
          </w:tcPr>
          <w:p>
            <w:pPr>
              <w:spacing w:before="0" w:after="0" w:line="259" w:lineRule="auto"/>
            </w:pPr>
            <w:r>
              <w:rPr>
                <w:rFonts w:ascii="Calibri" w:hAnsi="Calibri"/>
                <w:b/>
                <w:color w:val="1F2937"/>
                <w:sz w:val="18"/>
              </w:rPr>
              <w:t>Correction reuse</w:t>
            </w:r>
          </w:p>
        </w:tc>
        <w:tc>
          <w:tcPr>
            <w:tcW w:type="dxa" w:w="2520"/>
          </w:tcPr>
          <w:p>
            <w:pPr>
              <w:spacing w:before="0" w:after="0" w:line="259" w:lineRule="auto"/>
            </w:pPr>
            <w:r>
              <w:rPr>
                <w:rFonts w:ascii="Calibri" w:hAnsi="Calibri"/>
                <w:color w:val="1F2937"/>
                <w:sz w:val="18"/>
              </w:rPr>
              <w:t>≥90% of moderator corrections applied to subsequent matching terms</w:t>
            </w:r>
          </w:p>
        </w:tc>
        <w:tc>
          <w:tcPr>
            <w:tcW w:type="dxa" w:w="4320"/>
          </w:tcPr>
          <w:p>
            <w:pPr>
              <w:spacing w:before="0" w:after="0" w:line="259" w:lineRule="auto"/>
            </w:pPr>
            <w:r>
              <w:rPr>
                <w:rFonts w:ascii="Calibri" w:hAnsi="Calibri"/>
                <w:color w:val="1F2937"/>
                <w:sz w:val="18"/>
              </w:rPr>
              <w:t>Within the same event</w:t>
            </w:r>
          </w:p>
        </w:tc>
      </w:tr>
    </w:tbl>
    <w:p>
      <w:pPr>
        <w:spacing w:before="80" w:after="0"/>
      </w:pPr>
    </w:p>
    <w:p>
      <w:pPr>
        <w:spacing w:before="100" w:after="200" w:line="269" w:lineRule="auto"/>
        <w:ind w:left="160" w:right="160"/>
        <w:shd w:fill="FFF8E8"/>
        <w:pBdr>
          <w:left w:val="single" w:sz="18" w:space="8" w:color="7A5A00"/>
        </w:pBdr>
      </w:pPr>
      <w:r>
        <w:rPr>
          <w:rFonts w:ascii="Calibri" w:hAnsi="Calibri"/>
          <w:b/>
          <w:color w:val="7A5A00"/>
          <w:sz w:val="21"/>
        </w:rPr>
        <w:t xml:space="preserve">Assumption: </w:t>
      </w:r>
      <w:r>
        <w:rPr>
          <w:rFonts w:ascii="Calibri" w:hAnsi="Calibri"/>
          <w:color w:val="1F2937"/>
          <w:sz w:val="21"/>
        </w:rPr>
        <w:t>Quality thresholds are launch hypotheses, not contractual guarantees. Baselines must be established per language pair and venue condition during discovery.</w:t>
      </w:r>
    </w:p>
    <w:p>
      <w:pPr>
        <w:pStyle w:val="Heading1"/>
      </w:pPr>
      <w:r>
        <w:t>9. Non-functional requirements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1320"/>
        <w:gridCol w:w="5160"/>
        <w:gridCol w:w="1980"/>
      </w:tblGrid>
      <w:tr>
        <w:trPr>
          <w:tblHeader w:val="true"/>
          <w:cantSplit/>
        </w:trPr>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13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Category</w:t>
            </w:r>
          </w:p>
        </w:tc>
        <w:tc>
          <w:tcPr>
            <w:tcW w:type="dxa" w:w="51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Requirement</w:t>
            </w:r>
          </w:p>
        </w:tc>
        <w:tc>
          <w:tcPr>
            <w:tcW w:type="dxa" w:w="198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Verification</w:t>
            </w:r>
          </w:p>
        </w:tc>
      </w:tr>
      <w:tr>
        <w:trPr>
          <w:cantSplit/>
        </w:trPr>
        <w:tc>
          <w:tcPr>
            <w:tcW w:type="dxa" w:w="900"/>
          </w:tcPr>
          <w:p>
            <w:pPr>
              <w:spacing w:before="0" w:after="0" w:line="259" w:lineRule="auto"/>
            </w:pPr>
            <w:r>
              <w:rPr>
                <w:rFonts w:ascii="Calibri" w:hAnsi="Calibri"/>
                <w:b/>
                <w:color w:val="1F2937"/>
                <w:sz w:val="18"/>
              </w:rPr>
              <w:t>NFR-001</w:t>
            </w:r>
          </w:p>
        </w:tc>
        <w:tc>
          <w:tcPr>
            <w:tcW w:type="dxa" w:w="1320"/>
          </w:tcPr>
          <w:p>
            <w:pPr>
              <w:spacing w:before="0" w:after="0" w:line="259" w:lineRule="auto"/>
            </w:pPr>
            <w:r>
              <w:rPr>
                <w:rFonts w:ascii="Calibri" w:hAnsi="Calibri"/>
                <w:color w:val="1F2937"/>
                <w:sz w:val="18"/>
              </w:rPr>
              <w:t>Latency</w:t>
            </w:r>
          </w:p>
        </w:tc>
        <w:tc>
          <w:tcPr>
            <w:tcW w:type="dxa" w:w="5160"/>
          </w:tcPr>
          <w:p>
            <w:pPr>
              <w:spacing w:before="0" w:after="0" w:line="259" w:lineRule="auto"/>
            </w:pPr>
            <w:r>
              <w:rPr>
                <w:rFonts w:ascii="Calibri" w:hAnsi="Calibri"/>
                <w:color w:val="1F2937"/>
                <w:sz w:val="18"/>
              </w:rPr>
              <w:t>Source captions median ≤2 s; translated audio median ≤3 s and p95 ≤6 s under pilot conditions.</w:t>
            </w:r>
          </w:p>
        </w:tc>
        <w:tc>
          <w:tcPr>
            <w:tcW w:type="dxa" w:w="1980"/>
          </w:tcPr>
          <w:p>
            <w:pPr>
              <w:spacing w:before="0" w:after="0" w:line="259" w:lineRule="auto"/>
            </w:pPr>
            <w:r>
              <w:rPr>
                <w:rFonts w:ascii="Calibri" w:hAnsi="Calibri"/>
                <w:color w:val="1F2937"/>
                <w:sz w:val="18"/>
              </w:rPr>
              <w:t>Per stage and end to end</w:t>
            </w:r>
          </w:p>
        </w:tc>
      </w:tr>
      <w:tr>
        <w:trPr>
          <w:cantSplit/>
        </w:trPr>
        <w:tc>
          <w:tcPr>
            <w:tcW w:type="dxa" w:w="900"/>
          </w:tcPr>
          <w:p>
            <w:pPr>
              <w:spacing w:before="0" w:after="0" w:line="259" w:lineRule="auto"/>
            </w:pPr>
            <w:r>
              <w:rPr>
                <w:rFonts w:ascii="Calibri" w:hAnsi="Calibri"/>
                <w:b/>
                <w:color w:val="1F2937"/>
                <w:sz w:val="18"/>
              </w:rPr>
              <w:t>NFR-002</w:t>
            </w:r>
          </w:p>
        </w:tc>
        <w:tc>
          <w:tcPr>
            <w:tcW w:type="dxa" w:w="1320"/>
          </w:tcPr>
          <w:p>
            <w:pPr>
              <w:spacing w:before="0" w:after="0" w:line="259" w:lineRule="auto"/>
            </w:pPr>
            <w:r>
              <w:rPr>
                <w:rFonts w:ascii="Calibri" w:hAnsi="Calibri"/>
                <w:color w:val="1F2937"/>
                <w:sz w:val="18"/>
              </w:rPr>
              <w:t>Concurrency</w:t>
            </w:r>
          </w:p>
        </w:tc>
        <w:tc>
          <w:tcPr>
            <w:tcW w:type="dxa" w:w="5160"/>
          </w:tcPr>
          <w:p>
            <w:pPr>
              <w:spacing w:before="0" w:after="0" w:line="259" w:lineRule="auto"/>
            </w:pPr>
            <w:r>
              <w:rPr>
                <w:rFonts w:ascii="Calibri" w:hAnsi="Calibri"/>
                <w:color w:val="1F2937"/>
                <w:sz w:val="18"/>
              </w:rPr>
              <w:t>Support 100 concurrent attendees and three target channels per pilot event.</w:t>
            </w:r>
          </w:p>
        </w:tc>
        <w:tc>
          <w:tcPr>
            <w:tcW w:type="dxa" w:w="1980"/>
          </w:tcPr>
          <w:p>
            <w:pPr>
              <w:spacing w:before="0" w:after="0" w:line="259" w:lineRule="auto"/>
            </w:pPr>
            <w:r>
              <w:rPr>
                <w:rFonts w:ascii="Calibri" w:hAnsi="Calibri"/>
                <w:color w:val="1F2937"/>
                <w:sz w:val="18"/>
              </w:rPr>
              <w:t>Load test before pilot</w:t>
            </w:r>
          </w:p>
        </w:tc>
      </w:tr>
      <w:tr>
        <w:trPr>
          <w:cantSplit/>
        </w:trPr>
        <w:tc>
          <w:tcPr>
            <w:tcW w:type="dxa" w:w="900"/>
          </w:tcPr>
          <w:p>
            <w:pPr>
              <w:spacing w:before="0" w:after="0" w:line="259" w:lineRule="auto"/>
            </w:pPr>
            <w:r>
              <w:rPr>
                <w:rFonts w:ascii="Calibri" w:hAnsi="Calibri"/>
                <w:b/>
                <w:color w:val="1F2937"/>
                <w:sz w:val="18"/>
              </w:rPr>
              <w:t>NFR-003</w:t>
            </w:r>
          </w:p>
        </w:tc>
        <w:tc>
          <w:tcPr>
            <w:tcW w:type="dxa" w:w="1320"/>
          </w:tcPr>
          <w:p>
            <w:pPr>
              <w:spacing w:before="0" w:after="0" w:line="259" w:lineRule="auto"/>
            </w:pPr>
            <w:r>
              <w:rPr>
                <w:rFonts w:ascii="Calibri" w:hAnsi="Calibri"/>
                <w:color w:val="1F2937"/>
                <w:sz w:val="18"/>
              </w:rPr>
              <w:t>Availability</w:t>
            </w:r>
          </w:p>
        </w:tc>
        <w:tc>
          <w:tcPr>
            <w:tcW w:type="dxa" w:w="5160"/>
          </w:tcPr>
          <w:p>
            <w:pPr>
              <w:spacing w:before="0" w:after="0" w:line="259" w:lineRule="auto"/>
            </w:pPr>
            <w:r>
              <w:rPr>
                <w:rFonts w:ascii="Calibri" w:hAnsi="Calibri"/>
                <w:color w:val="1F2937"/>
                <w:sz w:val="18"/>
              </w:rPr>
              <w:t>99.5% monthly service availability for commercial MVP; scheduled maintenance excluded.</w:t>
            </w:r>
          </w:p>
        </w:tc>
        <w:tc>
          <w:tcPr>
            <w:tcW w:type="dxa" w:w="1980"/>
          </w:tcPr>
          <w:p>
            <w:pPr>
              <w:spacing w:before="0" w:after="0" w:line="259" w:lineRule="auto"/>
            </w:pPr>
            <w:r>
              <w:rPr>
                <w:rFonts w:ascii="Calibri" w:hAnsi="Calibri"/>
                <w:color w:val="1F2937"/>
                <w:sz w:val="18"/>
              </w:rPr>
              <w:t>Post-pilot SLO</w:t>
            </w:r>
          </w:p>
        </w:tc>
      </w:tr>
      <w:tr>
        <w:trPr>
          <w:cantSplit/>
        </w:trPr>
        <w:tc>
          <w:tcPr>
            <w:tcW w:type="dxa" w:w="900"/>
          </w:tcPr>
          <w:p>
            <w:pPr>
              <w:spacing w:before="0" w:after="0" w:line="259" w:lineRule="auto"/>
            </w:pPr>
            <w:r>
              <w:rPr>
                <w:rFonts w:ascii="Calibri" w:hAnsi="Calibri"/>
                <w:b/>
                <w:color w:val="1F2937"/>
                <w:sz w:val="18"/>
              </w:rPr>
              <w:t>NFR-004</w:t>
            </w:r>
          </w:p>
        </w:tc>
        <w:tc>
          <w:tcPr>
            <w:tcW w:type="dxa" w:w="1320"/>
          </w:tcPr>
          <w:p>
            <w:pPr>
              <w:spacing w:before="0" w:after="0" w:line="259" w:lineRule="auto"/>
            </w:pPr>
            <w:r>
              <w:rPr>
                <w:rFonts w:ascii="Calibri" w:hAnsi="Calibri"/>
                <w:color w:val="1F2937"/>
                <w:sz w:val="18"/>
              </w:rPr>
              <w:t>Resilience</w:t>
            </w:r>
          </w:p>
        </w:tc>
        <w:tc>
          <w:tcPr>
            <w:tcW w:type="dxa" w:w="5160"/>
          </w:tcPr>
          <w:p>
            <w:pPr>
              <w:spacing w:before="0" w:after="0" w:line="259" w:lineRule="auto"/>
            </w:pPr>
            <w:r>
              <w:rPr>
                <w:rFonts w:ascii="Calibri" w:hAnsi="Calibri"/>
                <w:color w:val="1F2937"/>
                <w:sz w:val="18"/>
              </w:rPr>
              <w:t>Language channels recover from transient provider/network failure without ending the event.</w:t>
            </w:r>
          </w:p>
        </w:tc>
        <w:tc>
          <w:tcPr>
            <w:tcW w:type="dxa" w:w="1980"/>
          </w:tcPr>
          <w:p>
            <w:pPr>
              <w:spacing w:before="0" w:after="0" w:line="259" w:lineRule="auto"/>
            </w:pPr>
            <w:r>
              <w:rPr>
                <w:rFonts w:ascii="Calibri" w:hAnsi="Calibri"/>
                <w:color w:val="1F2937"/>
                <w:sz w:val="18"/>
              </w:rPr>
              <w:t>Failover and chaos tests</w:t>
            </w:r>
          </w:p>
        </w:tc>
      </w:tr>
      <w:tr>
        <w:trPr>
          <w:cantSplit/>
        </w:trPr>
        <w:tc>
          <w:tcPr>
            <w:tcW w:type="dxa" w:w="900"/>
          </w:tcPr>
          <w:p>
            <w:pPr>
              <w:spacing w:before="0" w:after="0" w:line="259" w:lineRule="auto"/>
            </w:pPr>
            <w:r>
              <w:rPr>
                <w:rFonts w:ascii="Calibri" w:hAnsi="Calibri"/>
                <w:b/>
                <w:color w:val="1F2937"/>
                <w:sz w:val="18"/>
              </w:rPr>
              <w:t>NFR-005</w:t>
            </w:r>
          </w:p>
        </w:tc>
        <w:tc>
          <w:tcPr>
            <w:tcW w:type="dxa" w:w="1320"/>
          </w:tcPr>
          <w:p>
            <w:pPr>
              <w:spacing w:before="0" w:after="0" w:line="259" w:lineRule="auto"/>
            </w:pPr>
            <w:r>
              <w:rPr>
                <w:rFonts w:ascii="Calibri" w:hAnsi="Calibri"/>
                <w:color w:val="1F2937"/>
                <w:sz w:val="18"/>
              </w:rPr>
              <w:t>Reconnect</w:t>
            </w:r>
          </w:p>
        </w:tc>
        <w:tc>
          <w:tcPr>
            <w:tcW w:type="dxa" w:w="5160"/>
          </w:tcPr>
          <w:p>
            <w:pPr>
              <w:spacing w:before="0" w:after="0" w:line="259" w:lineRule="auto"/>
            </w:pPr>
            <w:r>
              <w:rPr>
                <w:rFonts w:ascii="Calibri" w:hAnsi="Calibri"/>
                <w:color w:val="1F2937"/>
                <w:sz w:val="18"/>
              </w:rPr>
              <w:t>95% of attendee clients recover within 10 seconds after a 5–15 second interruption.</w:t>
            </w:r>
          </w:p>
        </w:tc>
        <w:tc>
          <w:tcPr>
            <w:tcW w:type="dxa" w:w="1980"/>
          </w:tcPr>
          <w:p>
            <w:pPr>
              <w:spacing w:before="0" w:after="0" w:line="259" w:lineRule="auto"/>
            </w:pPr>
            <w:r>
              <w:rPr>
                <w:rFonts w:ascii="Calibri" w:hAnsi="Calibri"/>
                <w:color w:val="1F2937"/>
                <w:sz w:val="18"/>
              </w:rPr>
              <w:t>Mobile network test</w:t>
            </w:r>
          </w:p>
        </w:tc>
      </w:tr>
      <w:tr>
        <w:trPr>
          <w:cantSplit/>
        </w:trPr>
        <w:tc>
          <w:tcPr>
            <w:tcW w:type="dxa" w:w="900"/>
          </w:tcPr>
          <w:p>
            <w:pPr>
              <w:spacing w:before="0" w:after="0" w:line="259" w:lineRule="auto"/>
            </w:pPr>
            <w:r>
              <w:rPr>
                <w:rFonts w:ascii="Calibri" w:hAnsi="Calibri"/>
                <w:b/>
                <w:color w:val="1F2937"/>
                <w:sz w:val="18"/>
              </w:rPr>
              <w:t>NFR-006</w:t>
            </w:r>
          </w:p>
        </w:tc>
        <w:tc>
          <w:tcPr>
            <w:tcW w:type="dxa" w:w="1320"/>
          </w:tcPr>
          <w:p>
            <w:pPr>
              <w:spacing w:before="0" w:after="0" w:line="259" w:lineRule="auto"/>
            </w:pPr>
            <w:r>
              <w:rPr>
                <w:rFonts w:ascii="Calibri" w:hAnsi="Calibri"/>
                <w:color w:val="1F2937"/>
                <w:sz w:val="18"/>
              </w:rPr>
              <w:t>Bandwidth</w:t>
            </w:r>
          </w:p>
        </w:tc>
        <w:tc>
          <w:tcPr>
            <w:tcW w:type="dxa" w:w="5160"/>
          </w:tcPr>
          <w:p>
            <w:pPr>
              <w:spacing w:before="0" w:after="0" w:line="259" w:lineRule="auto"/>
            </w:pPr>
            <w:r>
              <w:rPr>
                <w:rFonts w:ascii="Calibri" w:hAnsi="Calibri"/>
                <w:color w:val="1F2937"/>
                <w:sz w:val="18"/>
              </w:rPr>
              <w:t>Provide captions-only and low-bitrate audio modes with adaptive delivery.</w:t>
            </w:r>
          </w:p>
        </w:tc>
        <w:tc>
          <w:tcPr>
            <w:tcW w:type="dxa" w:w="1980"/>
          </w:tcPr>
          <w:p>
            <w:pPr>
              <w:spacing w:before="0" w:after="0" w:line="259" w:lineRule="auto"/>
            </w:pPr>
            <w:r>
              <w:rPr>
                <w:rFonts w:ascii="Calibri" w:hAnsi="Calibri"/>
                <w:color w:val="1F2937"/>
                <w:sz w:val="18"/>
              </w:rPr>
              <w:t>Venue simulation</w:t>
            </w:r>
          </w:p>
        </w:tc>
      </w:tr>
      <w:tr>
        <w:trPr>
          <w:cantSplit/>
        </w:trPr>
        <w:tc>
          <w:tcPr>
            <w:tcW w:type="dxa" w:w="900"/>
          </w:tcPr>
          <w:p>
            <w:pPr>
              <w:spacing w:before="0" w:after="0" w:line="259" w:lineRule="auto"/>
            </w:pPr>
            <w:r>
              <w:rPr>
                <w:rFonts w:ascii="Calibri" w:hAnsi="Calibri"/>
                <w:b/>
                <w:color w:val="1F2937"/>
                <w:sz w:val="18"/>
              </w:rPr>
              <w:t>NFR-007</w:t>
            </w:r>
          </w:p>
        </w:tc>
        <w:tc>
          <w:tcPr>
            <w:tcW w:type="dxa" w:w="1320"/>
          </w:tcPr>
          <w:p>
            <w:pPr>
              <w:spacing w:before="0" w:after="0" w:line="259" w:lineRule="auto"/>
            </w:pPr>
            <w:r>
              <w:rPr>
                <w:rFonts w:ascii="Calibri" w:hAnsi="Calibri"/>
                <w:color w:val="1F2937"/>
                <w:sz w:val="18"/>
              </w:rPr>
              <w:t>Accessibility</w:t>
            </w:r>
          </w:p>
        </w:tc>
        <w:tc>
          <w:tcPr>
            <w:tcW w:type="dxa" w:w="5160"/>
          </w:tcPr>
          <w:p>
            <w:pPr>
              <w:spacing w:before="0" w:after="0" w:line="259" w:lineRule="auto"/>
            </w:pPr>
            <w:r>
              <w:rPr>
                <w:rFonts w:ascii="Calibri" w:hAnsi="Calibri"/>
                <w:color w:val="1F2937"/>
                <w:sz w:val="18"/>
              </w:rPr>
              <w:t>WCAG 2.2 AA target for join, controls, captions, focus, contrast, and text resizing.</w:t>
            </w:r>
          </w:p>
        </w:tc>
        <w:tc>
          <w:tcPr>
            <w:tcW w:type="dxa" w:w="1980"/>
          </w:tcPr>
          <w:p>
            <w:pPr>
              <w:spacing w:before="0" w:after="0" w:line="259" w:lineRule="auto"/>
            </w:pPr>
            <w:r>
              <w:rPr>
                <w:rFonts w:ascii="Calibri" w:hAnsi="Calibri"/>
                <w:color w:val="1F2937"/>
                <w:sz w:val="18"/>
              </w:rPr>
              <w:t>Automated + manual audit</w:t>
            </w:r>
          </w:p>
        </w:tc>
      </w:tr>
      <w:tr>
        <w:trPr>
          <w:cantSplit/>
        </w:trPr>
        <w:tc>
          <w:tcPr>
            <w:tcW w:type="dxa" w:w="900"/>
          </w:tcPr>
          <w:p>
            <w:pPr>
              <w:spacing w:before="0" w:after="0" w:line="259" w:lineRule="auto"/>
            </w:pPr>
            <w:r>
              <w:rPr>
                <w:rFonts w:ascii="Calibri" w:hAnsi="Calibri"/>
                <w:b/>
                <w:color w:val="1F2937"/>
                <w:sz w:val="18"/>
              </w:rPr>
              <w:t>NFR-008</w:t>
            </w:r>
          </w:p>
        </w:tc>
        <w:tc>
          <w:tcPr>
            <w:tcW w:type="dxa" w:w="1320"/>
          </w:tcPr>
          <w:p>
            <w:pPr>
              <w:spacing w:before="0" w:after="0" w:line="259" w:lineRule="auto"/>
            </w:pPr>
            <w:r>
              <w:rPr>
                <w:rFonts w:ascii="Calibri" w:hAnsi="Calibri"/>
                <w:color w:val="1F2937"/>
                <w:sz w:val="18"/>
              </w:rPr>
              <w:t>Compatibility</w:t>
            </w:r>
          </w:p>
        </w:tc>
        <w:tc>
          <w:tcPr>
            <w:tcW w:type="dxa" w:w="5160"/>
          </w:tcPr>
          <w:p>
            <w:pPr>
              <w:spacing w:before="0" w:after="0" w:line="259" w:lineRule="auto"/>
            </w:pPr>
            <w:r>
              <w:rPr>
                <w:rFonts w:ascii="Calibri" w:hAnsi="Calibri"/>
                <w:color w:val="1F2937"/>
                <w:sz w:val="18"/>
              </w:rPr>
              <w:t>Current and previous major iOS Safari, Android Chrome, and desktop Chrome/Edge.</w:t>
            </w:r>
          </w:p>
        </w:tc>
        <w:tc>
          <w:tcPr>
            <w:tcW w:type="dxa" w:w="1980"/>
          </w:tcPr>
          <w:p>
            <w:pPr>
              <w:spacing w:before="0" w:after="0" w:line="259" w:lineRule="auto"/>
            </w:pPr>
            <w:r>
              <w:rPr>
                <w:rFonts w:ascii="Calibri" w:hAnsi="Calibri"/>
                <w:color w:val="1F2937"/>
                <w:sz w:val="18"/>
              </w:rPr>
              <w:t>Browser matrix</w:t>
            </w:r>
          </w:p>
        </w:tc>
      </w:tr>
      <w:tr>
        <w:trPr>
          <w:cantSplit/>
        </w:trPr>
        <w:tc>
          <w:tcPr>
            <w:tcW w:type="dxa" w:w="900"/>
          </w:tcPr>
          <w:p>
            <w:pPr>
              <w:spacing w:before="0" w:after="0" w:line="259" w:lineRule="auto"/>
            </w:pPr>
            <w:r>
              <w:rPr>
                <w:rFonts w:ascii="Calibri" w:hAnsi="Calibri"/>
                <w:b/>
                <w:color w:val="1F2937"/>
                <w:sz w:val="18"/>
              </w:rPr>
              <w:t>NFR-009</w:t>
            </w:r>
          </w:p>
        </w:tc>
        <w:tc>
          <w:tcPr>
            <w:tcW w:type="dxa" w:w="1320"/>
          </w:tcPr>
          <w:p>
            <w:pPr>
              <w:spacing w:before="0" w:after="0" w:line="259" w:lineRule="auto"/>
            </w:pPr>
            <w:r>
              <w:rPr>
                <w:rFonts w:ascii="Calibri" w:hAnsi="Calibri"/>
                <w:color w:val="1F2937"/>
                <w:sz w:val="18"/>
              </w:rPr>
              <w:t>Observability</w:t>
            </w:r>
          </w:p>
        </w:tc>
        <w:tc>
          <w:tcPr>
            <w:tcW w:type="dxa" w:w="5160"/>
          </w:tcPr>
          <w:p>
            <w:pPr>
              <w:spacing w:before="0" w:after="0" w:line="259" w:lineRule="auto"/>
            </w:pPr>
            <w:r>
              <w:rPr>
                <w:rFonts w:ascii="Calibri" w:hAnsi="Calibri"/>
                <w:color w:val="1F2937"/>
                <w:sz w:val="18"/>
              </w:rPr>
              <w:t>Trace each segment through ingestion, STT, translation, TTS, and delivery.</w:t>
            </w:r>
          </w:p>
        </w:tc>
        <w:tc>
          <w:tcPr>
            <w:tcW w:type="dxa" w:w="1980"/>
          </w:tcPr>
          <w:p>
            <w:pPr>
              <w:spacing w:before="0" w:after="0" w:line="259" w:lineRule="auto"/>
            </w:pPr>
            <w:r>
              <w:rPr>
                <w:rFonts w:ascii="Calibri" w:hAnsi="Calibri"/>
                <w:color w:val="1F2937"/>
                <w:sz w:val="18"/>
              </w:rPr>
              <w:t>Correlated trace IDs</w:t>
            </w:r>
          </w:p>
        </w:tc>
      </w:tr>
      <w:tr>
        <w:trPr>
          <w:cantSplit/>
        </w:trPr>
        <w:tc>
          <w:tcPr>
            <w:tcW w:type="dxa" w:w="900"/>
          </w:tcPr>
          <w:p>
            <w:pPr>
              <w:spacing w:before="0" w:after="0" w:line="259" w:lineRule="auto"/>
            </w:pPr>
            <w:r>
              <w:rPr>
                <w:rFonts w:ascii="Calibri" w:hAnsi="Calibri"/>
                <w:b/>
                <w:color w:val="1F2937"/>
                <w:sz w:val="18"/>
              </w:rPr>
              <w:t>NFR-010</w:t>
            </w:r>
          </w:p>
        </w:tc>
        <w:tc>
          <w:tcPr>
            <w:tcW w:type="dxa" w:w="1320"/>
          </w:tcPr>
          <w:p>
            <w:pPr>
              <w:spacing w:before="0" w:after="0" w:line="259" w:lineRule="auto"/>
            </w:pPr>
            <w:r>
              <w:rPr>
                <w:rFonts w:ascii="Calibri" w:hAnsi="Calibri"/>
                <w:color w:val="1F2937"/>
                <w:sz w:val="18"/>
              </w:rPr>
              <w:t>Scalability</w:t>
            </w:r>
          </w:p>
        </w:tc>
        <w:tc>
          <w:tcPr>
            <w:tcW w:type="dxa" w:w="5160"/>
          </w:tcPr>
          <w:p>
            <w:pPr>
              <w:spacing w:before="0" w:after="0" w:line="259" w:lineRule="auto"/>
            </w:pPr>
            <w:r>
              <w:rPr>
                <w:rFonts w:ascii="Calibri" w:hAnsi="Calibri"/>
                <w:color w:val="1F2937"/>
                <w:sz w:val="18"/>
              </w:rPr>
              <w:t>Architecture supports later 1,000-listener events without per-listener AI processing.</w:t>
            </w:r>
          </w:p>
        </w:tc>
        <w:tc>
          <w:tcPr>
            <w:tcW w:type="dxa" w:w="1980"/>
          </w:tcPr>
          <w:p>
            <w:pPr>
              <w:spacing w:before="0" w:after="0" w:line="259" w:lineRule="auto"/>
            </w:pPr>
            <w:r>
              <w:rPr>
                <w:rFonts w:ascii="Calibri" w:hAnsi="Calibri"/>
                <w:color w:val="1F2937"/>
                <w:sz w:val="18"/>
              </w:rPr>
              <w:t>Fan-out load model</w:t>
            </w:r>
          </w:p>
        </w:tc>
      </w:tr>
      <w:tr>
        <w:trPr>
          <w:cantSplit/>
        </w:trPr>
        <w:tc>
          <w:tcPr>
            <w:tcW w:type="dxa" w:w="900"/>
          </w:tcPr>
          <w:p>
            <w:pPr>
              <w:spacing w:before="0" w:after="0" w:line="259" w:lineRule="auto"/>
            </w:pPr>
            <w:r>
              <w:rPr>
                <w:rFonts w:ascii="Calibri" w:hAnsi="Calibri"/>
                <w:b/>
                <w:color w:val="1F2937"/>
                <w:sz w:val="18"/>
              </w:rPr>
              <w:t>NFR-011</w:t>
            </w:r>
          </w:p>
        </w:tc>
        <w:tc>
          <w:tcPr>
            <w:tcW w:type="dxa" w:w="1320"/>
          </w:tcPr>
          <w:p>
            <w:pPr>
              <w:spacing w:before="0" w:after="0" w:line="259" w:lineRule="auto"/>
            </w:pPr>
            <w:r>
              <w:rPr>
                <w:rFonts w:ascii="Calibri" w:hAnsi="Calibri"/>
                <w:color w:val="1F2937"/>
                <w:sz w:val="18"/>
              </w:rPr>
              <w:t>Cost</w:t>
            </w:r>
          </w:p>
        </w:tc>
        <w:tc>
          <w:tcPr>
            <w:tcW w:type="dxa" w:w="5160"/>
          </w:tcPr>
          <w:p>
            <w:pPr>
              <w:spacing w:before="0" w:after="0" w:line="259" w:lineRule="auto"/>
            </w:pPr>
            <w:r>
              <w:rPr>
                <w:rFonts w:ascii="Calibri" w:hAnsi="Calibri"/>
                <w:color w:val="1F2937"/>
                <w:sz w:val="18"/>
              </w:rPr>
              <w:t>Expose per-event provider usage and estimated cost by language channel.</w:t>
            </w:r>
          </w:p>
        </w:tc>
        <w:tc>
          <w:tcPr>
            <w:tcW w:type="dxa" w:w="1980"/>
          </w:tcPr>
          <w:p>
            <w:pPr>
              <w:spacing w:before="0" w:after="0" w:line="259" w:lineRule="auto"/>
            </w:pPr>
            <w:r>
              <w:rPr>
                <w:rFonts w:ascii="Calibri" w:hAnsi="Calibri"/>
                <w:color w:val="1F2937"/>
                <w:sz w:val="18"/>
              </w:rPr>
              <w:t>Reconciled usage report</w:t>
            </w:r>
          </w:p>
        </w:tc>
      </w:tr>
      <w:tr>
        <w:trPr>
          <w:cantSplit/>
        </w:trPr>
        <w:tc>
          <w:tcPr>
            <w:tcW w:type="dxa" w:w="900"/>
          </w:tcPr>
          <w:p>
            <w:pPr>
              <w:spacing w:before="0" w:after="0" w:line="259" w:lineRule="auto"/>
            </w:pPr>
            <w:r>
              <w:rPr>
                <w:rFonts w:ascii="Calibri" w:hAnsi="Calibri"/>
                <w:b/>
                <w:color w:val="1F2937"/>
                <w:sz w:val="18"/>
              </w:rPr>
              <w:t>NFR-012</w:t>
            </w:r>
          </w:p>
        </w:tc>
        <w:tc>
          <w:tcPr>
            <w:tcW w:type="dxa" w:w="1320"/>
          </w:tcPr>
          <w:p>
            <w:pPr>
              <w:spacing w:before="0" w:after="0" w:line="259" w:lineRule="auto"/>
            </w:pPr>
            <w:r>
              <w:rPr>
                <w:rFonts w:ascii="Calibri" w:hAnsi="Calibri"/>
                <w:color w:val="1F2937"/>
                <w:sz w:val="18"/>
              </w:rPr>
              <w:t>Data locality</w:t>
            </w:r>
          </w:p>
        </w:tc>
        <w:tc>
          <w:tcPr>
            <w:tcW w:type="dxa" w:w="5160"/>
          </w:tcPr>
          <w:p>
            <w:pPr>
              <w:spacing w:before="0" w:after="0" w:line="259" w:lineRule="auto"/>
            </w:pPr>
            <w:r>
              <w:rPr>
                <w:rFonts w:ascii="Calibri" w:hAnsi="Calibri"/>
                <w:color w:val="1F2937"/>
                <w:sz w:val="18"/>
              </w:rPr>
              <w:t>Storage region and provider routing are configurable for enterprise requirements.</w:t>
            </w:r>
          </w:p>
        </w:tc>
        <w:tc>
          <w:tcPr>
            <w:tcW w:type="dxa" w:w="1980"/>
          </w:tcPr>
          <w:p>
            <w:pPr>
              <w:spacing w:before="0" w:after="0" w:line="259" w:lineRule="auto"/>
            </w:pPr>
            <w:r>
              <w:rPr>
                <w:rFonts w:ascii="Calibri" w:hAnsi="Calibri"/>
                <w:color w:val="1F2937"/>
                <w:sz w:val="18"/>
              </w:rPr>
              <w:t>Architecture readiness</w:t>
            </w:r>
          </w:p>
        </w:tc>
      </w:tr>
    </w:tbl>
    <w:p>
      <w:pPr>
        <w:spacing w:before="80" w:after="0"/>
      </w:pPr>
    </w:p>
    <w:p>
      <w:pPr>
        <w:pStyle w:val="Heading1"/>
      </w:pPr>
      <w:r>
        <w:t>10. Technical product requirements</w:t>
      </w:r>
    </w:p>
    <w:p>
      <w:pPr>
        <w:pStyle w:val="Heading2"/>
      </w:pPr>
      <w:r>
        <w:t>10.1 Architectural constraints</w:t>
      </w:r>
    </w:p>
    <w:p>
      <w:pPr>
        <w:spacing w:after="160" w:line="280" w:lineRule="auto"/>
        <w:numPr>
          <w:ilvl w:val="0"/>
          <w:numId w:val="10"/>
        </w:numPr>
      </w:pPr>
      <w:r>
        <w:rPr>
          <w:rFonts w:ascii="Calibri" w:hAnsi="Calibri"/>
        </w:rPr>
        <w:t>Translation and TTS are generated once per active language channel, never once per attendee.</w:t>
      </w:r>
    </w:p>
    <w:p>
      <w:pPr>
        <w:spacing w:after="160" w:line="280" w:lineRule="auto"/>
        <w:numPr>
          <w:ilvl w:val="0"/>
          <w:numId w:val="10"/>
        </w:numPr>
      </w:pPr>
      <w:r>
        <w:rPr>
          <w:rFonts w:ascii="Calibri" w:hAnsi="Calibri"/>
        </w:rPr>
        <w:t>STT, translation, and TTS use provider-neutral interfaces so each stage can be replaced independently.</w:t>
      </w:r>
    </w:p>
    <w:p>
      <w:pPr>
        <w:spacing w:after="160" w:line="280" w:lineRule="auto"/>
        <w:numPr>
          <w:ilvl w:val="0"/>
          <w:numId w:val="10"/>
        </w:numPr>
      </w:pPr>
      <w:r>
        <w:rPr>
          <w:rFonts w:ascii="Calibri" w:hAnsi="Calibri"/>
        </w:rPr>
        <w:t>The live pipeline carries timestamps, segment IDs, confidence, language, revision state, and trace IDs end to end.</w:t>
      </w:r>
    </w:p>
    <w:p>
      <w:pPr>
        <w:spacing w:after="160" w:line="280" w:lineRule="auto"/>
        <w:numPr>
          <w:ilvl w:val="0"/>
          <w:numId w:val="10"/>
        </w:numPr>
      </w:pPr>
      <w:r>
        <w:rPr>
          <w:rFonts w:ascii="Calibri" w:hAnsi="Calibri"/>
        </w:rPr>
        <w:t>Interim transcript revisions must not cause duplicate or contradictory audio; the translation scheduler controls commit boundaries.</w:t>
      </w:r>
    </w:p>
    <w:p>
      <w:pPr>
        <w:spacing w:after="160" w:line="280" w:lineRule="auto"/>
        <w:numPr>
          <w:ilvl w:val="0"/>
          <w:numId w:val="10"/>
        </w:numPr>
      </w:pPr>
      <w:r>
        <w:rPr>
          <w:rFonts w:ascii="Calibri" w:hAnsi="Calibri"/>
        </w:rPr>
        <w:t>Backpressure must protect the session: degrade audio quality or captions before unbounded queue growth.</w:t>
      </w:r>
    </w:p>
    <w:p>
      <w:pPr>
        <w:spacing w:after="160" w:line="280" w:lineRule="auto"/>
        <w:numPr>
          <w:ilvl w:val="0"/>
          <w:numId w:val="10"/>
        </w:numPr>
      </w:pPr>
      <w:r>
        <w:rPr>
          <w:rFonts w:ascii="Calibri" w:hAnsi="Calibri"/>
        </w:rPr>
        <w:t>Venue audio input through a mixer is supported as a cleaner alternative to the laptop microphone.</w:t>
      </w:r>
    </w:p>
    <w:p>
      <w:pPr>
        <w:spacing w:after="160" w:line="280" w:lineRule="auto"/>
        <w:numPr>
          <w:ilvl w:val="0"/>
          <w:numId w:val="10"/>
        </w:numPr>
      </w:pPr>
      <w:r>
        <w:rPr>
          <w:rFonts w:ascii="Calibri" w:hAnsi="Calibri"/>
        </w:rPr>
        <w:t>Post-event processing is asynchronous and does not block ending a live session.</w:t>
      </w:r>
    </w:p>
    <w:p>
      <w:pPr>
        <w:spacing w:after="160" w:line="280" w:lineRule="auto"/>
        <w:numPr>
          <w:ilvl w:val="0"/>
          <w:numId w:val="10"/>
        </w:numPr>
      </w:pPr>
      <w:r>
        <w:rPr>
          <w:rFonts w:ascii="Calibri" w:hAnsi="Calibri"/>
        </w:rPr>
        <w:t>Prastuti-owned compute is stateless and invoked on demand; no custom application server, WebSocket process, or queue worker remains resident between sessions.</w:t>
      </w:r>
    </w:p>
    <w:p>
      <w:pPr>
        <w:spacing w:after="160" w:line="280" w:lineRule="auto"/>
        <w:numPr>
          <w:ilvl w:val="0"/>
          <w:numId w:val="10"/>
        </w:numPr>
      </w:pPr>
      <w:r>
        <w:rPr>
          <w:rFonts w:ascii="Calibri" w:hAnsi="Calibri"/>
        </w:rPr>
        <w:t>Presenter and attendee browsers connect directly to managed speech and realtime providers using event-scoped, short-lived credentials issued by the control plane.</w:t>
      </w:r>
    </w:p>
    <w:p>
      <w:pPr>
        <w:pStyle w:val="Heading2"/>
      </w:pPr>
      <w:r>
        <w:t>10.2 Logical components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6840"/>
      </w:tblGrid>
      <w:tr>
        <w:trPr>
          <w:tblHeader w:val="true"/>
          <w:cantSplit/>
        </w:trPr>
        <w:tc>
          <w:tcPr>
            <w:tcW w:type="dxa" w:w="25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Component</w:t>
            </w:r>
          </w:p>
        </w:tc>
        <w:tc>
          <w:tcPr>
            <w:tcW w:type="dxa" w:w="68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Responsibility</w:t>
            </w:r>
          </w:p>
        </w:tc>
      </w:tr>
      <w:tr>
        <w:trPr>
          <w:cantSplit/>
        </w:trPr>
        <w:tc>
          <w:tcPr>
            <w:tcW w:type="dxa" w:w="2520"/>
          </w:tcPr>
          <w:p>
            <w:pPr>
              <w:spacing w:before="0" w:after="0" w:line="259" w:lineRule="auto"/>
            </w:pPr>
            <w:r>
              <w:rPr>
                <w:rFonts w:ascii="Calibri" w:hAnsi="Calibri"/>
                <w:color w:val="1F2937"/>
                <w:sz w:val="18"/>
              </w:rPr>
              <w:t>Presenter dashboard</w:t>
            </w:r>
          </w:p>
        </w:tc>
        <w:tc>
          <w:tcPr>
            <w:tcW w:type="dxa" w:w="6840"/>
          </w:tcPr>
          <w:p>
            <w:pPr>
              <w:spacing w:before="0" w:after="0" w:line="259" w:lineRule="auto"/>
            </w:pPr>
            <w:r>
              <w:rPr>
                <w:rFonts w:ascii="Calibri" w:hAnsi="Calibri"/>
                <w:color w:val="1F2937"/>
                <w:sz w:val="18"/>
              </w:rPr>
              <w:t>Event setup, uploads, audio capture, preflight, live controls, monitoring.</w:t>
            </w:r>
          </w:p>
        </w:tc>
      </w:tr>
      <w:tr>
        <w:trPr>
          <w:cantSplit/>
        </w:trPr>
        <w:tc>
          <w:tcPr>
            <w:tcW w:type="dxa" w:w="2520"/>
          </w:tcPr>
          <w:p>
            <w:pPr>
              <w:spacing w:before="0" w:after="0" w:line="259" w:lineRule="auto"/>
            </w:pPr>
            <w:r>
              <w:rPr>
                <w:rFonts w:ascii="Calibri" w:hAnsi="Calibri"/>
                <w:color w:val="1F2937"/>
                <w:sz w:val="18"/>
              </w:rPr>
              <w:t>Attendee PWA</w:t>
            </w:r>
          </w:p>
        </w:tc>
        <w:tc>
          <w:tcPr>
            <w:tcW w:type="dxa" w:w="6840"/>
          </w:tcPr>
          <w:p>
            <w:pPr>
              <w:spacing w:before="0" w:after="0" w:line="259" w:lineRule="auto"/>
            </w:pPr>
            <w:r>
              <w:rPr>
                <w:rFonts w:ascii="Calibri" w:hAnsi="Calibri"/>
                <w:color w:val="1F2937"/>
                <w:sz w:val="18"/>
              </w:rPr>
              <w:t>QR join, language selection, playback gesture, captions, audio, bandwidth and accessibility controls.</w:t>
            </w:r>
          </w:p>
        </w:tc>
      </w:tr>
      <w:tr>
        <w:trPr>
          <w:cantSplit/>
        </w:trPr>
        <w:tc>
          <w:tcPr>
            <w:tcW w:type="dxa" w:w="2520"/>
          </w:tcPr>
          <w:p>
            <w:pPr>
              <w:spacing w:before="0" w:after="0" w:line="259" w:lineRule="auto"/>
            </w:pPr>
            <w:r>
              <w:rPr>
                <w:rFonts w:ascii="Calibri" w:hAnsi="Calibri"/>
                <w:color w:val="1F2937"/>
                <w:sz w:val="18"/>
              </w:rPr>
              <w:t>Token and control APIs</w:t>
            </w:r>
          </w:p>
        </w:tc>
        <w:tc>
          <w:tcPr>
            <w:tcW w:type="dxa" w:w="6840"/>
          </w:tcPr>
          <w:p>
            <w:pPr>
              <w:spacing w:before="0" w:after="0" w:line="259" w:lineRule="auto"/>
            </w:pPr>
            <w:r>
              <w:rPr>
                <w:rFonts w:ascii="Calibri" w:hAnsi="Calibri"/>
                <w:color w:val="1F2937"/>
                <w:sz w:val="18"/>
              </w:rPr>
              <w:t>Stateless authentication, credit reservation, short-lived provider tokens, webhooks, and settlement.</w:t>
            </w:r>
          </w:p>
        </w:tc>
      </w:tr>
      <w:tr>
        <w:trPr>
          <w:cantSplit/>
        </w:trPr>
        <w:tc>
          <w:tcPr>
            <w:tcW w:type="dxa" w:w="2520"/>
          </w:tcPr>
          <w:p>
            <w:pPr>
              <w:spacing w:before="0" w:after="0" w:line="259" w:lineRule="auto"/>
            </w:pPr>
            <w:r>
              <w:rPr>
                <w:rFonts w:ascii="Calibri" w:hAnsi="Calibri"/>
                <w:color w:val="1F2937"/>
                <w:sz w:val="18"/>
              </w:rPr>
              <w:t>Managed speech pipeline</w:t>
            </w:r>
          </w:p>
        </w:tc>
        <w:tc>
          <w:tcPr>
            <w:tcW w:type="dxa" w:w="6840"/>
          </w:tcPr>
          <w:p>
            <w:pPr>
              <w:spacing w:before="0" w:after="0" w:line="259" w:lineRule="auto"/>
            </w:pPr>
            <w:r>
              <w:rPr>
                <w:rFonts w:ascii="Calibri" w:hAnsi="Calibri"/>
                <w:color w:val="1F2937"/>
                <w:sz w:val="18"/>
              </w:rPr>
              <w:t>Streaming STT, context enrichment, incremental translation, and streaming TTS behind typed adapters.</w:t>
            </w:r>
          </w:p>
        </w:tc>
      </w:tr>
      <w:tr>
        <w:trPr>
          <w:cantSplit/>
        </w:trPr>
        <w:tc>
          <w:tcPr>
            <w:tcW w:type="dxa" w:w="2520"/>
          </w:tcPr>
          <w:p>
            <w:pPr>
              <w:spacing w:before="0" w:after="0" w:line="259" w:lineRule="auto"/>
            </w:pPr>
            <w:r>
              <w:rPr>
                <w:rFonts w:ascii="Calibri" w:hAnsi="Calibri"/>
                <w:color w:val="1F2937"/>
                <w:sz w:val="18"/>
              </w:rPr>
              <w:t>Managed realtime transport</w:t>
            </w:r>
          </w:p>
        </w:tc>
        <w:tc>
          <w:tcPr>
            <w:tcW w:type="dxa" w:w="6840"/>
          </w:tcPr>
          <w:p>
            <w:pPr>
              <w:spacing w:before="0" w:after="0" w:line="259" w:lineRule="auto"/>
            </w:pPr>
            <w:r>
              <w:rPr>
                <w:rFonts w:ascii="Calibri" w:hAnsi="Calibri"/>
                <w:color w:val="1F2937"/>
                <w:sz w:val="18"/>
              </w:rPr>
              <w:t>WebRTC and pub-sub fan-out for shared caption/audio channels; subscriber and health telemetry.</w:t>
            </w:r>
          </w:p>
        </w:tc>
      </w:tr>
      <w:tr>
        <w:trPr>
          <w:cantSplit/>
        </w:trPr>
        <w:tc>
          <w:tcPr>
            <w:tcW w:type="dxa" w:w="2520"/>
          </w:tcPr>
          <w:p>
            <w:pPr>
              <w:spacing w:before="0" w:after="0" w:line="259" w:lineRule="auto"/>
            </w:pPr>
            <w:r>
              <w:rPr>
                <w:rFonts w:ascii="Calibri" w:hAnsi="Calibri"/>
                <w:color w:val="1F2937"/>
                <w:sz w:val="18"/>
              </w:rPr>
              <w:t>Durable workflow</w:t>
            </w:r>
          </w:p>
        </w:tc>
        <w:tc>
          <w:tcPr>
            <w:tcW w:type="dxa" w:w="6840"/>
          </w:tcPr>
          <w:p>
            <w:pPr>
              <w:spacing w:before="0" w:after="0" w:line="259" w:lineRule="auto"/>
            </w:pPr>
            <w:r>
              <w:rPr>
                <w:rFonts w:ascii="Calibri" w:hAnsi="Calibri"/>
                <w:color w:val="1F2937"/>
                <w:sz w:val="18"/>
              </w:rPr>
              <w:t>Retryable post-session reconciliation, summaries, transcripts, retention, and provider callbacks.</w:t>
            </w:r>
          </w:p>
        </w:tc>
      </w:tr>
      <w:tr>
        <w:trPr>
          <w:cantSplit/>
        </w:trPr>
        <w:tc>
          <w:tcPr>
            <w:tcW w:type="dxa" w:w="2520"/>
          </w:tcPr>
          <w:p>
            <w:pPr>
              <w:spacing w:before="0" w:after="0" w:line="259" w:lineRule="auto"/>
            </w:pPr>
            <w:r>
              <w:rPr>
                <w:rFonts w:ascii="Calibri" w:hAnsi="Calibri"/>
                <w:color w:val="1F2937"/>
                <w:sz w:val="18"/>
              </w:rPr>
              <w:t>Data services</w:t>
            </w:r>
          </w:p>
        </w:tc>
        <w:tc>
          <w:tcPr>
            <w:tcW w:type="dxa" w:w="6840"/>
          </w:tcPr>
          <w:p>
            <w:pPr>
              <w:spacing w:before="0" w:after="0" w:line="259" w:lineRule="auto"/>
            </w:pPr>
            <w:r>
              <w:rPr>
                <w:rFonts w:ascii="Calibri" w:hAnsi="Calibri"/>
                <w:color w:val="1F2937"/>
                <w:sz w:val="18"/>
              </w:rPr>
              <w:t>Serverless PostgreSQL, object storage, ephemeral coordination, transcript/segment store, and analytics.</w:t>
            </w:r>
          </w:p>
        </w:tc>
      </w:tr>
      <w:tr>
        <w:trPr>
          <w:cantSplit/>
        </w:trPr>
        <w:tc>
          <w:tcPr>
            <w:tcW w:type="dxa" w:w="2520"/>
          </w:tcPr>
          <w:p>
            <w:pPr>
              <w:spacing w:before="0" w:after="0" w:line="259" w:lineRule="auto"/>
            </w:pPr>
            <w:r>
              <w:rPr>
                <w:rFonts w:ascii="Calibri" w:hAnsi="Calibri"/>
                <w:color w:val="1F2937"/>
                <w:sz w:val="18"/>
              </w:rPr>
              <w:t>Observability plane</w:t>
            </w:r>
          </w:p>
        </w:tc>
        <w:tc>
          <w:tcPr>
            <w:tcW w:type="dxa" w:w="6840"/>
          </w:tcPr>
          <w:p>
            <w:pPr>
              <w:spacing w:before="0" w:after="0" w:line="259" w:lineRule="auto"/>
            </w:pPr>
            <w:r>
              <w:rPr>
                <w:rFonts w:ascii="Calibri" w:hAnsi="Calibri"/>
                <w:color w:val="1F2937"/>
                <w:sz w:val="18"/>
              </w:rPr>
              <w:t>Metrics, distributed traces, structured logs, alerts, cost attribution.</w:t>
            </w:r>
          </w:p>
        </w:tc>
      </w:tr>
    </w:tbl>
    <w:p>
      <w:pPr>
        <w:spacing w:before="80" w:after="0"/>
      </w:pPr>
    </w:p>
    <w:p>
      <w:pPr>
        <w:pStyle w:val="Heading2"/>
      </w:pPr>
      <w:r>
        <w:t>10.3 Recommended implementation stack</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6840"/>
      </w:tblGrid>
      <w:tr>
        <w:trPr>
          <w:tblHeader w:val="true"/>
          <w:cantSplit/>
        </w:trPr>
        <w:tc>
          <w:tcPr>
            <w:tcW w:type="dxa" w:w="25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Area</w:t>
            </w:r>
          </w:p>
        </w:tc>
        <w:tc>
          <w:tcPr>
            <w:tcW w:type="dxa" w:w="68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Working recommendation</w:t>
            </w:r>
          </w:p>
        </w:tc>
      </w:tr>
      <w:tr>
        <w:trPr>
          <w:cantSplit/>
        </w:trPr>
        <w:tc>
          <w:tcPr>
            <w:tcW w:type="dxa" w:w="2520"/>
          </w:tcPr>
          <w:p>
            <w:pPr>
              <w:spacing w:before="0" w:after="0" w:line="259" w:lineRule="auto"/>
            </w:pPr>
            <w:r>
              <w:rPr>
                <w:rFonts w:ascii="Calibri" w:hAnsi="Calibri"/>
                <w:color w:val="1F2937"/>
                <w:sz w:val="18"/>
              </w:rPr>
              <w:t>Web applications</w:t>
            </w:r>
          </w:p>
        </w:tc>
        <w:tc>
          <w:tcPr>
            <w:tcW w:type="dxa" w:w="6840"/>
          </w:tcPr>
          <w:p>
            <w:pPr>
              <w:spacing w:before="0" w:after="0" w:line="259" w:lineRule="auto"/>
            </w:pPr>
            <w:r>
              <w:rPr>
                <w:rFonts w:ascii="Calibri" w:hAnsi="Calibri"/>
                <w:color w:val="1F2937"/>
                <w:sz w:val="18"/>
              </w:rPr>
              <w:t>Next.js 16 App Router, React, TypeScript, Tailwind CSS, and shadcn/ui for presenter, organizer, and attendee experiences</w:t>
            </w:r>
          </w:p>
        </w:tc>
      </w:tr>
      <w:tr>
        <w:trPr>
          <w:cantSplit/>
        </w:trPr>
        <w:tc>
          <w:tcPr>
            <w:tcW w:type="dxa" w:w="2520"/>
          </w:tcPr>
          <w:p>
            <w:pPr>
              <w:spacing w:before="0" w:after="0" w:line="259" w:lineRule="auto"/>
            </w:pPr>
            <w:r>
              <w:rPr>
                <w:rFonts w:ascii="Calibri" w:hAnsi="Calibri"/>
                <w:color w:val="1F2937"/>
                <w:sz w:val="18"/>
              </w:rPr>
              <w:t>Audio capture / transport</w:t>
            </w:r>
          </w:p>
        </w:tc>
        <w:tc>
          <w:tcPr>
            <w:tcW w:type="dxa" w:w="6840"/>
          </w:tcPr>
          <w:p>
            <w:pPr>
              <w:spacing w:before="0" w:after="0" w:line="259" w:lineRule="auto"/>
            </w:pPr>
            <w:r>
              <w:rPr>
                <w:rFonts w:ascii="Calibri" w:hAnsi="Calibri"/>
                <w:color w:val="1F2937"/>
                <w:sz w:val="18"/>
              </w:rPr>
              <w:t>Web Audio API with direct browser connections to a managed WebRTC and realtime provider</w:t>
            </w:r>
          </w:p>
        </w:tc>
      </w:tr>
      <w:tr>
        <w:trPr>
          <w:cantSplit/>
        </w:trPr>
        <w:tc>
          <w:tcPr>
            <w:tcW w:type="dxa" w:w="2520"/>
          </w:tcPr>
          <w:p>
            <w:pPr>
              <w:spacing w:before="0" w:after="0" w:line="259" w:lineRule="auto"/>
            </w:pPr>
            <w:r>
              <w:rPr>
                <w:rFonts w:ascii="Calibri" w:hAnsi="Calibri"/>
                <w:color w:val="1F2937"/>
                <w:sz w:val="18"/>
              </w:rPr>
              <w:t>Control plane</w:t>
            </w:r>
          </w:p>
        </w:tc>
        <w:tc>
          <w:tcPr>
            <w:tcW w:type="dxa" w:w="6840"/>
          </w:tcPr>
          <w:p>
            <w:pPr>
              <w:spacing w:before="0" w:after="0" w:line="259" w:lineRule="auto"/>
            </w:pPr>
            <w:r>
              <w:rPr>
                <w:rFonts w:ascii="Calibri" w:hAnsi="Calibri"/>
                <w:color w:val="1F2937"/>
                <w:sz w:val="18"/>
              </w:rPr>
              <w:t>Next.js Server Components, Server Actions, and TypeScript Route Handlers on Vercel Functions</w:t>
            </w:r>
          </w:p>
        </w:tc>
      </w:tr>
      <w:tr>
        <w:trPr>
          <w:cantSplit/>
        </w:trPr>
        <w:tc>
          <w:tcPr>
            <w:tcW w:type="dxa" w:w="2520"/>
          </w:tcPr>
          <w:p>
            <w:pPr>
              <w:spacing w:before="0" w:after="0" w:line="259" w:lineRule="auto"/>
            </w:pPr>
            <w:r>
              <w:rPr>
                <w:rFonts w:ascii="Calibri" w:hAnsi="Calibri"/>
                <w:color w:val="1F2937"/>
                <w:sz w:val="18"/>
              </w:rPr>
              <w:t>Realtime services</w:t>
            </w:r>
          </w:p>
        </w:tc>
        <w:tc>
          <w:tcPr>
            <w:tcW w:type="dxa" w:w="6840"/>
          </w:tcPr>
          <w:p>
            <w:pPr>
              <w:spacing w:before="0" w:after="0" w:line="259" w:lineRule="auto"/>
            </w:pPr>
            <w:r>
              <w:rPr>
                <w:rFonts w:ascii="Calibri" w:hAnsi="Calibri"/>
                <w:color w:val="1F2937"/>
                <w:sz w:val="18"/>
              </w:rPr>
              <w:t>Managed WebRTC and pub-sub provider; Vercel Functions issue scoped tokens but do not proxy full-session media</w:t>
            </w:r>
          </w:p>
        </w:tc>
      </w:tr>
      <w:tr>
        <w:trPr>
          <w:cantSplit/>
        </w:trPr>
        <w:tc>
          <w:tcPr>
            <w:tcW w:type="dxa" w:w="2520"/>
          </w:tcPr>
          <w:p>
            <w:pPr>
              <w:spacing w:before="0" w:after="0" w:line="259" w:lineRule="auto"/>
            </w:pPr>
            <w:r>
              <w:rPr>
                <w:rFonts w:ascii="Calibri" w:hAnsi="Calibri"/>
                <w:color w:val="1F2937"/>
                <w:sz w:val="18"/>
              </w:rPr>
              <w:t>Orchestration</w:t>
            </w:r>
          </w:p>
        </w:tc>
        <w:tc>
          <w:tcPr>
            <w:tcW w:type="dxa" w:w="6840"/>
          </w:tcPr>
          <w:p>
            <w:pPr>
              <w:spacing w:before="0" w:after="0" w:line="259" w:lineRule="auto"/>
            </w:pPr>
            <w:r>
              <w:rPr>
                <w:rFonts w:ascii="Calibri" w:hAnsi="Calibri"/>
                <w:color w:val="1F2937"/>
                <w:sz w:val="18"/>
              </w:rPr>
              <w:t>Vercel Workflow for retryable post-session work after beta exit criteria; simple operations remain Route Handlers</w:t>
            </w:r>
          </w:p>
        </w:tc>
      </w:tr>
      <w:tr>
        <w:trPr>
          <w:cantSplit/>
        </w:trPr>
        <w:tc>
          <w:tcPr>
            <w:tcW w:type="dxa" w:w="2520"/>
          </w:tcPr>
          <w:p>
            <w:pPr>
              <w:spacing w:before="0" w:after="0" w:line="259" w:lineRule="auto"/>
            </w:pPr>
            <w:r>
              <w:rPr>
                <w:rFonts w:ascii="Calibri" w:hAnsi="Calibri"/>
                <w:color w:val="1F2937"/>
                <w:sz w:val="18"/>
              </w:rPr>
              <w:t>Speech providers</w:t>
            </w:r>
          </w:p>
        </w:tc>
        <w:tc>
          <w:tcPr>
            <w:tcW w:type="dxa" w:w="6840"/>
          </w:tcPr>
          <w:p>
            <w:pPr>
              <w:spacing w:before="0" w:after="0" w:line="259" w:lineRule="auto"/>
            </w:pPr>
            <w:r>
              <w:rPr>
                <w:rFonts w:ascii="Calibri" w:hAnsi="Calibri"/>
                <w:color w:val="1F2937"/>
                <w:sz w:val="18"/>
              </w:rPr>
              <w:t>TypeScript provider interfaces with Azure Speech, BHASHINI, and Google Cloud adapters</w:t>
            </w:r>
          </w:p>
        </w:tc>
      </w:tr>
      <w:tr>
        <w:trPr>
          <w:cantSplit/>
        </w:trPr>
        <w:tc>
          <w:tcPr>
            <w:tcW w:type="dxa" w:w="2520"/>
          </w:tcPr>
          <w:p>
            <w:pPr>
              <w:spacing w:before="0" w:after="0" w:line="259" w:lineRule="auto"/>
            </w:pPr>
            <w:r>
              <w:rPr>
                <w:rFonts w:ascii="Calibri" w:hAnsi="Calibri"/>
                <w:color w:val="1F2937"/>
                <w:sz w:val="18"/>
              </w:rPr>
              <w:t>Ephemeral coordination</w:t>
            </w:r>
          </w:p>
        </w:tc>
        <w:tc>
          <w:tcPr>
            <w:tcW w:type="dxa" w:w="6840"/>
          </w:tcPr>
          <w:p>
            <w:pPr>
              <w:spacing w:before="0" w:after="0" w:line="259" w:lineRule="auto"/>
            </w:pPr>
            <w:r>
              <w:rPr>
                <w:rFonts w:ascii="Calibri" w:hAnsi="Calibri"/>
                <w:color w:val="1F2937"/>
                <w:sz w:val="18"/>
              </w:rPr>
              <w:t>Upstash Redis over REST for rate limits, idempotency locks, and short-lived session state</w:t>
            </w:r>
          </w:p>
        </w:tc>
      </w:tr>
      <w:tr>
        <w:trPr>
          <w:cantSplit/>
        </w:trPr>
        <w:tc>
          <w:tcPr>
            <w:tcW w:type="dxa" w:w="2520"/>
          </w:tcPr>
          <w:p>
            <w:pPr>
              <w:spacing w:before="0" w:after="0" w:line="259" w:lineRule="auto"/>
            </w:pPr>
            <w:r>
              <w:rPr>
                <w:rFonts w:ascii="Calibri" w:hAnsi="Calibri"/>
                <w:color w:val="1F2937"/>
                <w:sz w:val="18"/>
              </w:rPr>
              <w:t>Persistence</w:t>
            </w:r>
          </w:p>
        </w:tc>
        <w:tc>
          <w:tcPr>
            <w:tcW w:type="dxa" w:w="6840"/>
          </w:tcPr>
          <w:p>
            <w:pPr>
              <w:spacing w:before="0" w:after="0" w:line="259" w:lineRule="auto"/>
            </w:pPr>
            <w:r>
              <w:rPr>
                <w:rFonts w:ascii="Calibri" w:hAnsi="Calibri"/>
                <w:color w:val="1F2937"/>
                <w:sz w:val="18"/>
              </w:rPr>
              <w:t>Neon Postgres over its HTTP serverless driver with Drizzle ORM; Vercel Blob for assets</w:t>
            </w:r>
          </w:p>
        </w:tc>
      </w:tr>
      <w:tr>
        <w:trPr>
          <w:cantSplit/>
        </w:trPr>
        <w:tc>
          <w:tcPr>
            <w:tcW w:type="dxa" w:w="2520"/>
          </w:tcPr>
          <w:p>
            <w:pPr>
              <w:spacing w:before="0" w:after="0" w:line="259" w:lineRule="auto"/>
            </w:pPr>
            <w:r>
              <w:rPr>
                <w:rFonts w:ascii="Calibri" w:hAnsi="Calibri"/>
                <w:color w:val="1F2937"/>
                <w:sz w:val="18"/>
              </w:rPr>
              <w:t>Identity</w:t>
            </w:r>
          </w:p>
        </w:tc>
        <w:tc>
          <w:tcPr>
            <w:tcW w:type="dxa" w:w="6840"/>
          </w:tcPr>
          <w:p>
            <w:pPr>
              <w:spacing w:before="0" w:after="0" w:line="259" w:lineRule="auto"/>
            </w:pPr>
            <w:r>
              <w:rPr>
                <w:rFonts w:ascii="Calibri" w:hAnsi="Calibri"/>
                <w:color w:val="1F2937"/>
                <w:sz w:val="18"/>
              </w:rPr>
              <w:t>Managed organizer identity; event-scoped anonymous attendee tokens</w:t>
            </w:r>
          </w:p>
        </w:tc>
      </w:tr>
      <w:tr>
        <w:trPr>
          <w:cantSplit/>
        </w:trPr>
        <w:tc>
          <w:tcPr>
            <w:tcW w:type="dxa" w:w="2520"/>
          </w:tcPr>
          <w:p>
            <w:pPr>
              <w:spacing w:before="0" w:after="0" w:line="259" w:lineRule="auto"/>
            </w:pPr>
            <w:r>
              <w:rPr>
                <w:rFonts w:ascii="Calibri" w:hAnsi="Calibri"/>
                <w:color w:val="1F2937"/>
                <w:sz w:val="18"/>
              </w:rPr>
              <w:t>Payments</w:t>
            </w:r>
          </w:p>
        </w:tc>
        <w:tc>
          <w:tcPr>
            <w:tcW w:type="dxa" w:w="6840"/>
          </w:tcPr>
          <w:p>
            <w:pPr>
              <w:spacing w:before="0" w:after="0" w:line="259" w:lineRule="auto"/>
            </w:pPr>
            <w:r>
              <w:rPr>
                <w:rFonts w:ascii="Calibri" w:hAnsi="Calibri"/>
                <w:color w:val="1F2937"/>
                <w:sz w:val="18"/>
              </w:rPr>
              <w:t>TypeScript payment adapter with Razorpay or Cashfree selected after tax, settlement, refund, and reliability due diligence</w:t>
            </w:r>
          </w:p>
        </w:tc>
      </w:tr>
      <w:tr>
        <w:trPr>
          <w:cantSplit/>
        </w:trPr>
        <w:tc>
          <w:tcPr>
            <w:tcW w:type="dxa" w:w="2520"/>
          </w:tcPr>
          <w:p>
            <w:pPr>
              <w:spacing w:before="0" w:after="0" w:line="259" w:lineRule="auto"/>
            </w:pPr>
            <w:r>
              <w:rPr>
                <w:rFonts w:ascii="Calibri" w:hAnsi="Calibri"/>
                <w:color w:val="1F2937"/>
                <w:sz w:val="18"/>
              </w:rPr>
              <w:t>Infrastructure</w:t>
            </w:r>
          </w:p>
        </w:tc>
        <w:tc>
          <w:tcPr>
            <w:tcW w:type="dxa" w:w="6840"/>
          </w:tcPr>
          <w:p>
            <w:pPr>
              <w:spacing w:before="0" w:after="0" w:line="259" w:lineRule="auto"/>
            </w:pPr>
            <w:r>
              <w:rPr>
                <w:rFonts w:ascii="Calibri" w:hAnsi="Calibri"/>
                <w:color w:val="1F2937"/>
                <w:sz w:val="18"/>
              </w:rPr>
              <w:t>Vercel serverless deployment in India region with managed marketplace storage and no custom always-on compute</w:t>
            </w:r>
          </w:p>
        </w:tc>
      </w:tr>
      <w:tr>
        <w:trPr>
          <w:cantSplit/>
        </w:trPr>
        <w:tc>
          <w:tcPr>
            <w:tcW w:type="dxa" w:w="2520"/>
          </w:tcPr>
          <w:p>
            <w:pPr>
              <w:spacing w:before="0" w:after="0" w:line="259" w:lineRule="auto"/>
            </w:pPr>
            <w:r>
              <w:rPr>
                <w:rFonts w:ascii="Calibri" w:hAnsi="Calibri"/>
                <w:color w:val="1F2937"/>
                <w:sz w:val="18"/>
              </w:rPr>
              <w:t>Observability</w:t>
            </w:r>
          </w:p>
        </w:tc>
        <w:tc>
          <w:tcPr>
            <w:tcW w:type="dxa" w:w="6840"/>
          </w:tcPr>
          <w:p>
            <w:pPr>
              <w:spacing w:before="0" w:after="0" w:line="259" w:lineRule="auto"/>
            </w:pPr>
            <w:r>
              <w:rPr>
                <w:rFonts w:ascii="Calibri" w:hAnsi="Calibri"/>
                <w:color w:val="1F2937"/>
                <w:sz w:val="18"/>
              </w:rPr>
              <w:t>OpenTelemetry-compatible managed tracing, logs, error capture, usage attribution, and budget alerts</w:t>
            </w:r>
          </w:p>
        </w:tc>
      </w:tr>
    </w:tbl>
    <w:p>
      <w:pPr>
        <w:spacing w:before="80" w:after="0"/>
      </w:pPr>
    </w:p>
    <w:p>
      <w:pPr>
        <w:spacing w:before="100" w:after="200" w:line="269" w:lineRule="auto"/>
        <w:ind w:left="160" w:right="160"/>
        <w:shd w:fill="FFF8E8"/>
        <w:pBdr>
          <w:left w:val="single" w:sz="18" w:space="8" w:color="7A5A00"/>
        </w:pBdr>
      </w:pPr>
      <w:r>
        <w:rPr>
          <w:rFonts w:ascii="Calibri" w:hAnsi="Calibri"/>
          <w:b/>
          <w:color w:val="7A5A00"/>
          <w:sz w:val="21"/>
        </w:rPr>
        <w:t xml:space="preserve">Decision gate: </w:t>
      </w:r>
      <w:r>
        <w:rPr>
          <w:rFonts w:ascii="Calibri" w:hAnsi="Calibri"/>
          <w:color w:val="1F2937"/>
          <w:sz w:val="21"/>
        </w:rPr>
        <w:t>All authored application code remains TypeScript and Prastuti-owned compute can scale to zero when idle. This is a cost objective, not a zero-invoice guarantee: persistent storage, domains, observability retention, and provider minimums may remain. Benchmark managed realtime and speech providers before committing to production latency, cost, or data-residency claims.</w:t>
      </w:r>
    </w:p>
    <w:p>
      <w:pPr>
        <w:pStyle w:val="Heading2"/>
      </w:pPr>
      <w:r>
        <w:t>10.4 Core domain model</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7200"/>
      </w:tblGrid>
      <w:tr>
        <w:trPr>
          <w:tblHeader w:val="true"/>
          <w:cantSplit/>
        </w:trPr>
        <w:tc>
          <w:tcPr>
            <w:tcW w:type="dxa" w:w="21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Entity</w:t>
            </w:r>
          </w:p>
        </w:tc>
        <w:tc>
          <w:tcPr>
            <w:tcW w:type="dxa" w:w="72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Key responsibilities</w:t>
            </w:r>
          </w:p>
        </w:tc>
      </w:tr>
      <w:tr>
        <w:trPr>
          <w:cantSplit/>
        </w:trPr>
        <w:tc>
          <w:tcPr>
            <w:tcW w:type="dxa" w:w="2160"/>
          </w:tcPr>
          <w:p>
            <w:pPr>
              <w:spacing w:before="0" w:after="0" w:line="259" w:lineRule="auto"/>
            </w:pPr>
            <w:r>
              <w:rPr>
                <w:rFonts w:ascii="Calibri" w:hAnsi="Calibri"/>
                <w:color w:val="1F2937"/>
                <w:sz w:val="18"/>
              </w:rPr>
              <w:t>Organization</w:t>
            </w:r>
          </w:p>
        </w:tc>
        <w:tc>
          <w:tcPr>
            <w:tcW w:type="dxa" w:w="7200"/>
          </w:tcPr>
          <w:p>
            <w:pPr>
              <w:spacing w:before="0" w:after="0" w:line="259" w:lineRule="auto"/>
            </w:pPr>
            <w:r>
              <w:rPr>
                <w:rFonts w:ascii="Calibri" w:hAnsi="Calibri"/>
                <w:color w:val="1F2937"/>
                <w:sz w:val="18"/>
              </w:rPr>
              <w:t>Tenant, wallet, policy, glossary, users</w:t>
            </w:r>
          </w:p>
        </w:tc>
      </w:tr>
      <w:tr>
        <w:trPr>
          <w:cantSplit/>
        </w:trPr>
        <w:tc>
          <w:tcPr>
            <w:tcW w:type="dxa" w:w="2160"/>
          </w:tcPr>
          <w:p>
            <w:pPr>
              <w:spacing w:before="0" w:after="0" w:line="259" w:lineRule="auto"/>
            </w:pPr>
            <w:r>
              <w:rPr>
                <w:rFonts w:ascii="Calibri" w:hAnsi="Calibri"/>
                <w:color w:val="1F2937"/>
                <w:sz w:val="18"/>
              </w:rPr>
              <w:t>Credit lot</w:t>
            </w:r>
          </w:p>
        </w:tc>
        <w:tc>
          <w:tcPr>
            <w:tcW w:type="dxa" w:w="7200"/>
          </w:tcPr>
          <w:p>
            <w:pPr>
              <w:spacing w:before="0" w:after="0" w:line="259" w:lineRule="auto"/>
            </w:pPr>
            <w:r>
              <w:rPr>
                <w:rFonts w:ascii="Calibri" w:hAnsi="Calibri"/>
                <w:color w:val="1F2937"/>
                <w:sz w:val="18"/>
              </w:rPr>
              <w:t>Loaded amount, remaining amount, confirmed loading time, expiry, payment reference</w:t>
            </w:r>
          </w:p>
        </w:tc>
      </w:tr>
      <w:tr>
        <w:trPr>
          <w:cantSplit/>
        </w:trPr>
        <w:tc>
          <w:tcPr>
            <w:tcW w:type="dxa" w:w="2160"/>
          </w:tcPr>
          <w:p>
            <w:pPr>
              <w:spacing w:before="0" w:after="0" w:line="259" w:lineRule="auto"/>
            </w:pPr>
            <w:r>
              <w:rPr>
                <w:rFonts w:ascii="Calibri" w:hAnsi="Calibri"/>
                <w:color w:val="1F2937"/>
                <w:sz w:val="18"/>
              </w:rPr>
              <w:t>Credit ledger entry</w:t>
            </w:r>
          </w:p>
        </w:tc>
        <w:tc>
          <w:tcPr>
            <w:tcW w:type="dxa" w:w="7200"/>
          </w:tcPr>
          <w:p>
            <w:pPr>
              <w:spacing w:before="0" w:after="0" w:line="259" w:lineRule="auto"/>
            </w:pPr>
            <w:r>
              <w:rPr>
                <w:rFonts w:ascii="Calibri" w:hAnsi="Calibri"/>
                <w:color w:val="1F2937"/>
                <w:sz w:val="18"/>
              </w:rPr>
              <w:t>Load, reserve, consume, release, expire, refund, chargeback, manual adjustment</w:t>
            </w:r>
          </w:p>
        </w:tc>
      </w:tr>
      <w:tr>
        <w:trPr>
          <w:cantSplit/>
        </w:trPr>
        <w:tc>
          <w:tcPr>
            <w:tcW w:type="dxa" w:w="2160"/>
          </w:tcPr>
          <w:p>
            <w:pPr>
              <w:spacing w:before="0" w:after="0" w:line="259" w:lineRule="auto"/>
            </w:pPr>
            <w:r>
              <w:rPr>
                <w:rFonts w:ascii="Calibri" w:hAnsi="Calibri"/>
                <w:color w:val="1F2937"/>
                <w:sz w:val="18"/>
              </w:rPr>
              <w:t>Usage meter</w:t>
            </w:r>
          </w:p>
        </w:tc>
        <w:tc>
          <w:tcPr>
            <w:tcW w:type="dxa" w:w="7200"/>
          </w:tcPr>
          <w:p>
            <w:pPr>
              <w:spacing w:before="0" w:after="0" w:line="259" w:lineRule="auto"/>
            </w:pPr>
            <w:r>
              <w:rPr>
                <w:rFonts w:ascii="Calibri" w:hAnsi="Calibri"/>
                <w:color w:val="1F2937"/>
                <w:sz w:val="18"/>
              </w:rPr>
              <w:t>Meter type, quantity, unit rate, provider cost, session, language channel</w:t>
            </w:r>
          </w:p>
        </w:tc>
      </w:tr>
      <w:tr>
        <w:trPr>
          <w:cantSplit/>
        </w:trPr>
        <w:tc>
          <w:tcPr>
            <w:tcW w:type="dxa" w:w="2160"/>
          </w:tcPr>
          <w:p>
            <w:pPr>
              <w:spacing w:before="0" w:after="0" w:line="259" w:lineRule="auto"/>
            </w:pPr>
            <w:r>
              <w:rPr>
                <w:rFonts w:ascii="Calibri" w:hAnsi="Calibri"/>
                <w:color w:val="1F2937"/>
                <w:sz w:val="18"/>
              </w:rPr>
              <w:t>Event</w:t>
            </w:r>
          </w:p>
        </w:tc>
        <w:tc>
          <w:tcPr>
            <w:tcW w:type="dxa" w:w="7200"/>
          </w:tcPr>
          <w:p>
            <w:pPr>
              <w:spacing w:before="0" w:after="0" w:line="259" w:lineRule="auto"/>
            </w:pPr>
            <w:r>
              <w:rPr>
                <w:rFonts w:ascii="Calibri" w:hAnsi="Calibri"/>
                <w:color w:val="1F2937"/>
                <w:sz w:val="18"/>
              </w:rPr>
              <w:t>Owner, schedule, source language, targets, status, credit reservation</w:t>
            </w:r>
          </w:p>
        </w:tc>
      </w:tr>
      <w:tr>
        <w:trPr>
          <w:cantSplit/>
        </w:trPr>
        <w:tc>
          <w:tcPr>
            <w:tcW w:type="dxa" w:w="2160"/>
          </w:tcPr>
          <w:p>
            <w:pPr>
              <w:spacing w:before="0" w:after="0" w:line="259" w:lineRule="auto"/>
            </w:pPr>
            <w:r>
              <w:rPr>
                <w:rFonts w:ascii="Calibri" w:hAnsi="Calibri"/>
                <w:color w:val="1F2937"/>
                <w:sz w:val="18"/>
              </w:rPr>
              <w:t>Asset</w:t>
            </w:r>
          </w:p>
        </w:tc>
        <w:tc>
          <w:tcPr>
            <w:tcW w:type="dxa" w:w="7200"/>
          </w:tcPr>
          <w:p>
            <w:pPr>
              <w:spacing w:before="0" w:after="0" w:line="259" w:lineRule="auto"/>
            </w:pPr>
            <w:r>
              <w:rPr>
                <w:rFonts w:ascii="Calibri" w:hAnsi="Calibri"/>
                <w:color w:val="1F2937"/>
                <w:sz w:val="18"/>
              </w:rPr>
              <w:t>Slides, notes, glossary, extracted terms, processing state</w:t>
            </w:r>
          </w:p>
        </w:tc>
      </w:tr>
      <w:tr>
        <w:trPr>
          <w:cantSplit/>
        </w:trPr>
        <w:tc>
          <w:tcPr>
            <w:tcW w:type="dxa" w:w="2160"/>
          </w:tcPr>
          <w:p>
            <w:pPr>
              <w:spacing w:before="0" w:after="0" w:line="259" w:lineRule="auto"/>
            </w:pPr>
            <w:r>
              <w:rPr>
                <w:rFonts w:ascii="Calibri" w:hAnsi="Calibri"/>
                <w:color w:val="1F2937"/>
                <w:sz w:val="18"/>
              </w:rPr>
              <w:t>Live session</w:t>
            </w:r>
          </w:p>
        </w:tc>
        <w:tc>
          <w:tcPr>
            <w:tcW w:type="dxa" w:w="7200"/>
          </w:tcPr>
          <w:p>
            <w:pPr>
              <w:spacing w:before="0" w:after="0" w:line="259" w:lineRule="auto"/>
            </w:pPr>
            <w:r>
              <w:rPr>
                <w:rFonts w:ascii="Calibri" w:hAnsi="Calibri"/>
                <w:color w:val="1F2937"/>
                <w:sz w:val="18"/>
              </w:rPr>
              <w:t>Audio source, pipeline version, provider routing, timestamps</w:t>
            </w:r>
          </w:p>
        </w:tc>
      </w:tr>
      <w:tr>
        <w:trPr>
          <w:cantSplit/>
        </w:trPr>
        <w:tc>
          <w:tcPr>
            <w:tcW w:type="dxa" w:w="2160"/>
          </w:tcPr>
          <w:p>
            <w:pPr>
              <w:spacing w:before="0" w:after="0" w:line="259" w:lineRule="auto"/>
            </w:pPr>
            <w:r>
              <w:rPr>
                <w:rFonts w:ascii="Calibri" w:hAnsi="Calibri"/>
                <w:color w:val="1F2937"/>
                <w:sz w:val="18"/>
              </w:rPr>
              <w:t>Segment</w:t>
            </w:r>
          </w:p>
        </w:tc>
        <w:tc>
          <w:tcPr>
            <w:tcW w:type="dxa" w:w="7200"/>
          </w:tcPr>
          <w:p>
            <w:pPr>
              <w:spacing w:before="0" w:after="0" w:line="259" w:lineRule="auto"/>
            </w:pPr>
            <w:r>
              <w:rPr>
                <w:rFonts w:ascii="Calibri" w:hAnsi="Calibri"/>
                <w:color w:val="1F2937"/>
                <w:sz w:val="18"/>
              </w:rPr>
              <w:t>Source text, translations, confidence, revisions, timing</w:t>
            </w:r>
          </w:p>
        </w:tc>
      </w:tr>
      <w:tr>
        <w:trPr>
          <w:cantSplit/>
        </w:trPr>
        <w:tc>
          <w:tcPr>
            <w:tcW w:type="dxa" w:w="2160"/>
          </w:tcPr>
          <w:p>
            <w:pPr>
              <w:spacing w:before="0" w:after="0" w:line="259" w:lineRule="auto"/>
            </w:pPr>
            <w:r>
              <w:rPr>
                <w:rFonts w:ascii="Calibri" w:hAnsi="Calibri"/>
                <w:color w:val="1F2937"/>
                <w:sz w:val="18"/>
              </w:rPr>
              <w:t>Language channel</w:t>
            </w:r>
          </w:p>
        </w:tc>
        <w:tc>
          <w:tcPr>
            <w:tcW w:type="dxa" w:w="7200"/>
          </w:tcPr>
          <w:p>
            <w:pPr>
              <w:spacing w:before="0" w:after="0" w:line="259" w:lineRule="auto"/>
            </w:pPr>
            <w:r>
              <w:rPr>
                <w:rFonts w:ascii="Calibri" w:hAnsi="Calibri"/>
                <w:color w:val="1F2937"/>
                <w:sz w:val="18"/>
              </w:rPr>
              <w:t>Target language, captions, audio stream, subscribers, health</w:t>
            </w:r>
          </w:p>
        </w:tc>
      </w:tr>
      <w:tr>
        <w:trPr>
          <w:cantSplit/>
        </w:trPr>
        <w:tc>
          <w:tcPr>
            <w:tcW w:type="dxa" w:w="2160"/>
          </w:tcPr>
          <w:p>
            <w:pPr>
              <w:spacing w:before="0" w:after="0" w:line="259" w:lineRule="auto"/>
            </w:pPr>
            <w:r>
              <w:rPr>
                <w:rFonts w:ascii="Calibri" w:hAnsi="Calibri"/>
                <w:color w:val="1F2937"/>
                <w:sz w:val="18"/>
              </w:rPr>
              <w:t>Attendee session</w:t>
            </w:r>
          </w:p>
        </w:tc>
        <w:tc>
          <w:tcPr>
            <w:tcW w:type="dxa" w:w="7200"/>
          </w:tcPr>
          <w:p>
            <w:pPr>
              <w:spacing w:before="0" w:after="0" w:line="259" w:lineRule="auto"/>
            </w:pPr>
            <w:r>
              <w:rPr>
                <w:rFonts w:ascii="Calibri" w:hAnsi="Calibri"/>
                <w:color w:val="1F2937"/>
                <w:sz w:val="18"/>
              </w:rPr>
              <w:t>Anonymous token, selected language, join/reconnect events</w:t>
            </w:r>
          </w:p>
        </w:tc>
      </w:tr>
      <w:tr>
        <w:trPr>
          <w:cantSplit/>
        </w:trPr>
        <w:tc>
          <w:tcPr>
            <w:tcW w:type="dxa" w:w="2160"/>
          </w:tcPr>
          <w:p>
            <w:pPr>
              <w:spacing w:before="0" w:after="0" w:line="259" w:lineRule="auto"/>
            </w:pPr>
            <w:r>
              <w:rPr>
                <w:rFonts w:ascii="Calibri" w:hAnsi="Calibri"/>
                <w:color w:val="1F2937"/>
                <w:sz w:val="18"/>
              </w:rPr>
              <w:t>Correction</w:t>
            </w:r>
          </w:p>
        </w:tc>
        <w:tc>
          <w:tcPr>
            <w:tcW w:type="dxa" w:w="7200"/>
          </w:tcPr>
          <w:p>
            <w:pPr>
              <w:spacing w:before="0" w:after="0" w:line="259" w:lineRule="auto"/>
            </w:pPr>
            <w:r>
              <w:rPr>
                <w:rFonts w:ascii="Calibri" w:hAnsi="Calibri"/>
                <w:color w:val="1F2937"/>
                <w:sz w:val="18"/>
              </w:rPr>
              <w:t>Original, replacement, scope, author, timestamp</w:t>
            </w:r>
          </w:p>
        </w:tc>
      </w:tr>
      <w:tr>
        <w:trPr>
          <w:cantSplit/>
        </w:trPr>
        <w:tc>
          <w:tcPr>
            <w:tcW w:type="dxa" w:w="2160"/>
          </w:tcPr>
          <w:p>
            <w:pPr>
              <w:spacing w:before="0" w:after="0" w:line="259" w:lineRule="auto"/>
            </w:pPr>
            <w:r>
              <w:rPr>
                <w:rFonts w:ascii="Calibri" w:hAnsi="Calibri"/>
                <w:color w:val="1F2937"/>
                <w:sz w:val="18"/>
              </w:rPr>
              <w:t>Artifact</w:t>
            </w:r>
          </w:p>
        </w:tc>
        <w:tc>
          <w:tcPr>
            <w:tcW w:type="dxa" w:w="7200"/>
          </w:tcPr>
          <w:p>
            <w:pPr>
              <w:spacing w:before="0" w:after="0" w:line="259" w:lineRule="auto"/>
            </w:pPr>
            <w:r>
              <w:rPr>
                <w:rFonts w:ascii="Calibri" w:hAnsi="Calibri"/>
                <w:color w:val="1F2937"/>
                <w:sz w:val="18"/>
              </w:rPr>
              <w:t>Transcript, caption file, summary, notes, recording</w:t>
            </w:r>
          </w:p>
        </w:tc>
      </w:tr>
    </w:tbl>
    <w:p>
      <w:pPr>
        <w:spacing w:before="80" w:after="0"/>
      </w:pPr>
    </w:p>
    <w:p>
      <w:pPr>
        <w:pStyle w:val="Heading1"/>
      </w:pPr>
      <w:r>
        <w:t>11. Data, privacy, security, and consent</w:t>
      </w:r>
    </w:p>
    <w:p>
      <w:pPr>
        <w:spacing w:after="160" w:line="280" w:lineRule="auto"/>
        <w:numPr>
          <w:ilvl w:val="0"/>
          <w:numId w:val="10"/>
        </w:numPr>
      </w:pPr>
      <w:r>
        <w:rPr>
          <w:rFonts w:ascii="Calibri" w:hAnsi="Calibri"/>
        </w:rPr>
        <w:t>Display recording/transcription notice and obtain organizer confirmation before broadcast.</w:t>
      </w:r>
    </w:p>
    <w:p>
      <w:pPr>
        <w:spacing w:after="160" w:line="280" w:lineRule="auto"/>
        <w:numPr>
          <w:ilvl w:val="0"/>
          <w:numId w:val="10"/>
        </w:numPr>
      </w:pPr>
      <w:r>
        <w:rPr>
          <w:rFonts w:ascii="Calibri" w:hAnsi="Calibri"/>
        </w:rPr>
        <w:t>Show attendees a concise privacy notice before joining; distinguish live processing from recording retention.</w:t>
      </w:r>
    </w:p>
    <w:p>
      <w:pPr>
        <w:spacing w:after="160" w:line="280" w:lineRule="auto"/>
        <w:numPr>
          <w:ilvl w:val="0"/>
          <w:numId w:val="10"/>
        </w:numPr>
      </w:pPr>
      <w:r>
        <w:rPr>
          <w:rFonts w:ascii="Calibri" w:hAnsi="Calibri"/>
        </w:rPr>
        <w:t>Use event-scoped, signed, short-lived attendee tokens; do not require attendee PII for the pilot.</w:t>
      </w:r>
    </w:p>
    <w:p>
      <w:pPr>
        <w:spacing w:after="160" w:line="280" w:lineRule="auto"/>
        <w:numPr>
          <w:ilvl w:val="0"/>
          <w:numId w:val="10"/>
        </w:numPr>
      </w:pPr>
      <w:r>
        <w:rPr>
          <w:rFonts w:ascii="Calibri" w:hAnsi="Calibri"/>
        </w:rPr>
        <w:t>Encrypt data in transit and at rest; store provider credentials only in managed secret storage.</w:t>
      </w:r>
    </w:p>
    <w:p>
      <w:pPr>
        <w:spacing w:after="160" w:line="280" w:lineRule="auto"/>
        <w:numPr>
          <w:ilvl w:val="0"/>
          <w:numId w:val="10"/>
        </w:numPr>
      </w:pPr>
      <w:r>
        <w:rPr>
          <w:rFonts w:ascii="Calibri" w:hAnsi="Calibri"/>
        </w:rPr>
        <w:t>Enforce tenant isolation across events, assets, transcripts, corrections, analytics, and recordings.</w:t>
      </w:r>
    </w:p>
    <w:p>
      <w:pPr>
        <w:spacing w:after="160" w:line="280" w:lineRule="auto"/>
        <w:numPr>
          <w:ilvl w:val="0"/>
          <w:numId w:val="10"/>
        </w:numPr>
      </w:pPr>
      <w:r>
        <w:rPr>
          <w:rFonts w:ascii="Calibri" w:hAnsi="Calibri"/>
        </w:rPr>
        <w:t>Provide configurable retention for raw audio, recordings, transcripts, and analytics; default to minimum necessary retention.</w:t>
      </w:r>
    </w:p>
    <w:p>
      <w:pPr>
        <w:spacing w:after="160" w:line="280" w:lineRule="auto"/>
        <w:numPr>
          <w:ilvl w:val="0"/>
          <w:numId w:val="10"/>
        </w:numPr>
      </w:pPr>
      <w:r>
        <w:rPr>
          <w:rFonts w:ascii="Calibri" w:hAnsi="Calibri"/>
        </w:rPr>
        <w:t>Record administrative, correction, export, sharing, and deletion actions in an audit log.</w:t>
      </w:r>
    </w:p>
    <w:p>
      <w:pPr>
        <w:spacing w:after="160" w:line="280" w:lineRule="auto"/>
        <w:numPr>
          <w:ilvl w:val="0"/>
          <w:numId w:val="10"/>
        </w:numPr>
      </w:pPr>
      <w:r>
        <w:rPr>
          <w:rFonts w:ascii="Calibri" w:hAnsi="Calibri"/>
        </w:rPr>
        <w:t>Prevent uploads from executing active content; scan files, constrain size/type, and isolate extraction workers.</w:t>
      </w:r>
    </w:p>
    <w:p>
      <w:pPr>
        <w:spacing w:after="160" w:line="280" w:lineRule="auto"/>
        <w:numPr>
          <w:ilvl w:val="0"/>
          <w:numId w:val="10"/>
        </w:numPr>
      </w:pPr>
      <w:r>
        <w:rPr>
          <w:rFonts w:ascii="Calibri" w:hAnsi="Calibri"/>
        </w:rPr>
        <w:t>Document subprocessors, data regions, model-training policies, and deletion behavior before commercial launch.</w:t>
      </w:r>
    </w:p>
    <w:p>
      <w:pPr>
        <w:spacing w:after="160" w:line="280" w:lineRule="auto"/>
        <w:numPr>
          <w:ilvl w:val="0"/>
          <w:numId w:val="10"/>
        </w:numPr>
      </w:pPr>
      <w:r>
        <w:rPr>
          <w:rFonts w:ascii="Calibri" w:hAnsi="Calibri"/>
        </w:rPr>
        <w:t>Support organizer review and approval before post-event AI notes are shared with attendees.</w:t>
      </w:r>
    </w:p>
    <w:p>
      <w:pPr>
        <w:pStyle w:val="Heading1"/>
      </w:pPr>
      <w:r>
        <w:t>12. Analytics and success metrics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4320"/>
        <w:gridCol w:w="3240"/>
      </w:tblGrid>
      <w:tr>
        <w:trPr>
          <w:tblHeader w:val="true"/>
          <w:cantSplit/>
        </w:trPr>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Outcome</w:t>
            </w:r>
          </w:p>
        </w:tc>
        <w:tc>
          <w:tcPr>
            <w:tcW w:type="dxa" w:w="43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Initial target</w:t>
            </w:r>
          </w:p>
        </w:tc>
        <w:tc>
          <w:tcPr>
            <w:tcW w:type="dxa" w:w="32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Measurement</w:t>
            </w:r>
          </w:p>
        </w:tc>
      </w:tr>
      <w:tr>
        <w:trPr>
          <w:cantSplit/>
        </w:trPr>
        <w:tc>
          <w:tcPr>
            <w:tcW w:type="dxa" w:w="1800"/>
          </w:tcPr>
          <w:p>
            <w:pPr>
              <w:spacing w:before="0" w:after="0" w:line="259" w:lineRule="auto"/>
            </w:pPr>
            <w:r>
              <w:rPr>
                <w:rFonts w:ascii="Calibri" w:hAnsi="Calibri"/>
                <w:b/>
                <w:color w:val="1F2937"/>
                <w:sz w:val="18"/>
              </w:rPr>
              <w:t>Activation</w:t>
            </w:r>
          </w:p>
        </w:tc>
        <w:tc>
          <w:tcPr>
            <w:tcW w:type="dxa" w:w="4320"/>
          </w:tcPr>
          <w:p>
            <w:pPr>
              <w:spacing w:before="0" w:after="0" w:line="259" w:lineRule="auto"/>
            </w:pPr>
            <w:r>
              <w:rPr>
                <w:rFonts w:ascii="Calibri" w:hAnsi="Calibri"/>
                <w:color w:val="1F2937"/>
                <w:sz w:val="18"/>
              </w:rPr>
              <w:t>≥80% of invited attendees successfully start captions or audio</w:t>
            </w:r>
          </w:p>
        </w:tc>
        <w:tc>
          <w:tcPr>
            <w:tcW w:type="dxa" w:w="3240"/>
          </w:tcPr>
          <w:p>
            <w:pPr>
              <w:spacing w:before="0" w:after="0" w:line="259" w:lineRule="auto"/>
            </w:pPr>
            <w:r>
              <w:rPr>
                <w:rFonts w:ascii="Calibri" w:hAnsi="Calibri"/>
                <w:color w:val="1F2937"/>
                <w:sz w:val="18"/>
              </w:rPr>
              <w:t>Join funnel</w:t>
            </w:r>
          </w:p>
        </w:tc>
      </w:tr>
      <w:tr>
        <w:trPr>
          <w:cantSplit/>
        </w:trPr>
        <w:tc>
          <w:tcPr>
            <w:tcW w:type="dxa" w:w="1800"/>
          </w:tcPr>
          <w:p>
            <w:pPr>
              <w:spacing w:before="0" w:after="0" w:line="259" w:lineRule="auto"/>
            </w:pPr>
            <w:r>
              <w:rPr>
                <w:rFonts w:ascii="Calibri" w:hAnsi="Calibri"/>
                <w:b/>
                <w:color w:val="1F2937"/>
                <w:sz w:val="18"/>
              </w:rPr>
              <w:t>Time to value</w:t>
            </w:r>
          </w:p>
        </w:tc>
        <w:tc>
          <w:tcPr>
            <w:tcW w:type="dxa" w:w="4320"/>
          </w:tcPr>
          <w:p>
            <w:pPr>
              <w:spacing w:before="0" w:after="0" w:line="259" w:lineRule="auto"/>
            </w:pPr>
            <w:r>
              <w:rPr>
                <w:rFonts w:ascii="Calibri" w:hAnsi="Calibri"/>
                <w:color w:val="1F2937"/>
                <w:sz w:val="18"/>
              </w:rPr>
              <w:t>Median scan-to-listening ≤30 seconds</w:t>
            </w:r>
          </w:p>
        </w:tc>
        <w:tc>
          <w:tcPr>
            <w:tcW w:type="dxa" w:w="3240"/>
          </w:tcPr>
          <w:p>
            <w:pPr>
              <w:spacing w:before="0" w:after="0" w:line="259" w:lineRule="auto"/>
            </w:pPr>
            <w:r>
              <w:rPr>
                <w:rFonts w:ascii="Calibri" w:hAnsi="Calibri"/>
                <w:color w:val="1F2937"/>
                <w:sz w:val="18"/>
              </w:rPr>
              <w:t>Client telemetry</w:t>
            </w:r>
          </w:p>
        </w:tc>
      </w:tr>
      <w:tr>
        <w:trPr>
          <w:cantSplit/>
        </w:trPr>
        <w:tc>
          <w:tcPr>
            <w:tcW w:type="dxa" w:w="1800"/>
          </w:tcPr>
          <w:p>
            <w:pPr>
              <w:spacing w:before="0" w:after="0" w:line="259" w:lineRule="auto"/>
            </w:pPr>
            <w:r>
              <w:rPr>
                <w:rFonts w:ascii="Calibri" w:hAnsi="Calibri"/>
                <w:b/>
                <w:color w:val="1F2937"/>
                <w:sz w:val="18"/>
              </w:rPr>
              <w:t>Engagement</w:t>
            </w:r>
          </w:p>
        </w:tc>
        <w:tc>
          <w:tcPr>
            <w:tcW w:type="dxa" w:w="4320"/>
          </w:tcPr>
          <w:p>
            <w:pPr>
              <w:spacing w:before="0" w:after="0" w:line="259" w:lineRule="auto"/>
            </w:pPr>
            <w:r>
              <w:rPr>
                <w:rFonts w:ascii="Calibri" w:hAnsi="Calibri"/>
                <w:color w:val="1F2937"/>
                <w:sz w:val="18"/>
              </w:rPr>
              <w:t>≥70% of joined attendees remain connected for ≥75% of session</w:t>
            </w:r>
          </w:p>
        </w:tc>
        <w:tc>
          <w:tcPr>
            <w:tcW w:type="dxa" w:w="3240"/>
          </w:tcPr>
          <w:p>
            <w:pPr>
              <w:spacing w:before="0" w:after="0" w:line="259" w:lineRule="auto"/>
            </w:pPr>
            <w:r>
              <w:rPr>
                <w:rFonts w:ascii="Calibri" w:hAnsi="Calibri"/>
                <w:color w:val="1F2937"/>
                <w:sz w:val="18"/>
              </w:rPr>
              <w:t>Attendee sessions</w:t>
            </w:r>
          </w:p>
        </w:tc>
      </w:tr>
      <w:tr>
        <w:trPr>
          <w:cantSplit/>
        </w:trPr>
        <w:tc>
          <w:tcPr>
            <w:tcW w:type="dxa" w:w="1800"/>
          </w:tcPr>
          <w:p>
            <w:pPr>
              <w:spacing w:before="0" w:after="0" w:line="259" w:lineRule="auto"/>
            </w:pPr>
            <w:r>
              <w:rPr>
                <w:rFonts w:ascii="Calibri" w:hAnsi="Calibri"/>
                <w:b/>
                <w:color w:val="1F2937"/>
                <w:sz w:val="18"/>
              </w:rPr>
              <w:t>Reliability</w:t>
            </w:r>
          </w:p>
        </w:tc>
        <w:tc>
          <w:tcPr>
            <w:tcW w:type="dxa" w:w="4320"/>
          </w:tcPr>
          <w:p>
            <w:pPr>
              <w:spacing w:before="0" w:after="0" w:line="259" w:lineRule="auto"/>
            </w:pPr>
            <w:r>
              <w:rPr>
                <w:rFonts w:ascii="Calibri" w:hAnsi="Calibri"/>
                <w:color w:val="1F2937"/>
                <w:sz w:val="18"/>
              </w:rPr>
              <w:t>≥99% of language-channel minutes delivered without fatal interruption</w:t>
            </w:r>
          </w:p>
        </w:tc>
        <w:tc>
          <w:tcPr>
            <w:tcW w:type="dxa" w:w="3240"/>
          </w:tcPr>
          <w:p>
            <w:pPr>
              <w:spacing w:before="0" w:after="0" w:line="259" w:lineRule="auto"/>
            </w:pPr>
            <w:r>
              <w:rPr>
                <w:rFonts w:ascii="Calibri" w:hAnsi="Calibri"/>
                <w:color w:val="1F2937"/>
                <w:sz w:val="18"/>
              </w:rPr>
              <w:t>Channel health</w:t>
            </w:r>
          </w:p>
        </w:tc>
      </w:tr>
      <w:tr>
        <w:trPr>
          <w:cantSplit/>
        </w:trPr>
        <w:tc>
          <w:tcPr>
            <w:tcW w:type="dxa" w:w="1800"/>
          </w:tcPr>
          <w:p>
            <w:pPr>
              <w:spacing w:before="0" w:after="0" w:line="259" w:lineRule="auto"/>
            </w:pPr>
            <w:r>
              <w:rPr>
                <w:rFonts w:ascii="Calibri" w:hAnsi="Calibri"/>
                <w:b/>
                <w:color w:val="1F2937"/>
                <w:sz w:val="18"/>
              </w:rPr>
              <w:t>Latency</w:t>
            </w:r>
          </w:p>
        </w:tc>
        <w:tc>
          <w:tcPr>
            <w:tcW w:type="dxa" w:w="4320"/>
          </w:tcPr>
          <w:p>
            <w:pPr>
              <w:spacing w:before="0" w:after="0" w:line="259" w:lineRule="auto"/>
            </w:pPr>
            <w:r>
              <w:rPr>
                <w:rFonts w:ascii="Calibri" w:hAnsi="Calibri"/>
                <w:color w:val="1F2937"/>
                <w:sz w:val="18"/>
              </w:rPr>
              <w:t>Translated audio median ≤3 seconds under pilot conditions</w:t>
            </w:r>
          </w:p>
        </w:tc>
        <w:tc>
          <w:tcPr>
            <w:tcW w:type="dxa" w:w="3240"/>
          </w:tcPr>
          <w:p>
            <w:pPr>
              <w:spacing w:before="0" w:after="0" w:line="259" w:lineRule="auto"/>
            </w:pPr>
            <w:r>
              <w:rPr>
                <w:rFonts w:ascii="Calibri" w:hAnsi="Calibri"/>
                <w:color w:val="1F2937"/>
                <w:sz w:val="18"/>
              </w:rPr>
              <w:t>Distributed tracing</w:t>
            </w:r>
          </w:p>
        </w:tc>
      </w:tr>
      <w:tr>
        <w:trPr>
          <w:cantSplit/>
        </w:trPr>
        <w:tc>
          <w:tcPr>
            <w:tcW w:type="dxa" w:w="1800"/>
          </w:tcPr>
          <w:p>
            <w:pPr>
              <w:spacing w:before="0" w:after="0" w:line="259" w:lineRule="auto"/>
            </w:pPr>
            <w:r>
              <w:rPr>
                <w:rFonts w:ascii="Calibri" w:hAnsi="Calibri"/>
                <w:b/>
                <w:color w:val="1F2937"/>
                <w:sz w:val="18"/>
              </w:rPr>
              <w:t>Quality</w:t>
            </w:r>
          </w:p>
        </w:tc>
        <w:tc>
          <w:tcPr>
            <w:tcW w:type="dxa" w:w="4320"/>
          </w:tcPr>
          <w:p>
            <w:pPr>
              <w:spacing w:before="0" w:after="0" w:line="259" w:lineRule="auto"/>
            </w:pPr>
            <w:r>
              <w:rPr>
                <w:rFonts w:ascii="Calibri" w:hAnsi="Calibri"/>
                <w:color w:val="1F2937"/>
                <w:sz w:val="18"/>
              </w:rPr>
              <w:t>Average attendee translation usefulness ≥4.0/5</w:t>
            </w:r>
          </w:p>
        </w:tc>
        <w:tc>
          <w:tcPr>
            <w:tcW w:type="dxa" w:w="3240"/>
          </w:tcPr>
          <w:p>
            <w:pPr>
              <w:spacing w:before="0" w:after="0" w:line="259" w:lineRule="auto"/>
            </w:pPr>
            <w:r>
              <w:rPr>
                <w:rFonts w:ascii="Calibri" w:hAnsi="Calibri"/>
                <w:color w:val="1F2937"/>
                <w:sz w:val="18"/>
              </w:rPr>
              <w:t>Post-session survey</w:t>
            </w:r>
          </w:p>
        </w:tc>
      </w:tr>
      <w:tr>
        <w:trPr>
          <w:cantSplit/>
        </w:trPr>
        <w:tc>
          <w:tcPr>
            <w:tcW w:type="dxa" w:w="1800"/>
          </w:tcPr>
          <w:p>
            <w:pPr>
              <w:spacing w:before="0" w:after="0" w:line="259" w:lineRule="auto"/>
            </w:pPr>
            <w:r>
              <w:rPr>
                <w:rFonts w:ascii="Calibri" w:hAnsi="Calibri"/>
                <w:b/>
                <w:color w:val="1F2937"/>
                <w:sz w:val="18"/>
              </w:rPr>
              <w:t>Terminology</w:t>
            </w:r>
          </w:p>
        </w:tc>
        <w:tc>
          <w:tcPr>
            <w:tcW w:type="dxa" w:w="4320"/>
          </w:tcPr>
          <w:p>
            <w:pPr>
              <w:spacing w:before="0" w:after="0" w:line="259" w:lineRule="auto"/>
            </w:pPr>
            <w:r>
              <w:rPr>
                <w:rFonts w:ascii="Calibri" w:hAnsi="Calibri"/>
                <w:color w:val="1F2937"/>
                <w:sz w:val="18"/>
              </w:rPr>
              <w:t>≥95% protected-term retention on pilot evaluation set</w:t>
            </w:r>
          </w:p>
        </w:tc>
        <w:tc>
          <w:tcPr>
            <w:tcW w:type="dxa" w:w="3240"/>
          </w:tcPr>
          <w:p>
            <w:pPr>
              <w:spacing w:before="0" w:after="0" w:line="259" w:lineRule="auto"/>
            </w:pPr>
            <w:r>
              <w:rPr>
                <w:rFonts w:ascii="Calibri" w:hAnsi="Calibri"/>
                <w:color w:val="1F2937"/>
                <w:sz w:val="18"/>
              </w:rPr>
              <w:t>Offline evaluation</w:t>
            </w:r>
          </w:p>
        </w:tc>
      </w:tr>
      <w:tr>
        <w:trPr>
          <w:cantSplit/>
        </w:trPr>
        <w:tc>
          <w:tcPr>
            <w:tcW w:type="dxa" w:w="1800"/>
          </w:tcPr>
          <w:p>
            <w:pPr>
              <w:spacing w:before="0" w:after="0" w:line="259" w:lineRule="auto"/>
            </w:pPr>
            <w:r>
              <w:rPr>
                <w:rFonts w:ascii="Calibri" w:hAnsi="Calibri"/>
                <w:b/>
                <w:color w:val="1F2937"/>
                <w:sz w:val="18"/>
              </w:rPr>
              <w:t>Reconnection</w:t>
            </w:r>
          </w:p>
        </w:tc>
        <w:tc>
          <w:tcPr>
            <w:tcW w:type="dxa" w:w="4320"/>
          </w:tcPr>
          <w:p>
            <w:pPr>
              <w:spacing w:before="0" w:after="0" w:line="259" w:lineRule="auto"/>
            </w:pPr>
            <w:r>
              <w:rPr>
                <w:rFonts w:ascii="Calibri" w:hAnsi="Calibri"/>
                <w:color w:val="1F2937"/>
                <w:sz w:val="18"/>
              </w:rPr>
              <w:t>≥95% recovery within 10 seconds in test conditions</w:t>
            </w:r>
          </w:p>
        </w:tc>
        <w:tc>
          <w:tcPr>
            <w:tcW w:type="dxa" w:w="3240"/>
          </w:tcPr>
          <w:p>
            <w:pPr>
              <w:spacing w:before="0" w:after="0" w:line="259" w:lineRule="auto"/>
            </w:pPr>
            <w:r>
              <w:rPr>
                <w:rFonts w:ascii="Calibri" w:hAnsi="Calibri"/>
                <w:color w:val="1F2937"/>
                <w:sz w:val="18"/>
              </w:rPr>
              <w:t>Client events</w:t>
            </w:r>
          </w:p>
        </w:tc>
      </w:tr>
      <w:tr>
        <w:trPr>
          <w:cantSplit/>
        </w:trPr>
        <w:tc>
          <w:tcPr>
            <w:tcW w:type="dxa" w:w="1800"/>
          </w:tcPr>
          <w:p>
            <w:pPr>
              <w:spacing w:before="0" w:after="0" w:line="259" w:lineRule="auto"/>
            </w:pPr>
            <w:r>
              <w:rPr>
                <w:rFonts w:ascii="Calibri" w:hAnsi="Calibri"/>
                <w:b/>
                <w:color w:val="1F2937"/>
                <w:sz w:val="18"/>
              </w:rPr>
              <w:t>Presenter effort</w:t>
            </w:r>
          </w:p>
        </w:tc>
        <w:tc>
          <w:tcPr>
            <w:tcW w:type="dxa" w:w="4320"/>
          </w:tcPr>
          <w:p>
            <w:pPr>
              <w:spacing w:before="0" w:after="0" w:line="259" w:lineRule="auto"/>
            </w:pPr>
            <w:r>
              <w:rPr>
                <w:rFonts w:ascii="Calibri" w:hAnsi="Calibri"/>
                <w:color w:val="1F2937"/>
                <w:sz w:val="18"/>
              </w:rPr>
              <w:t>Median setup time ≤10 minutes after assets are ready</w:t>
            </w:r>
          </w:p>
        </w:tc>
        <w:tc>
          <w:tcPr>
            <w:tcW w:type="dxa" w:w="3240"/>
          </w:tcPr>
          <w:p>
            <w:pPr>
              <w:spacing w:before="0" w:after="0" w:line="259" w:lineRule="auto"/>
            </w:pPr>
            <w:r>
              <w:rPr>
                <w:rFonts w:ascii="Calibri" w:hAnsi="Calibri"/>
                <w:color w:val="1F2937"/>
                <w:sz w:val="18"/>
              </w:rPr>
              <w:t>Dashboard telemetry</w:t>
            </w:r>
          </w:p>
        </w:tc>
      </w:tr>
      <w:tr>
        <w:trPr>
          <w:cantSplit/>
        </w:trPr>
        <w:tc>
          <w:tcPr>
            <w:tcW w:type="dxa" w:w="1800"/>
          </w:tcPr>
          <w:p>
            <w:pPr>
              <w:spacing w:before="0" w:after="0" w:line="259" w:lineRule="auto"/>
            </w:pPr>
            <w:r>
              <w:rPr>
                <w:rFonts w:ascii="Calibri" w:hAnsi="Calibri"/>
                <w:b/>
                <w:color w:val="1F2937"/>
                <w:sz w:val="18"/>
              </w:rPr>
              <w:t>Commercial signal</w:t>
            </w:r>
          </w:p>
        </w:tc>
        <w:tc>
          <w:tcPr>
            <w:tcW w:type="dxa" w:w="4320"/>
          </w:tcPr>
          <w:p>
            <w:pPr>
              <w:spacing w:before="0" w:after="0" w:line="259" w:lineRule="auto"/>
            </w:pPr>
            <w:r>
              <w:rPr>
                <w:rFonts w:ascii="Calibri" w:hAnsi="Calibri"/>
                <w:color w:val="1F2937"/>
                <w:sz w:val="18"/>
              </w:rPr>
              <w:t>At least 3 of first 5 pilot organizers request a paid follow-up</w:t>
            </w:r>
          </w:p>
        </w:tc>
        <w:tc>
          <w:tcPr>
            <w:tcW w:type="dxa" w:w="3240"/>
          </w:tcPr>
          <w:p>
            <w:pPr>
              <w:spacing w:before="0" w:after="0" w:line="259" w:lineRule="auto"/>
            </w:pPr>
            <w:r>
              <w:rPr>
                <w:rFonts w:ascii="Calibri" w:hAnsi="Calibri"/>
                <w:color w:val="1F2937"/>
                <w:sz w:val="18"/>
              </w:rPr>
              <w:t>Customer discovery</w:t>
            </w:r>
          </w:p>
        </w:tc>
      </w:tr>
    </w:tbl>
    <w:p>
      <w:pPr>
        <w:spacing w:before="80" w:after="0"/>
      </w:pPr>
    </w:p>
    <w:p>
      <w:pPr>
        <w:pStyle w:val="Heading1"/>
      </w:pPr>
      <w:r>
        <w:t>13. Pilot and rollout plan</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1500"/>
        <w:gridCol w:w="4440"/>
        <w:gridCol w:w="1920"/>
      </w:tblGrid>
      <w:tr>
        <w:trPr>
          <w:tblHeader w:val="true"/>
          <w:cantSplit/>
        </w:trPr>
        <w:tc>
          <w:tcPr>
            <w:tcW w:type="dxa" w:w="15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Phase</w:t>
            </w:r>
          </w:p>
        </w:tc>
        <w:tc>
          <w:tcPr>
            <w:tcW w:type="dxa" w:w="15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Indicative duration</w:t>
            </w:r>
          </w:p>
        </w:tc>
        <w:tc>
          <w:tcPr>
            <w:tcW w:type="dxa" w:w="44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Scope</w:t>
            </w:r>
          </w:p>
        </w:tc>
        <w:tc>
          <w:tcPr>
            <w:tcW w:type="dxa" w:w="19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Exit</w:t>
            </w:r>
          </w:p>
        </w:tc>
      </w:tr>
      <w:tr>
        <w:trPr>
          <w:cantSplit/>
        </w:trPr>
        <w:tc>
          <w:tcPr>
            <w:tcW w:type="dxa" w:w="1500"/>
          </w:tcPr>
          <w:p>
            <w:pPr>
              <w:spacing w:before="0" w:after="0" w:line="259" w:lineRule="auto"/>
            </w:pPr>
            <w:r>
              <w:rPr>
                <w:rFonts w:ascii="Calibri" w:hAnsi="Calibri"/>
                <w:b/>
                <w:color w:val="1F2937"/>
                <w:sz w:val="18"/>
              </w:rPr>
              <w:t>0. Discovery &amp; spike</w:t>
            </w:r>
          </w:p>
        </w:tc>
        <w:tc>
          <w:tcPr>
            <w:tcW w:type="dxa" w:w="1500"/>
          </w:tcPr>
          <w:p>
            <w:pPr>
              <w:spacing w:before="0" w:after="0" w:line="259" w:lineRule="auto"/>
            </w:pPr>
            <w:r>
              <w:rPr>
                <w:rFonts w:ascii="Calibri" w:hAnsi="Calibri"/>
                <w:color w:val="1F2937"/>
                <w:sz w:val="18"/>
              </w:rPr>
              <w:t>2 weeks</w:t>
            </w:r>
          </w:p>
        </w:tc>
        <w:tc>
          <w:tcPr>
            <w:tcW w:type="dxa" w:w="4440"/>
          </w:tcPr>
          <w:p>
            <w:pPr>
              <w:spacing w:before="0" w:after="0" w:line="259" w:lineRule="auto"/>
            </w:pPr>
            <w:r>
              <w:rPr>
                <w:rFonts w:ascii="Calibri" w:hAnsi="Calibri"/>
                <w:color w:val="1F2937"/>
                <w:sz w:val="18"/>
              </w:rPr>
              <w:t>Provider bake-off; code-switching corpus; transport prototype; latency/cost model; privacy review.</w:t>
            </w:r>
          </w:p>
        </w:tc>
        <w:tc>
          <w:tcPr>
            <w:tcW w:type="dxa" w:w="1920"/>
          </w:tcPr>
          <w:p>
            <w:pPr>
              <w:spacing w:before="0" w:after="0" w:line="259" w:lineRule="auto"/>
            </w:pPr>
            <w:r>
              <w:rPr>
                <w:rFonts w:ascii="Calibri" w:hAnsi="Calibri"/>
                <w:color w:val="1F2937"/>
                <w:sz w:val="18"/>
              </w:rPr>
              <w:t>Technical feasibility report</w:t>
            </w:r>
          </w:p>
        </w:tc>
      </w:tr>
      <w:tr>
        <w:trPr>
          <w:cantSplit/>
        </w:trPr>
        <w:tc>
          <w:tcPr>
            <w:tcW w:type="dxa" w:w="1500"/>
          </w:tcPr>
          <w:p>
            <w:pPr>
              <w:spacing w:before="0" w:after="0" w:line="259" w:lineRule="auto"/>
            </w:pPr>
            <w:r>
              <w:rPr>
                <w:rFonts w:ascii="Calibri" w:hAnsi="Calibri"/>
                <w:b/>
                <w:color w:val="1F2937"/>
                <w:sz w:val="18"/>
              </w:rPr>
              <w:t>1. Caption pilot</w:t>
            </w:r>
          </w:p>
        </w:tc>
        <w:tc>
          <w:tcPr>
            <w:tcW w:type="dxa" w:w="1500"/>
          </w:tcPr>
          <w:p>
            <w:pPr>
              <w:spacing w:before="0" w:after="0" w:line="259" w:lineRule="auto"/>
            </w:pPr>
            <w:r>
              <w:rPr>
                <w:rFonts w:ascii="Calibri" w:hAnsi="Calibri"/>
                <w:color w:val="1F2937"/>
                <w:sz w:val="18"/>
              </w:rPr>
              <w:t>2–3 weeks</w:t>
            </w:r>
          </w:p>
        </w:tc>
        <w:tc>
          <w:tcPr>
            <w:tcW w:type="dxa" w:w="4440"/>
          </w:tcPr>
          <w:p>
            <w:pPr>
              <w:spacing w:before="0" w:after="0" w:line="259" w:lineRule="auto"/>
            </w:pPr>
            <w:r>
              <w:rPr>
                <w:rFonts w:ascii="Calibri" w:hAnsi="Calibri"/>
                <w:color w:val="1F2937"/>
                <w:sz w:val="18"/>
              </w:rPr>
              <w:t>Kannada source → English captions; host controls; QR join; live metrics.</w:t>
            </w:r>
          </w:p>
        </w:tc>
        <w:tc>
          <w:tcPr>
            <w:tcW w:type="dxa" w:w="1920"/>
          </w:tcPr>
          <w:p>
            <w:pPr>
              <w:spacing w:before="0" w:after="0" w:line="259" w:lineRule="auto"/>
            </w:pPr>
            <w:r>
              <w:rPr>
                <w:rFonts w:ascii="Calibri" w:hAnsi="Calibri"/>
                <w:color w:val="1F2937"/>
                <w:sz w:val="18"/>
              </w:rPr>
              <w:t>Internal rehearsal</w:t>
            </w:r>
          </w:p>
        </w:tc>
      </w:tr>
      <w:tr>
        <w:trPr>
          <w:cantSplit/>
        </w:trPr>
        <w:tc>
          <w:tcPr>
            <w:tcW w:type="dxa" w:w="1500"/>
          </w:tcPr>
          <w:p>
            <w:pPr>
              <w:spacing w:before="0" w:after="0" w:line="259" w:lineRule="auto"/>
            </w:pPr>
            <w:r>
              <w:rPr>
                <w:rFonts w:ascii="Calibri" w:hAnsi="Calibri"/>
                <w:b/>
                <w:color w:val="1F2937"/>
                <w:sz w:val="18"/>
              </w:rPr>
              <w:t>2. Audio pilot</w:t>
            </w:r>
          </w:p>
        </w:tc>
        <w:tc>
          <w:tcPr>
            <w:tcW w:type="dxa" w:w="1500"/>
          </w:tcPr>
          <w:p>
            <w:pPr>
              <w:spacing w:before="0" w:after="0" w:line="259" w:lineRule="auto"/>
            </w:pPr>
            <w:r>
              <w:rPr>
                <w:rFonts w:ascii="Calibri" w:hAnsi="Calibri"/>
                <w:color w:val="1F2937"/>
                <w:sz w:val="18"/>
              </w:rPr>
              <w:t>2–3 weeks</w:t>
            </w:r>
          </w:p>
        </w:tc>
        <w:tc>
          <w:tcPr>
            <w:tcW w:type="dxa" w:w="4440"/>
          </w:tcPr>
          <w:p>
            <w:pPr>
              <w:spacing w:before="0" w:after="0" w:line="259" w:lineRule="auto"/>
            </w:pPr>
            <w:r>
              <w:rPr>
                <w:rFonts w:ascii="Calibri" w:hAnsi="Calibri"/>
                <w:color w:val="1F2937"/>
                <w:sz w:val="18"/>
              </w:rPr>
              <w:t>Add English audio channel; mobile playback and reconnection; network preflight.</w:t>
            </w:r>
          </w:p>
        </w:tc>
        <w:tc>
          <w:tcPr>
            <w:tcW w:type="dxa" w:w="1920"/>
          </w:tcPr>
          <w:p>
            <w:pPr>
              <w:spacing w:before="0" w:after="0" w:line="259" w:lineRule="auto"/>
            </w:pPr>
            <w:r>
              <w:rPr>
                <w:rFonts w:ascii="Calibri" w:hAnsi="Calibri"/>
                <w:color w:val="1F2937"/>
                <w:sz w:val="18"/>
              </w:rPr>
              <w:t>10–15 user test</w:t>
            </w:r>
          </w:p>
        </w:tc>
      </w:tr>
      <w:tr>
        <w:trPr>
          <w:cantSplit/>
        </w:trPr>
        <w:tc>
          <w:tcPr>
            <w:tcW w:type="dxa" w:w="1500"/>
          </w:tcPr>
          <w:p>
            <w:pPr>
              <w:spacing w:before="0" w:after="0" w:line="259" w:lineRule="auto"/>
            </w:pPr>
            <w:r>
              <w:rPr>
                <w:rFonts w:ascii="Calibri" w:hAnsi="Calibri"/>
                <w:b/>
                <w:color w:val="1F2937"/>
                <w:sz w:val="18"/>
              </w:rPr>
              <w:t>3. Multilingual pilot</w:t>
            </w:r>
          </w:p>
        </w:tc>
        <w:tc>
          <w:tcPr>
            <w:tcW w:type="dxa" w:w="1500"/>
          </w:tcPr>
          <w:p>
            <w:pPr>
              <w:spacing w:before="0" w:after="0" w:line="259" w:lineRule="auto"/>
            </w:pPr>
            <w:r>
              <w:rPr>
                <w:rFonts w:ascii="Calibri" w:hAnsi="Calibri"/>
                <w:color w:val="1F2937"/>
                <w:sz w:val="18"/>
              </w:rPr>
              <w:t>3 weeks</w:t>
            </w:r>
          </w:p>
        </w:tc>
        <w:tc>
          <w:tcPr>
            <w:tcW w:type="dxa" w:w="4440"/>
          </w:tcPr>
          <w:p>
            <w:pPr>
              <w:spacing w:before="0" w:after="0" w:line="259" w:lineRule="auto"/>
            </w:pPr>
            <w:r>
              <w:rPr>
                <w:rFonts w:ascii="Calibri" w:hAnsi="Calibri"/>
                <w:color w:val="1F2937"/>
                <w:sz w:val="18"/>
              </w:rPr>
              <w:t>Add Hindi and Telugu; shared fan-out; glossary upload; post-event artifacts.</w:t>
            </w:r>
          </w:p>
        </w:tc>
        <w:tc>
          <w:tcPr>
            <w:tcW w:type="dxa" w:w="1920"/>
          </w:tcPr>
          <w:p>
            <w:pPr>
              <w:spacing w:before="0" w:after="0" w:line="259" w:lineRule="auto"/>
            </w:pPr>
            <w:r>
              <w:rPr>
                <w:rFonts w:ascii="Calibri" w:hAnsi="Calibri"/>
                <w:color w:val="1F2937"/>
                <w:sz w:val="18"/>
              </w:rPr>
              <w:t>25-person MicroDegree session</w:t>
            </w:r>
          </w:p>
        </w:tc>
      </w:tr>
      <w:tr>
        <w:trPr>
          <w:cantSplit/>
        </w:trPr>
        <w:tc>
          <w:tcPr>
            <w:tcW w:type="dxa" w:w="1500"/>
          </w:tcPr>
          <w:p>
            <w:pPr>
              <w:spacing w:before="0" w:after="0" w:line="259" w:lineRule="auto"/>
            </w:pPr>
            <w:r>
              <w:rPr>
                <w:rFonts w:ascii="Calibri" w:hAnsi="Calibri"/>
                <w:b/>
                <w:color w:val="1F2937"/>
                <w:sz w:val="18"/>
              </w:rPr>
              <w:t>4. Hardening</w:t>
            </w:r>
          </w:p>
        </w:tc>
        <w:tc>
          <w:tcPr>
            <w:tcW w:type="dxa" w:w="1500"/>
          </w:tcPr>
          <w:p>
            <w:pPr>
              <w:spacing w:before="0" w:after="0" w:line="259" w:lineRule="auto"/>
            </w:pPr>
            <w:r>
              <w:rPr>
                <w:rFonts w:ascii="Calibri" w:hAnsi="Calibri"/>
                <w:color w:val="1F2937"/>
                <w:sz w:val="18"/>
              </w:rPr>
              <w:t>2–4 weeks</w:t>
            </w:r>
          </w:p>
        </w:tc>
        <w:tc>
          <w:tcPr>
            <w:tcW w:type="dxa" w:w="4440"/>
          </w:tcPr>
          <w:p>
            <w:pPr>
              <w:spacing w:before="0" w:after="0" w:line="259" w:lineRule="auto"/>
            </w:pPr>
            <w:r>
              <w:rPr>
                <w:rFonts w:ascii="Calibri" w:hAnsi="Calibri"/>
                <w:color w:val="1F2937"/>
                <w:sz w:val="18"/>
              </w:rPr>
              <w:t>Load, browser, accessibility, resilience, security, cost, and operations.</w:t>
            </w:r>
          </w:p>
        </w:tc>
        <w:tc>
          <w:tcPr>
            <w:tcW w:type="dxa" w:w="1920"/>
          </w:tcPr>
          <w:p>
            <w:pPr>
              <w:spacing w:before="0" w:after="0" w:line="259" w:lineRule="auto"/>
            </w:pPr>
            <w:r>
              <w:rPr>
                <w:rFonts w:ascii="Calibri" w:hAnsi="Calibri"/>
                <w:color w:val="1F2937"/>
                <w:sz w:val="18"/>
              </w:rPr>
              <w:t>Go/no-go review</w:t>
            </w:r>
          </w:p>
        </w:tc>
      </w:tr>
      <w:tr>
        <w:trPr>
          <w:cantSplit/>
        </w:trPr>
        <w:tc>
          <w:tcPr>
            <w:tcW w:type="dxa" w:w="1500"/>
          </w:tcPr>
          <w:p>
            <w:pPr>
              <w:spacing w:before="0" w:after="0" w:line="259" w:lineRule="auto"/>
            </w:pPr>
            <w:r>
              <w:rPr>
                <w:rFonts w:ascii="Calibri" w:hAnsi="Calibri"/>
                <w:b/>
                <w:color w:val="1F2937"/>
                <w:sz w:val="18"/>
              </w:rPr>
              <w:t>5. Design partners</w:t>
            </w:r>
          </w:p>
        </w:tc>
        <w:tc>
          <w:tcPr>
            <w:tcW w:type="dxa" w:w="1500"/>
          </w:tcPr>
          <w:p>
            <w:pPr>
              <w:spacing w:before="0" w:after="0" w:line="259" w:lineRule="auto"/>
            </w:pPr>
            <w:r>
              <w:rPr>
                <w:rFonts w:ascii="Calibri" w:hAnsi="Calibri"/>
                <w:color w:val="1F2937"/>
                <w:sz w:val="18"/>
              </w:rPr>
              <w:t>4–8 weeks</w:t>
            </w:r>
          </w:p>
        </w:tc>
        <w:tc>
          <w:tcPr>
            <w:tcW w:type="dxa" w:w="4440"/>
          </w:tcPr>
          <w:p>
            <w:pPr>
              <w:spacing w:before="0" w:after="0" w:line="259" w:lineRule="auto"/>
            </w:pPr>
            <w:r>
              <w:rPr>
                <w:rFonts w:ascii="Calibri" w:hAnsi="Calibri"/>
                <w:color w:val="1F2937"/>
                <w:sz w:val="18"/>
              </w:rPr>
              <w:t>Run 3–5 controlled training pilots; validate pricing and support model.</w:t>
            </w:r>
          </w:p>
        </w:tc>
        <w:tc>
          <w:tcPr>
            <w:tcW w:type="dxa" w:w="1920"/>
          </w:tcPr>
          <w:p>
            <w:pPr>
              <w:spacing w:before="0" w:after="0" w:line="259" w:lineRule="auto"/>
            </w:pPr>
            <w:r>
              <w:rPr>
                <w:rFonts w:ascii="Calibri" w:hAnsi="Calibri"/>
                <w:color w:val="1F2937"/>
                <w:sz w:val="18"/>
              </w:rPr>
              <w:t>Paid MVP decision</w:t>
            </w:r>
          </w:p>
        </w:tc>
      </w:tr>
    </w:tbl>
    <w:p>
      <w:pPr>
        <w:spacing w:before="80" w:after="0"/>
      </w:pPr>
    </w:p>
    <w:p>
      <w:pPr>
        <w:pStyle w:val="Heading2"/>
      </w:pPr>
      <w:r>
        <w:t>13.1 Pilot operating checklist</w:t>
      </w:r>
    </w:p>
    <w:p>
      <w:pPr>
        <w:spacing w:after="160" w:line="280" w:lineRule="auto"/>
        <w:numPr>
          <w:ilvl w:val="0"/>
          <w:numId w:val="10"/>
        </w:numPr>
      </w:pPr>
      <w:r>
        <w:rPr>
          <w:rFonts w:ascii="Calibri" w:hAnsi="Calibri"/>
        </w:rPr>
        <w:t>Obtain presenter consent and test with representative content at least one day before the event.</w:t>
      </w:r>
    </w:p>
    <w:p>
      <w:pPr>
        <w:spacing w:after="160" w:line="280" w:lineRule="auto"/>
        <w:numPr>
          <w:ilvl w:val="0"/>
          <w:numId w:val="10"/>
        </w:numPr>
      </w:pPr>
      <w:r>
        <w:rPr>
          <w:rFonts w:ascii="Calibri" w:hAnsi="Calibri"/>
        </w:rPr>
        <w:t>Upload final slides and approve the extracted glossary.</w:t>
      </w:r>
    </w:p>
    <w:p>
      <w:pPr>
        <w:spacing w:after="160" w:line="280" w:lineRule="auto"/>
        <w:numPr>
          <w:ilvl w:val="0"/>
          <w:numId w:val="10"/>
        </w:numPr>
      </w:pPr>
      <w:r>
        <w:rPr>
          <w:rFonts w:ascii="Calibri" w:hAnsi="Calibri"/>
        </w:rPr>
        <w:t>Connect venue mixer output when available; otherwise position the laptop microphone appropriately.</w:t>
      </w:r>
    </w:p>
    <w:p>
      <w:pPr>
        <w:spacing w:after="160" w:line="280" w:lineRule="auto"/>
        <w:numPr>
          <w:ilvl w:val="0"/>
          <w:numId w:val="10"/>
        </w:numPr>
      </w:pPr>
      <w:r>
        <w:rPr>
          <w:rFonts w:ascii="Calibri" w:hAnsi="Calibri"/>
        </w:rPr>
        <w:t>Run network capacity and cellular fallback tests at expected attendance.</w:t>
      </w:r>
    </w:p>
    <w:p>
      <w:pPr>
        <w:spacing w:after="160" w:line="280" w:lineRule="auto"/>
        <w:numPr>
          <w:ilvl w:val="0"/>
          <w:numId w:val="10"/>
        </w:numPr>
      </w:pPr>
      <w:r>
        <w:rPr>
          <w:rFonts w:ascii="Calibri" w:hAnsi="Calibri"/>
        </w:rPr>
        <w:t>Print/display a tested QR code and prepare a captions-only fallback message.</w:t>
      </w:r>
    </w:p>
    <w:p>
      <w:pPr>
        <w:spacing w:after="160" w:line="280" w:lineRule="auto"/>
        <w:numPr>
          <w:ilvl w:val="0"/>
          <w:numId w:val="10"/>
        </w:numPr>
      </w:pPr>
      <w:r>
        <w:rPr>
          <w:rFonts w:ascii="Calibri" w:hAnsi="Calibri"/>
        </w:rPr>
        <w:t>Assign a moderator to monitor confidence, terminology, channel health, and attendee help.</w:t>
      </w:r>
    </w:p>
    <w:p>
      <w:pPr>
        <w:spacing w:after="160" w:line="280" w:lineRule="auto"/>
        <w:numPr>
          <w:ilvl w:val="0"/>
          <w:numId w:val="10"/>
        </w:numPr>
      </w:pPr>
      <w:r>
        <w:rPr>
          <w:rFonts w:ascii="Calibri" w:hAnsi="Calibri"/>
        </w:rPr>
        <w:t>Collect structured comprehension, latency, audio quality, and usability feedback by language.</w:t>
      </w:r>
    </w:p>
    <w:p>
      <w:pPr>
        <w:spacing w:after="160" w:line="280" w:lineRule="auto"/>
        <w:numPr>
          <w:ilvl w:val="0"/>
          <w:numId w:val="10"/>
        </w:numPr>
      </w:pPr>
      <w:r>
        <w:rPr>
          <w:rFonts w:ascii="Calibri" w:hAnsi="Calibri"/>
        </w:rPr>
        <w:t>Review critical translation errors and update the evaluation corpus after every pilot.</w:t>
      </w:r>
    </w:p>
    <w:p>
      <w:pPr>
        <w:pStyle w:val="Heading1"/>
      </w:pPr>
      <w:r>
        <w:t>14. Usage-based credit model</w:t>
      </w:r>
    </w:p>
    <w:p>
      <w:pPr/>
      <w:r>
        <w:rPr>
          <w:rFonts w:ascii="Calibri" w:hAnsi="Calibri"/>
        </w:rPr>
        <w:t>Prastuti has no subscriptions, editions, or capacity plans. Organizers prepay into a credit wallet and pay for actual metered product usage. A credit is a transparent internal usage unit; its currency value, taxes, promotional treatment, and rate-card revision policy must be displayed before purchase and validated with finance and legal counsel.</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0"/>
        <w:gridCol w:w="2160"/>
        <w:gridCol w:w="1620"/>
        <w:gridCol w:w="3600"/>
      </w:tblGrid>
      <w:tr>
        <w:trPr>
          <w:tblHeader w:val="true"/>
          <w:cantSplit/>
        </w:trPr>
        <w:tc>
          <w:tcPr>
            <w:tcW w:type="dxa" w:w="198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Meter</w:t>
            </w:r>
          </w:p>
        </w:tc>
        <w:tc>
          <w:tcPr>
            <w:tcW w:type="dxa" w:w="21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Billing unit</w:t>
            </w:r>
          </w:p>
        </w:tc>
        <w:tc>
          <w:tcPr>
            <w:tcW w:type="dxa" w:w="16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Illustrative rate</w:t>
            </w:r>
          </w:p>
        </w:tc>
        <w:tc>
          <w:tcPr>
            <w:tcW w:type="dxa" w:w="36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Included work</w:t>
            </w:r>
          </w:p>
        </w:tc>
      </w:tr>
      <w:tr>
        <w:trPr>
          <w:cantSplit/>
        </w:trPr>
        <w:tc>
          <w:tcPr>
            <w:tcW w:type="dxa" w:w="1980"/>
          </w:tcPr>
          <w:p>
            <w:pPr>
              <w:spacing w:before="0" w:after="0" w:line="259" w:lineRule="auto"/>
            </w:pPr>
            <w:r>
              <w:rPr>
                <w:rFonts w:ascii="Calibri" w:hAnsi="Calibri"/>
                <w:b/>
                <w:color w:val="1F2937"/>
                <w:sz w:val="18"/>
              </w:rPr>
              <w:t>Source captions</w:t>
            </w:r>
          </w:p>
        </w:tc>
        <w:tc>
          <w:tcPr>
            <w:tcW w:type="dxa" w:w="2160"/>
          </w:tcPr>
          <w:p>
            <w:pPr>
              <w:spacing w:before="0" w:after="0" w:line="259" w:lineRule="auto"/>
            </w:pPr>
            <w:r>
              <w:rPr>
                <w:rFonts w:ascii="Calibri" w:hAnsi="Calibri"/>
                <w:color w:val="1F2937"/>
                <w:sz w:val="18"/>
              </w:rPr>
              <w:t>Source audio minute</w:t>
            </w:r>
          </w:p>
        </w:tc>
        <w:tc>
          <w:tcPr>
            <w:tcW w:type="dxa" w:w="1620"/>
          </w:tcPr>
          <w:p>
            <w:pPr>
              <w:spacing w:before="0" w:after="0" w:line="259" w:lineRule="auto"/>
            </w:pPr>
            <w:r>
              <w:rPr>
                <w:rFonts w:ascii="Calibri" w:hAnsi="Calibri"/>
                <w:color w:val="1F2937"/>
                <w:sz w:val="18"/>
              </w:rPr>
              <w:t>2 credits</w:t>
            </w:r>
          </w:p>
        </w:tc>
        <w:tc>
          <w:tcPr>
            <w:tcW w:type="dxa" w:w="3600"/>
          </w:tcPr>
          <w:p>
            <w:pPr>
              <w:spacing w:before="0" w:after="0" w:line="259" w:lineRule="auto"/>
            </w:pPr>
            <w:r>
              <w:rPr>
                <w:rFonts w:ascii="Calibri" w:hAnsi="Calibri"/>
                <w:color w:val="1F2937"/>
                <w:sz w:val="18"/>
              </w:rPr>
              <w:t>Streaming STT and source captions</w:t>
            </w:r>
          </w:p>
        </w:tc>
      </w:tr>
      <w:tr>
        <w:trPr>
          <w:cantSplit/>
        </w:trPr>
        <w:tc>
          <w:tcPr>
            <w:tcW w:type="dxa" w:w="1980"/>
          </w:tcPr>
          <w:p>
            <w:pPr>
              <w:spacing w:before="0" w:after="0" w:line="259" w:lineRule="auto"/>
            </w:pPr>
            <w:r>
              <w:rPr>
                <w:rFonts w:ascii="Calibri" w:hAnsi="Calibri"/>
                <w:b/>
                <w:color w:val="1F2937"/>
                <w:sz w:val="18"/>
              </w:rPr>
              <w:t>Live translation</w:t>
            </w:r>
          </w:p>
        </w:tc>
        <w:tc>
          <w:tcPr>
            <w:tcW w:type="dxa" w:w="2160"/>
          </w:tcPr>
          <w:p>
            <w:pPr>
              <w:spacing w:before="0" w:after="0" w:line="259" w:lineRule="auto"/>
            </w:pPr>
            <w:r>
              <w:rPr>
                <w:rFonts w:ascii="Calibri" w:hAnsi="Calibri"/>
                <w:color w:val="1F2937"/>
                <w:sz w:val="18"/>
              </w:rPr>
              <w:t>Target language-minute</w:t>
            </w:r>
          </w:p>
        </w:tc>
        <w:tc>
          <w:tcPr>
            <w:tcW w:type="dxa" w:w="1620"/>
          </w:tcPr>
          <w:p>
            <w:pPr>
              <w:spacing w:before="0" w:after="0" w:line="259" w:lineRule="auto"/>
            </w:pPr>
            <w:r>
              <w:rPr>
                <w:rFonts w:ascii="Calibri" w:hAnsi="Calibri"/>
                <w:color w:val="1F2937"/>
                <w:sz w:val="18"/>
              </w:rPr>
              <w:t>1.5 credits</w:t>
            </w:r>
          </w:p>
        </w:tc>
        <w:tc>
          <w:tcPr>
            <w:tcW w:type="dxa" w:w="3600"/>
          </w:tcPr>
          <w:p>
            <w:pPr>
              <w:spacing w:before="0" w:after="0" w:line="259" w:lineRule="auto"/>
            </w:pPr>
            <w:r>
              <w:rPr>
                <w:rFonts w:ascii="Calibri" w:hAnsi="Calibri"/>
                <w:color w:val="1F2937"/>
                <w:sz w:val="18"/>
              </w:rPr>
              <w:t>One shared translated caption channel</w:t>
            </w:r>
          </w:p>
        </w:tc>
      </w:tr>
      <w:tr>
        <w:trPr>
          <w:cantSplit/>
        </w:trPr>
        <w:tc>
          <w:tcPr>
            <w:tcW w:type="dxa" w:w="1980"/>
          </w:tcPr>
          <w:p>
            <w:pPr>
              <w:spacing w:before="0" w:after="0" w:line="259" w:lineRule="auto"/>
            </w:pPr>
            <w:r>
              <w:rPr>
                <w:rFonts w:ascii="Calibri" w:hAnsi="Calibri"/>
                <w:b/>
                <w:color w:val="1F2937"/>
                <w:sz w:val="18"/>
              </w:rPr>
              <w:t>Translated audio</w:t>
            </w:r>
          </w:p>
        </w:tc>
        <w:tc>
          <w:tcPr>
            <w:tcW w:type="dxa" w:w="2160"/>
          </w:tcPr>
          <w:p>
            <w:pPr>
              <w:spacing w:before="0" w:after="0" w:line="259" w:lineRule="auto"/>
            </w:pPr>
            <w:r>
              <w:rPr>
                <w:rFonts w:ascii="Calibri" w:hAnsi="Calibri"/>
                <w:color w:val="1F2937"/>
                <w:sz w:val="18"/>
              </w:rPr>
              <w:t>Target language-minute</w:t>
            </w:r>
          </w:p>
        </w:tc>
        <w:tc>
          <w:tcPr>
            <w:tcW w:type="dxa" w:w="1620"/>
          </w:tcPr>
          <w:p>
            <w:pPr>
              <w:spacing w:before="0" w:after="0" w:line="259" w:lineRule="auto"/>
            </w:pPr>
            <w:r>
              <w:rPr>
                <w:rFonts w:ascii="Calibri" w:hAnsi="Calibri"/>
                <w:color w:val="1F2937"/>
                <w:sz w:val="18"/>
              </w:rPr>
              <w:t>4 credits</w:t>
            </w:r>
          </w:p>
        </w:tc>
        <w:tc>
          <w:tcPr>
            <w:tcW w:type="dxa" w:w="3600"/>
          </w:tcPr>
          <w:p>
            <w:pPr>
              <w:spacing w:before="0" w:after="0" w:line="259" w:lineRule="auto"/>
            </w:pPr>
            <w:r>
              <w:rPr>
                <w:rFonts w:ascii="Calibri" w:hAnsi="Calibri"/>
                <w:color w:val="1F2937"/>
                <w:sz w:val="18"/>
              </w:rPr>
              <w:t>One shared synthesized audio channel</w:t>
            </w:r>
          </w:p>
        </w:tc>
      </w:tr>
      <w:tr>
        <w:trPr>
          <w:cantSplit/>
        </w:trPr>
        <w:tc>
          <w:tcPr>
            <w:tcW w:type="dxa" w:w="1980"/>
          </w:tcPr>
          <w:p>
            <w:pPr>
              <w:spacing w:before="0" w:after="0" w:line="259" w:lineRule="auto"/>
            </w:pPr>
            <w:r>
              <w:rPr>
                <w:rFonts w:ascii="Calibri" w:hAnsi="Calibri"/>
                <w:b/>
                <w:color w:val="1F2937"/>
                <w:sz w:val="18"/>
              </w:rPr>
              <w:t>Presentation context</w:t>
            </w:r>
          </w:p>
        </w:tc>
        <w:tc>
          <w:tcPr>
            <w:tcW w:type="dxa" w:w="2160"/>
          </w:tcPr>
          <w:p>
            <w:pPr>
              <w:spacing w:before="0" w:after="0" w:line="259" w:lineRule="auto"/>
            </w:pPr>
            <w:r>
              <w:rPr>
                <w:rFonts w:ascii="Calibri" w:hAnsi="Calibri"/>
                <w:color w:val="1F2937"/>
                <w:sz w:val="18"/>
              </w:rPr>
              <w:t>Session</w:t>
            </w:r>
          </w:p>
        </w:tc>
        <w:tc>
          <w:tcPr>
            <w:tcW w:type="dxa" w:w="1620"/>
          </w:tcPr>
          <w:p>
            <w:pPr>
              <w:spacing w:before="0" w:after="0" w:line="259" w:lineRule="auto"/>
            </w:pPr>
            <w:r>
              <w:rPr>
                <w:rFonts w:ascii="Calibri" w:hAnsi="Calibri"/>
                <w:color w:val="1F2937"/>
                <w:sz w:val="18"/>
              </w:rPr>
              <w:t>20 credits</w:t>
            </w:r>
          </w:p>
        </w:tc>
        <w:tc>
          <w:tcPr>
            <w:tcW w:type="dxa" w:w="3600"/>
          </w:tcPr>
          <w:p>
            <w:pPr>
              <w:spacing w:before="0" w:after="0" w:line="259" w:lineRule="auto"/>
            </w:pPr>
            <w:r>
              <w:rPr>
                <w:rFonts w:ascii="Calibri" w:hAnsi="Calibri"/>
                <w:color w:val="1F2937"/>
                <w:sz w:val="18"/>
              </w:rPr>
              <w:t>Slide and glossary extraction</w:t>
            </w:r>
          </w:p>
        </w:tc>
      </w:tr>
      <w:tr>
        <w:trPr>
          <w:cantSplit/>
        </w:trPr>
        <w:tc>
          <w:tcPr>
            <w:tcW w:type="dxa" w:w="1980"/>
          </w:tcPr>
          <w:p>
            <w:pPr>
              <w:spacing w:before="0" w:after="0" w:line="259" w:lineRule="auto"/>
            </w:pPr>
            <w:r>
              <w:rPr>
                <w:rFonts w:ascii="Calibri" w:hAnsi="Calibri"/>
                <w:b/>
                <w:color w:val="1F2937"/>
                <w:sz w:val="18"/>
              </w:rPr>
              <w:t>Post-session summary</w:t>
            </w:r>
          </w:p>
        </w:tc>
        <w:tc>
          <w:tcPr>
            <w:tcW w:type="dxa" w:w="2160"/>
          </w:tcPr>
          <w:p>
            <w:pPr>
              <w:spacing w:before="0" w:after="0" w:line="259" w:lineRule="auto"/>
            </w:pPr>
            <w:r>
              <w:rPr>
                <w:rFonts w:ascii="Calibri" w:hAnsi="Calibri"/>
                <w:color w:val="1F2937"/>
                <w:sz w:val="18"/>
              </w:rPr>
              <w:t>Session</w:t>
            </w:r>
          </w:p>
        </w:tc>
        <w:tc>
          <w:tcPr>
            <w:tcW w:type="dxa" w:w="1620"/>
          </w:tcPr>
          <w:p>
            <w:pPr>
              <w:spacing w:before="0" w:after="0" w:line="259" w:lineRule="auto"/>
            </w:pPr>
            <w:r>
              <w:rPr>
                <w:rFonts w:ascii="Calibri" w:hAnsi="Calibri"/>
                <w:color w:val="1F2937"/>
                <w:sz w:val="18"/>
              </w:rPr>
              <w:t>25 credits</w:t>
            </w:r>
          </w:p>
        </w:tc>
        <w:tc>
          <w:tcPr>
            <w:tcW w:type="dxa" w:w="3600"/>
          </w:tcPr>
          <w:p>
            <w:pPr>
              <w:spacing w:before="0" w:after="0" w:line="259" w:lineRule="auto"/>
            </w:pPr>
            <w:r>
              <w:rPr>
                <w:rFonts w:ascii="Calibri" w:hAnsi="Calibri"/>
                <w:color w:val="1F2937"/>
                <w:sz w:val="18"/>
              </w:rPr>
              <w:t>Organizer-reviewable summary and notes</w:t>
            </w:r>
          </w:p>
        </w:tc>
      </w:tr>
    </w:tbl>
    <w:p>
      <w:pPr>
        <w:spacing w:before="80" w:after="0"/>
      </w:pPr>
    </w:p>
    <w:p>
      <w:pPr>
        <w:pStyle w:val="Heading2"/>
      </w:pPr>
      <w:r>
        <w:t>14.1 Credit lifecycle rules</w:t>
      </w:r>
    </w:p>
    <w:p>
      <w:pPr>
        <w:spacing w:after="160" w:line="280" w:lineRule="auto"/>
        <w:numPr>
          <w:ilvl w:val="0"/>
          <w:numId w:val="10"/>
        </w:numPr>
      </w:pPr>
      <w:r>
        <w:rPr>
          <w:rFonts w:ascii="Calibri" w:hAnsi="Calibri"/>
        </w:rPr>
        <w:t>A confirmed payment creates one immutable credit lot. Each lot expires 365 days after its own loading timestamp.</w:t>
      </w:r>
    </w:p>
    <w:p>
      <w:pPr>
        <w:spacing w:after="160" w:line="280" w:lineRule="auto"/>
        <w:numPr>
          <w:ilvl w:val="0"/>
          <w:numId w:val="10"/>
        </w:numPr>
      </w:pPr>
      <w:r>
        <w:rPr>
          <w:rFonts w:ascii="Calibri" w:hAnsi="Calibri"/>
        </w:rPr>
        <w:t>Reservations and consumption use the earliest-expiring eligible lot first. Expired lots are never allocated.</w:t>
      </w:r>
    </w:p>
    <w:p>
      <w:pPr>
        <w:spacing w:after="160" w:line="280" w:lineRule="auto"/>
        <w:numPr>
          <w:ilvl w:val="0"/>
          <w:numId w:val="10"/>
        </w:numPr>
      </w:pPr>
      <w:r>
        <w:rPr>
          <w:rFonts w:ascii="Calibri" w:hAnsi="Calibri"/>
        </w:rPr>
        <w:t>At session start, Prastuti reserves a configurable estimate. At completion, actual metered usage is settled and any unused amount returns to its original lots without changing expiry.</w:t>
      </w:r>
    </w:p>
    <w:p>
      <w:pPr>
        <w:spacing w:after="160" w:line="280" w:lineRule="auto"/>
        <w:numPr>
          <w:ilvl w:val="0"/>
          <w:numId w:val="10"/>
        </w:numPr>
      </w:pPr>
      <w:r>
        <w:rPr>
          <w:rFonts w:ascii="Calibri" w:hAnsi="Calibri"/>
        </w:rPr>
        <w:t>Credit balance cannot become negative. The host receives low-balance warnings and cannot start when the required reservation is unavailable.</w:t>
      </w:r>
    </w:p>
    <w:p>
      <w:pPr>
        <w:spacing w:after="160" w:line="280" w:lineRule="auto"/>
        <w:numPr>
          <w:ilvl w:val="0"/>
          <w:numId w:val="10"/>
        </w:numPr>
      </w:pPr>
      <w:r>
        <w:rPr>
          <w:rFonts w:ascii="Calibri" w:hAnsi="Calibri"/>
        </w:rPr>
        <w:t>Refunds and chargebacks reverse the original lot where possible. Manual adjustments require a reason, actor, and immutable audit event.</w:t>
      </w:r>
    </w:p>
    <w:p>
      <w:pPr>
        <w:spacing w:after="160" w:line="280" w:lineRule="auto"/>
        <w:numPr>
          <w:ilvl w:val="0"/>
          <w:numId w:val="10"/>
        </w:numPr>
      </w:pPr>
      <w:r>
        <w:rPr>
          <w:rFonts w:ascii="Calibri" w:hAnsi="Calibri"/>
        </w:rPr>
        <w:t>Automatic top-up, shared multi-organization wallets, transfers, and promotional credits are P1 decisions, not P0 assumptions.</w:t>
      </w:r>
    </w:p>
    <w:p>
      <w:pPr>
        <w:spacing w:before="100" w:after="200" w:line="269" w:lineRule="auto"/>
        <w:ind w:left="160" w:right="160"/>
        <w:shd w:fill="FFF8E8"/>
        <w:pBdr>
          <w:left w:val="single" w:sz="18" w:space="8" w:color="7A5A00"/>
        </w:pBdr>
      </w:pPr>
      <w:r>
        <w:rPr>
          <w:rFonts w:ascii="Calibri" w:hAnsi="Calibri"/>
          <w:b/>
          <w:color w:val="7A5A00"/>
          <w:sz w:val="21"/>
        </w:rPr>
        <w:t xml:space="preserve">Validation needed: </w:t>
      </w:r>
      <w:r>
        <w:rPr>
          <w:rFonts w:ascii="Calibri" w:hAnsi="Calibri"/>
          <w:color w:val="1F2937"/>
          <w:sz w:val="21"/>
        </w:rPr>
        <w:t>The sample rates define product behavior, not approved public pricing. Validate provider cost, gross margin, GST invoicing, expiry disclosure, refunds, chargebacks, and applicable consumer or stored-value requirements before accepting real payments.</w:t>
      </w:r>
    </w:p>
    <w:p>
      <w:pPr>
        <w:pStyle w:val="Heading1"/>
      </w:pPr>
      <w:r>
        <w:t>15. Risks and mitigations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20"/>
        <w:gridCol w:w="3420"/>
        <w:gridCol w:w="900"/>
        <w:gridCol w:w="4320"/>
      </w:tblGrid>
      <w:tr>
        <w:trPr>
          <w:tblHeader w:val="true"/>
          <w:cantSplit/>
        </w:trPr>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34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Risk</w:t>
            </w:r>
          </w:p>
        </w:tc>
        <w:tc>
          <w:tcPr>
            <w:tcW w:type="dxa" w:w="9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Impact</w:t>
            </w:r>
          </w:p>
        </w:tc>
        <w:tc>
          <w:tcPr>
            <w:tcW w:type="dxa" w:w="43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Mitigation</w:t>
            </w:r>
          </w:p>
        </w:tc>
      </w:tr>
      <w:tr>
        <w:trPr>
          <w:cantSplit/>
        </w:trPr>
        <w:tc>
          <w:tcPr>
            <w:tcW w:type="dxa" w:w="720"/>
          </w:tcPr>
          <w:p>
            <w:pPr>
              <w:spacing w:before="0" w:after="0" w:line="259" w:lineRule="auto"/>
            </w:pPr>
            <w:r>
              <w:rPr>
                <w:rFonts w:ascii="Calibri" w:hAnsi="Calibri"/>
                <w:b/>
                <w:color w:val="1F2937"/>
                <w:sz w:val="18"/>
              </w:rPr>
              <w:t>R1</w:t>
            </w:r>
          </w:p>
        </w:tc>
        <w:tc>
          <w:tcPr>
            <w:tcW w:type="dxa" w:w="3420"/>
          </w:tcPr>
          <w:p>
            <w:pPr>
              <w:spacing w:before="0" w:after="0" w:line="259" w:lineRule="auto"/>
            </w:pPr>
            <w:r>
              <w:rPr>
                <w:rFonts w:ascii="Calibri" w:hAnsi="Calibri"/>
                <w:color w:val="1F2937"/>
                <w:sz w:val="18"/>
              </w:rPr>
              <w:t>Translation/audio delay breaks presenter-listener synchronization.</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Caption first; incremental commit policy; stage budgets; monitor p50/p95.</w:t>
            </w:r>
          </w:p>
        </w:tc>
      </w:tr>
      <w:tr>
        <w:trPr>
          <w:cantSplit/>
        </w:trPr>
        <w:tc>
          <w:tcPr>
            <w:tcW w:type="dxa" w:w="720"/>
          </w:tcPr>
          <w:p>
            <w:pPr>
              <w:spacing w:before="0" w:after="0" w:line="259" w:lineRule="auto"/>
            </w:pPr>
            <w:r>
              <w:rPr>
                <w:rFonts w:ascii="Calibri" w:hAnsi="Calibri"/>
                <w:b/>
                <w:color w:val="1F2937"/>
                <w:sz w:val="18"/>
              </w:rPr>
              <w:t>R2</w:t>
            </w:r>
          </w:p>
        </w:tc>
        <w:tc>
          <w:tcPr>
            <w:tcW w:type="dxa" w:w="3420"/>
          </w:tcPr>
          <w:p>
            <w:pPr>
              <w:spacing w:before="0" w:after="0" w:line="259" w:lineRule="auto"/>
            </w:pPr>
            <w:r>
              <w:rPr>
                <w:rFonts w:ascii="Calibri" w:hAnsi="Calibri"/>
                <w:color w:val="1F2937"/>
                <w:sz w:val="18"/>
              </w:rPr>
              <w:t>Venue Wi-Fi cannot support concurrent audio fan-out.</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Preflight; adaptive bitrate; captions-only mode; cellular guidance; edge/media capacity plan.</w:t>
            </w:r>
          </w:p>
        </w:tc>
      </w:tr>
      <w:tr>
        <w:trPr>
          <w:cantSplit/>
        </w:trPr>
        <w:tc>
          <w:tcPr>
            <w:tcW w:type="dxa" w:w="720"/>
          </w:tcPr>
          <w:p>
            <w:pPr>
              <w:spacing w:before="0" w:after="0" w:line="259" w:lineRule="auto"/>
            </w:pPr>
            <w:r>
              <w:rPr>
                <w:rFonts w:ascii="Calibri" w:hAnsi="Calibri"/>
                <w:b/>
                <w:color w:val="1F2937"/>
                <w:sz w:val="18"/>
              </w:rPr>
              <w:t>R3</w:t>
            </w:r>
          </w:p>
        </w:tc>
        <w:tc>
          <w:tcPr>
            <w:tcW w:type="dxa" w:w="3420"/>
          </w:tcPr>
          <w:p>
            <w:pPr>
              <w:spacing w:before="0" w:after="0" w:line="259" w:lineRule="auto"/>
            </w:pPr>
            <w:r>
              <w:rPr>
                <w:rFonts w:ascii="Calibri" w:hAnsi="Calibri"/>
                <w:color w:val="1F2937"/>
                <w:sz w:val="18"/>
              </w:rPr>
              <w:t>Laptop microphone produces poor audio in large rooms.</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Input meter; noise warnings; venue mixer recommendation; rehearsal.</w:t>
            </w:r>
          </w:p>
        </w:tc>
      </w:tr>
      <w:tr>
        <w:trPr>
          <w:cantSplit/>
        </w:trPr>
        <w:tc>
          <w:tcPr>
            <w:tcW w:type="dxa" w:w="720"/>
          </w:tcPr>
          <w:p>
            <w:pPr>
              <w:spacing w:before="0" w:after="0" w:line="259" w:lineRule="auto"/>
            </w:pPr>
            <w:r>
              <w:rPr>
                <w:rFonts w:ascii="Calibri" w:hAnsi="Calibri"/>
                <w:b/>
                <w:color w:val="1F2937"/>
                <w:sz w:val="18"/>
              </w:rPr>
              <w:t>R4</w:t>
            </w:r>
          </w:p>
        </w:tc>
        <w:tc>
          <w:tcPr>
            <w:tcW w:type="dxa" w:w="3420"/>
          </w:tcPr>
          <w:p>
            <w:pPr>
              <w:spacing w:before="0" w:after="0" w:line="259" w:lineRule="auto"/>
            </w:pPr>
            <w:r>
              <w:rPr>
                <w:rFonts w:ascii="Calibri" w:hAnsi="Calibri"/>
                <w:color w:val="1F2937"/>
                <w:sz w:val="18"/>
              </w:rPr>
              <w:t>Names, numbers, or technical terms are mistranslated.</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Protected terms; source retention; confidence flags; moderator corrections; evaluation corpus.</w:t>
            </w:r>
          </w:p>
        </w:tc>
      </w:tr>
      <w:tr>
        <w:trPr>
          <w:cantSplit/>
        </w:trPr>
        <w:tc>
          <w:tcPr>
            <w:tcW w:type="dxa" w:w="720"/>
          </w:tcPr>
          <w:p>
            <w:pPr>
              <w:spacing w:before="0" w:after="0" w:line="259" w:lineRule="auto"/>
            </w:pPr>
            <w:r>
              <w:rPr>
                <w:rFonts w:ascii="Calibri" w:hAnsi="Calibri"/>
                <w:b/>
                <w:color w:val="1F2937"/>
                <w:sz w:val="18"/>
              </w:rPr>
              <w:t>R5</w:t>
            </w:r>
          </w:p>
        </w:tc>
        <w:tc>
          <w:tcPr>
            <w:tcW w:type="dxa" w:w="3420"/>
          </w:tcPr>
          <w:p>
            <w:pPr>
              <w:spacing w:before="0" w:after="0" w:line="259" w:lineRule="auto"/>
            </w:pPr>
            <w:r>
              <w:rPr>
                <w:rFonts w:ascii="Calibri" w:hAnsi="Calibri"/>
                <w:color w:val="1F2937"/>
                <w:sz w:val="18"/>
              </w:rPr>
              <w:t>Mobile browsers block autoplay or suspend background audio.</w:t>
            </w:r>
          </w:p>
        </w:tc>
        <w:tc>
          <w:tcPr>
            <w:tcW w:type="dxa" w:w="900"/>
          </w:tcPr>
          <w:p>
            <w:pPr>
              <w:spacing w:before="0" w:after="0" w:line="259" w:lineRule="auto"/>
            </w:pPr>
            <w:r>
              <w:rPr>
                <w:rFonts w:ascii="Calibri" w:hAnsi="Calibri"/>
                <w:color w:val="1F2937"/>
                <w:sz w:val="18"/>
              </w:rPr>
              <w:t>Medium</w:t>
            </w:r>
          </w:p>
        </w:tc>
        <w:tc>
          <w:tcPr>
            <w:tcW w:type="dxa" w:w="4320"/>
          </w:tcPr>
          <w:p>
            <w:pPr>
              <w:spacing w:before="0" w:after="0" w:line="259" w:lineRule="auto"/>
            </w:pPr>
            <w:r>
              <w:rPr>
                <w:rFonts w:ascii="Calibri" w:hAnsi="Calibri"/>
                <w:color w:val="1F2937"/>
                <w:sz w:val="18"/>
              </w:rPr>
              <w:t>Explicit start gesture; compatibility matrix; clear recovery UI; PWA testing.</w:t>
            </w:r>
          </w:p>
        </w:tc>
      </w:tr>
      <w:tr>
        <w:trPr>
          <w:cantSplit/>
        </w:trPr>
        <w:tc>
          <w:tcPr>
            <w:tcW w:type="dxa" w:w="720"/>
          </w:tcPr>
          <w:p>
            <w:pPr>
              <w:spacing w:before="0" w:after="0" w:line="259" w:lineRule="auto"/>
            </w:pPr>
            <w:r>
              <w:rPr>
                <w:rFonts w:ascii="Calibri" w:hAnsi="Calibri"/>
                <w:b/>
                <w:color w:val="1F2937"/>
                <w:sz w:val="18"/>
              </w:rPr>
              <w:t>R6</w:t>
            </w:r>
          </w:p>
        </w:tc>
        <w:tc>
          <w:tcPr>
            <w:tcW w:type="dxa" w:w="3420"/>
          </w:tcPr>
          <w:p>
            <w:pPr>
              <w:spacing w:before="0" w:after="0" w:line="259" w:lineRule="auto"/>
            </w:pPr>
            <w:r>
              <w:rPr>
                <w:rFonts w:ascii="Calibri" w:hAnsi="Calibri"/>
                <w:color w:val="1F2937"/>
                <w:sz w:val="18"/>
              </w:rPr>
              <w:t>Provider outage or regression ends a language channel.</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Provider abstraction; circuit breakers; captions fallback; optional failover.</w:t>
            </w:r>
          </w:p>
        </w:tc>
      </w:tr>
      <w:tr>
        <w:trPr>
          <w:cantSplit/>
        </w:trPr>
        <w:tc>
          <w:tcPr>
            <w:tcW w:type="dxa" w:w="720"/>
          </w:tcPr>
          <w:p>
            <w:pPr>
              <w:spacing w:before="0" w:after="0" w:line="259" w:lineRule="auto"/>
            </w:pPr>
            <w:r>
              <w:rPr>
                <w:rFonts w:ascii="Calibri" w:hAnsi="Calibri"/>
                <w:b/>
                <w:color w:val="1F2937"/>
                <w:sz w:val="18"/>
              </w:rPr>
              <w:t>R7</w:t>
            </w:r>
          </w:p>
        </w:tc>
        <w:tc>
          <w:tcPr>
            <w:tcW w:type="dxa" w:w="3420"/>
          </w:tcPr>
          <w:p>
            <w:pPr>
              <w:spacing w:before="0" w:after="0" w:line="259" w:lineRule="auto"/>
            </w:pPr>
            <w:r>
              <w:rPr>
                <w:rFonts w:ascii="Calibri" w:hAnsi="Calibri"/>
                <w:color w:val="1F2937"/>
                <w:sz w:val="18"/>
              </w:rPr>
              <w:t>AI/provider cost grows faster than usage revenue.</w:t>
            </w:r>
          </w:p>
        </w:tc>
        <w:tc>
          <w:tcPr>
            <w:tcW w:type="dxa" w:w="900"/>
          </w:tcPr>
          <w:p>
            <w:pPr>
              <w:spacing w:before="0" w:after="0" w:line="259" w:lineRule="auto"/>
            </w:pPr>
            <w:r>
              <w:rPr>
                <w:rFonts w:ascii="Calibri" w:hAnsi="Calibri"/>
                <w:color w:val="1F2937"/>
                <w:sz w:val="18"/>
              </w:rPr>
              <w:t>Medium</w:t>
            </w:r>
          </w:p>
        </w:tc>
        <w:tc>
          <w:tcPr>
            <w:tcW w:type="dxa" w:w="4320"/>
          </w:tcPr>
          <w:p>
            <w:pPr>
              <w:spacing w:before="0" w:after="0" w:line="259" w:lineRule="auto"/>
            </w:pPr>
            <w:r>
              <w:rPr>
                <w:rFonts w:ascii="Calibri" w:hAnsi="Calibri"/>
                <w:color w:val="1F2937"/>
                <w:sz w:val="18"/>
              </w:rPr>
              <w:t>One stream per language; active-channel gating; usage attribution; rate-card governance and margin alerts.</w:t>
            </w:r>
          </w:p>
        </w:tc>
      </w:tr>
      <w:tr>
        <w:trPr>
          <w:cantSplit/>
        </w:trPr>
        <w:tc>
          <w:tcPr>
            <w:tcW w:type="dxa" w:w="720"/>
          </w:tcPr>
          <w:p>
            <w:pPr>
              <w:spacing w:before="0" w:after="0" w:line="259" w:lineRule="auto"/>
            </w:pPr>
            <w:r>
              <w:rPr>
                <w:rFonts w:ascii="Calibri" w:hAnsi="Calibri"/>
                <w:b/>
                <w:color w:val="1F2937"/>
                <w:sz w:val="18"/>
              </w:rPr>
              <w:t>R8</w:t>
            </w:r>
          </w:p>
        </w:tc>
        <w:tc>
          <w:tcPr>
            <w:tcW w:type="dxa" w:w="3420"/>
          </w:tcPr>
          <w:p>
            <w:pPr>
              <w:spacing w:before="0" w:after="0" w:line="259" w:lineRule="auto"/>
            </w:pPr>
            <w:r>
              <w:rPr>
                <w:rFonts w:ascii="Calibri" w:hAnsi="Calibri"/>
                <w:color w:val="1F2937"/>
                <w:sz w:val="18"/>
              </w:rPr>
              <w:t>Recording/transcription creates privacy or consent exposure.</w:t>
            </w:r>
          </w:p>
        </w:tc>
        <w:tc>
          <w:tcPr>
            <w:tcW w:type="dxa" w:w="900"/>
          </w:tcPr>
          <w:p>
            <w:pPr>
              <w:spacing w:before="0" w:after="0" w:line="259" w:lineRule="auto"/>
            </w:pPr>
            <w:r>
              <w:rPr>
                <w:rFonts w:ascii="Calibri" w:hAnsi="Calibri"/>
                <w:color w:val="1F2937"/>
                <w:sz w:val="18"/>
              </w:rPr>
              <w:t>High</w:t>
            </w:r>
          </w:p>
        </w:tc>
        <w:tc>
          <w:tcPr>
            <w:tcW w:type="dxa" w:w="4320"/>
          </w:tcPr>
          <w:p>
            <w:pPr>
              <w:spacing w:before="0" w:after="0" w:line="259" w:lineRule="auto"/>
            </w:pPr>
            <w:r>
              <w:rPr>
                <w:rFonts w:ascii="Calibri" w:hAnsi="Calibri"/>
                <w:color w:val="1F2937"/>
                <w:sz w:val="18"/>
              </w:rPr>
              <w:t>Explicit notices; retention controls; tenant isolation; subprocessor review.</w:t>
            </w:r>
          </w:p>
        </w:tc>
      </w:tr>
      <w:tr>
        <w:trPr>
          <w:cantSplit/>
        </w:trPr>
        <w:tc>
          <w:tcPr>
            <w:tcW w:type="dxa" w:w="720"/>
          </w:tcPr>
          <w:p>
            <w:pPr>
              <w:spacing w:before="0" w:after="0" w:line="259" w:lineRule="auto"/>
            </w:pPr>
            <w:r>
              <w:rPr>
                <w:rFonts w:ascii="Calibri" w:hAnsi="Calibri"/>
                <w:b/>
                <w:color w:val="1F2937"/>
                <w:sz w:val="18"/>
              </w:rPr>
              <w:t>R9</w:t>
            </w:r>
          </w:p>
        </w:tc>
        <w:tc>
          <w:tcPr>
            <w:tcW w:type="dxa" w:w="3420"/>
          </w:tcPr>
          <w:p>
            <w:pPr>
              <w:spacing w:before="0" w:after="0" w:line="259" w:lineRule="auto"/>
            </w:pPr>
            <w:r>
              <w:rPr>
                <w:rFonts w:ascii="Calibri" w:hAnsi="Calibri"/>
                <w:color w:val="1F2937"/>
                <w:sz w:val="18"/>
              </w:rPr>
              <w:t>Presenter corrections are too burdensome during delivery.</w:t>
            </w:r>
          </w:p>
        </w:tc>
        <w:tc>
          <w:tcPr>
            <w:tcW w:type="dxa" w:w="900"/>
          </w:tcPr>
          <w:p>
            <w:pPr>
              <w:spacing w:before="0" w:after="0" w:line="259" w:lineRule="auto"/>
            </w:pPr>
            <w:r>
              <w:rPr>
                <w:rFonts w:ascii="Calibri" w:hAnsi="Calibri"/>
                <w:color w:val="1F2937"/>
                <w:sz w:val="18"/>
              </w:rPr>
              <w:t>Medium</w:t>
            </w:r>
          </w:p>
        </w:tc>
        <w:tc>
          <w:tcPr>
            <w:tcW w:type="dxa" w:w="4320"/>
          </w:tcPr>
          <w:p>
            <w:pPr>
              <w:spacing w:before="0" w:after="0" w:line="259" w:lineRule="auto"/>
            </w:pPr>
            <w:r>
              <w:rPr>
                <w:rFonts w:ascii="Calibri" w:hAnsi="Calibri"/>
                <w:color w:val="1F2937"/>
                <w:sz w:val="18"/>
              </w:rPr>
              <w:t>Prioritize pre-event glossary; simple one-click correction; moderator role.</w:t>
            </w:r>
          </w:p>
        </w:tc>
      </w:tr>
      <w:tr>
        <w:trPr>
          <w:cantSplit/>
        </w:trPr>
        <w:tc>
          <w:tcPr>
            <w:tcW w:type="dxa" w:w="720"/>
          </w:tcPr>
          <w:p>
            <w:pPr>
              <w:spacing w:before="0" w:after="0" w:line="259" w:lineRule="auto"/>
            </w:pPr>
            <w:r>
              <w:rPr>
                <w:rFonts w:ascii="Calibri" w:hAnsi="Calibri"/>
                <w:b/>
                <w:color w:val="1F2937"/>
                <w:sz w:val="18"/>
              </w:rPr>
              <w:t>R10</w:t>
            </w:r>
          </w:p>
        </w:tc>
        <w:tc>
          <w:tcPr>
            <w:tcW w:type="dxa" w:w="3420"/>
          </w:tcPr>
          <w:p>
            <w:pPr>
              <w:spacing w:before="0" w:after="0" w:line="259" w:lineRule="auto"/>
            </w:pPr>
            <w:r>
              <w:rPr>
                <w:rFonts w:ascii="Calibri" w:hAnsi="Calibri"/>
                <w:color w:val="1F2937"/>
                <w:sz w:val="18"/>
              </w:rPr>
              <w:t>Product is perceived as a generic translation wrapper.</w:t>
            </w:r>
          </w:p>
        </w:tc>
        <w:tc>
          <w:tcPr>
            <w:tcW w:type="dxa" w:w="900"/>
          </w:tcPr>
          <w:p>
            <w:pPr>
              <w:spacing w:before="0" w:after="0" w:line="259" w:lineRule="auto"/>
            </w:pPr>
            <w:r>
              <w:rPr>
                <w:rFonts w:ascii="Calibri" w:hAnsi="Calibri"/>
                <w:color w:val="1F2937"/>
                <w:sz w:val="18"/>
              </w:rPr>
              <w:t>Medium</w:t>
            </w:r>
          </w:p>
        </w:tc>
        <w:tc>
          <w:tcPr>
            <w:tcW w:type="dxa" w:w="4320"/>
          </w:tcPr>
          <w:p>
            <w:pPr>
              <w:spacing w:before="0" w:after="0" w:line="259" w:lineRule="auto"/>
            </w:pPr>
            <w:r>
              <w:rPr>
                <w:rFonts w:ascii="Calibri" w:hAnsi="Calibri"/>
                <w:color w:val="1F2937"/>
                <w:sz w:val="18"/>
              </w:rPr>
              <w:t>Focus on Indian code-switching, context, delivery reliability, and correction data.</w:t>
            </w:r>
          </w:p>
        </w:tc>
      </w:tr>
    </w:tbl>
    <w:p>
      <w:pPr>
        <w:spacing w:before="80" w:after="0"/>
      </w:pPr>
    </w:p>
    <w:p>
      <w:pPr>
        <w:pStyle w:val="Heading1"/>
      </w:pPr>
      <w:r>
        <w:t>16. Dependencies</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5040"/>
        <w:gridCol w:w="1800"/>
      </w:tblGrid>
      <w:tr>
        <w:trPr>
          <w:tblHeader w:val="true"/>
          <w:cantSplit/>
        </w:trPr>
        <w:tc>
          <w:tcPr>
            <w:tcW w:type="dxa" w:w="25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Dependency</w:t>
            </w:r>
          </w:p>
        </w:tc>
        <w:tc>
          <w:tcPr>
            <w:tcW w:type="dxa" w:w="50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Needed for</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Owner</w:t>
            </w:r>
          </w:p>
        </w:tc>
      </w:tr>
      <w:tr>
        <w:trPr>
          <w:cantSplit/>
        </w:trPr>
        <w:tc>
          <w:tcPr>
            <w:tcW w:type="dxa" w:w="2520"/>
          </w:tcPr>
          <w:p>
            <w:pPr>
              <w:spacing w:before="0" w:after="0" w:line="259" w:lineRule="auto"/>
            </w:pPr>
            <w:r>
              <w:rPr>
                <w:rFonts w:ascii="Calibri" w:hAnsi="Calibri"/>
                <w:b/>
                <w:color w:val="1F2937"/>
                <w:sz w:val="18"/>
              </w:rPr>
              <w:t>Speech-provider access</w:t>
            </w:r>
          </w:p>
        </w:tc>
        <w:tc>
          <w:tcPr>
            <w:tcW w:type="dxa" w:w="5040"/>
          </w:tcPr>
          <w:p>
            <w:pPr>
              <w:spacing w:before="0" w:after="0" w:line="259" w:lineRule="auto"/>
            </w:pPr>
            <w:r>
              <w:rPr>
                <w:rFonts w:ascii="Calibri" w:hAnsi="Calibri"/>
                <w:color w:val="1F2937"/>
                <w:sz w:val="18"/>
              </w:rPr>
              <w:t>Streaming STT, translation, TTS, India language/region support</w:t>
            </w:r>
          </w:p>
        </w:tc>
        <w:tc>
          <w:tcPr>
            <w:tcW w:type="dxa" w:w="1800"/>
          </w:tcPr>
          <w:p>
            <w:pPr>
              <w:spacing w:before="0" w:after="0" w:line="259" w:lineRule="auto"/>
            </w:pPr>
            <w:r>
              <w:rPr>
                <w:rFonts w:ascii="Calibri" w:hAnsi="Calibri"/>
                <w:color w:val="1F2937"/>
                <w:sz w:val="18"/>
              </w:rPr>
              <w:t>Engineering</w:t>
            </w:r>
          </w:p>
        </w:tc>
      </w:tr>
      <w:tr>
        <w:trPr>
          <w:cantSplit/>
        </w:trPr>
        <w:tc>
          <w:tcPr>
            <w:tcW w:type="dxa" w:w="2520"/>
          </w:tcPr>
          <w:p>
            <w:pPr>
              <w:spacing w:before="0" w:after="0" w:line="259" w:lineRule="auto"/>
            </w:pPr>
            <w:r>
              <w:rPr>
                <w:rFonts w:ascii="Calibri" w:hAnsi="Calibri"/>
                <w:b/>
                <w:color w:val="1F2937"/>
                <w:sz w:val="18"/>
              </w:rPr>
              <w:t>Pilot corpus</w:t>
            </w:r>
          </w:p>
        </w:tc>
        <w:tc>
          <w:tcPr>
            <w:tcW w:type="dxa" w:w="5040"/>
          </w:tcPr>
          <w:p>
            <w:pPr>
              <w:spacing w:before="0" w:after="0" w:line="259" w:lineRule="auto"/>
            </w:pPr>
            <w:r>
              <w:rPr>
                <w:rFonts w:ascii="Calibri" w:hAnsi="Calibri"/>
                <w:color w:val="1F2937"/>
                <w:sz w:val="18"/>
              </w:rPr>
              <w:t>Consented MicroDegree audio, slides, terms, and human reference translations</w:t>
            </w:r>
          </w:p>
        </w:tc>
        <w:tc>
          <w:tcPr>
            <w:tcW w:type="dxa" w:w="1800"/>
          </w:tcPr>
          <w:p>
            <w:pPr>
              <w:spacing w:before="0" w:after="0" w:line="259" w:lineRule="auto"/>
            </w:pPr>
            <w:r>
              <w:rPr>
                <w:rFonts w:ascii="Calibri" w:hAnsi="Calibri"/>
                <w:color w:val="1F2937"/>
                <w:sz w:val="18"/>
              </w:rPr>
              <w:t>Product / Training</w:t>
            </w:r>
          </w:p>
        </w:tc>
      </w:tr>
      <w:tr>
        <w:trPr>
          <w:cantSplit/>
        </w:trPr>
        <w:tc>
          <w:tcPr>
            <w:tcW w:type="dxa" w:w="2520"/>
          </w:tcPr>
          <w:p>
            <w:pPr>
              <w:spacing w:before="0" w:after="0" w:line="259" w:lineRule="auto"/>
            </w:pPr>
            <w:r>
              <w:rPr>
                <w:rFonts w:ascii="Calibri" w:hAnsi="Calibri"/>
                <w:b/>
                <w:color w:val="1F2937"/>
                <w:sz w:val="18"/>
              </w:rPr>
              <w:t>Venue access</w:t>
            </w:r>
          </w:p>
        </w:tc>
        <w:tc>
          <w:tcPr>
            <w:tcW w:type="dxa" w:w="5040"/>
          </w:tcPr>
          <w:p>
            <w:pPr>
              <w:spacing w:before="0" w:after="0" w:line="259" w:lineRule="auto"/>
            </w:pPr>
            <w:r>
              <w:rPr>
                <w:rFonts w:ascii="Calibri" w:hAnsi="Calibri"/>
                <w:color w:val="1F2937"/>
                <w:sz w:val="18"/>
              </w:rPr>
              <w:t>Real Wi-Fi, microphones, mixer feeds, and attendee devices</w:t>
            </w:r>
          </w:p>
        </w:tc>
        <w:tc>
          <w:tcPr>
            <w:tcW w:type="dxa" w:w="1800"/>
          </w:tcPr>
          <w:p>
            <w:pPr>
              <w:spacing w:before="0" w:after="0" w:line="259" w:lineRule="auto"/>
            </w:pPr>
            <w:r>
              <w:rPr>
                <w:rFonts w:ascii="Calibri" w:hAnsi="Calibri"/>
                <w:color w:val="1F2937"/>
                <w:sz w:val="18"/>
              </w:rPr>
              <w:t>Operations</w:t>
            </w:r>
          </w:p>
        </w:tc>
      </w:tr>
      <w:tr>
        <w:trPr>
          <w:cantSplit/>
        </w:trPr>
        <w:tc>
          <w:tcPr>
            <w:tcW w:type="dxa" w:w="2520"/>
          </w:tcPr>
          <w:p>
            <w:pPr>
              <w:spacing w:before="0" w:after="0" w:line="259" w:lineRule="auto"/>
            </w:pPr>
            <w:r>
              <w:rPr>
                <w:rFonts w:ascii="Calibri" w:hAnsi="Calibri"/>
                <w:b/>
                <w:color w:val="1F2937"/>
                <w:sz w:val="18"/>
              </w:rPr>
              <w:t>Privacy and legal review</w:t>
            </w:r>
          </w:p>
        </w:tc>
        <w:tc>
          <w:tcPr>
            <w:tcW w:type="dxa" w:w="5040"/>
          </w:tcPr>
          <w:p>
            <w:pPr>
              <w:spacing w:before="0" w:after="0" w:line="259" w:lineRule="auto"/>
            </w:pPr>
            <w:r>
              <w:rPr>
                <w:rFonts w:ascii="Calibri" w:hAnsi="Calibri"/>
                <w:color w:val="1F2937"/>
                <w:sz w:val="18"/>
              </w:rPr>
              <w:t>Consent, retention, subprocessors, recording policy</w:t>
            </w:r>
          </w:p>
        </w:tc>
        <w:tc>
          <w:tcPr>
            <w:tcW w:type="dxa" w:w="1800"/>
          </w:tcPr>
          <w:p>
            <w:pPr>
              <w:spacing w:before="0" w:after="0" w:line="259" w:lineRule="auto"/>
            </w:pPr>
            <w:r>
              <w:rPr>
                <w:rFonts w:ascii="Calibri" w:hAnsi="Calibri"/>
                <w:color w:val="1F2937"/>
                <w:sz w:val="18"/>
              </w:rPr>
              <w:t>Legal / Security</w:t>
            </w:r>
          </w:p>
        </w:tc>
      </w:tr>
      <w:tr>
        <w:trPr>
          <w:cantSplit/>
        </w:trPr>
        <w:tc>
          <w:tcPr>
            <w:tcW w:type="dxa" w:w="2520"/>
          </w:tcPr>
          <w:p>
            <w:pPr>
              <w:spacing w:before="0" w:after="0" w:line="259" w:lineRule="auto"/>
            </w:pPr>
            <w:r>
              <w:rPr>
                <w:rFonts w:ascii="Calibri" w:hAnsi="Calibri"/>
                <w:b/>
                <w:color w:val="1F2937"/>
                <w:sz w:val="18"/>
              </w:rPr>
              <w:t>Design partners</w:t>
            </w:r>
          </w:p>
        </w:tc>
        <w:tc>
          <w:tcPr>
            <w:tcW w:type="dxa" w:w="5040"/>
          </w:tcPr>
          <w:p>
            <w:pPr>
              <w:spacing w:before="0" w:after="0" w:line="259" w:lineRule="auto"/>
            </w:pPr>
            <w:r>
              <w:rPr>
                <w:rFonts w:ascii="Calibri" w:hAnsi="Calibri"/>
                <w:color w:val="1F2937"/>
                <w:sz w:val="18"/>
              </w:rPr>
              <w:t>Representative classes and training institutions</w:t>
            </w:r>
          </w:p>
        </w:tc>
        <w:tc>
          <w:tcPr>
            <w:tcW w:type="dxa" w:w="1800"/>
          </w:tcPr>
          <w:p>
            <w:pPr>
              <w:spacing w:before="0" w:after="0" w:line="259" w:lineRule="auto"/>
            </w:pPr>
            <w:r>
              <w:rPr>
                <w:rFonts w:ascii="Calibri" w:hAnsi="Calibri"/>
                <w:color w:val="1F2937"/>
                <w:sz w:val="18"/>
              </w:rPr>
              <w:t>Business</w:t>
            </w:r>
          </w:p>
        </w:tc>
      </w:tr>
      <w:tr>
        <w:trPr>
          <w:cantSplit/>
        </w:trPr>
        <w:tc>
          <w:tcPr>
            <w:tcW w:type="dxa" w:w="2520"/>
          </w:tcPr>
          <w:p>
            <w:pPr>
              <w:spacing w:before="0" w:after="0" w:line="259" w:lineRule="auto"/>
            </w:pPr>
            <w:r>
              <w:rPr>
                <w:rFonts w:ascii="Calibri" w:hAnsi="Calibri"/>
                <w:b/>
                <w:color w:val="1F2937"/>
                <w:sz w:val="18"/>
              </w:rPr>
              <w:t>Support playbook</w:t>
            </w:r>
          </w:p>
        </w:tc>
        <w:tc>
          <w:tcPr>
            <w:tcW w:type="dxa" w:w="5040"/>
          </w:tcPr>
          <w:p>
            <w:pPr>
              <w:spacing w:before="0" w:after="0" w:line="259" w:lineRule="auto"/>
            </w:pPr>
            <w:r>
              <w:rPr>
                <w:rFonts w:ascii="Calibri" w:hAnsi="Calibri"/>
                <w:color w:val="1F2937"/>
                <w:sz w:val="18"/>
              </w:rPr>
              <w:t>Preflight, moderator, incident, and fallback procedures</w:t>
            </w:r>
          </w:p>
        </w:tc>
        <w:tc>
          <w:tcPr>
            <w:tcW w:type="dxa" w:w="1800"/>
          </w:tcPr>
          <w:p>
            <w:pPr>
              <w:spacing w:before="0" w:after="0" w:line="259" w:lineRule="auto"/>
            </w:pPr>
            <w:r>
              <w:rPr>
                <w:rFonts w:ascii="Calibri" w:hAnsi="Calibri"/>
                <w:color w:val="1F2937"/>
                <w:sz w:val="18"/>
              </w:rPr>
              <w:t>Operations</w:t>
            </w:r>
          </w:p>
        </w:tc>
      </w:tr>
    </w:tbl>
    <w:p>
      <w:pPr>
        <w:spacing w:before="80" w:after="0"/>
      </w:pPr>
    </w:p>
    <w:p>
      <w:pPr>
        <w:pStyle w:val="Heading1"/>
      </w:pPr>
      <w:r>
        <w:t>17. Release acceptance criteria</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7200"/>
      </w:tblGrid>
      <w:tr>
        <w:trPr>
          <w:tblHeader w:val="true"/>
          <w:cantSplit/>
        </w:trPr>
        <w:tc>
          <w:tcPr>
            <w:tcW w:type="dxa" w:w="216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Area</w:t>
            </w:r>
          </w:p>
        </w:tc>
        <w:tc>
          <w:tcPr>
            <w:tcW w:type="dxa" w:w="72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Acceptance criterion</w:t>
            </w:r>
          </w:p>
        </w:tc>
      </w:tr>
      <w:tr>
        <w:trPr>
          <w:cantSplit/>
        </w:trPr>
        <w:tc>
          <w:tcPr>
            <w:tcW w:type="dxa" w:w="2160"/>
          </w:tcPr>
          <w:p>
            <w:pPr>
              <w:spacing w:before="0" w:after="0" w:line="259" w:lineRule="auto"/>
            </w:pPr>
            <w:r>
              <w:rPr>
                <w:rFonts w:ascii="Calibri" w:hAnsi="Calibri"/>
                <w:color w:val="1F2937"/>
                <w:sz w:val="18"/>
              </w:rPr>
              <w:t>Setup</w:t>
            </w:r>
          </w:p>
        </w:tc>
        <w:tc>
          <w:tcPr>
            <w:tcW w:type="dxa" w:w="7200"/>
          </w:tcPr>
          <w:p>
            <w:pPr>
              <w:spacing w:before="0" w:after="0" w:line="259" w:lineRule="auto"/>
            </w:pPr>
            <w:r>
              <w:rPr>
                <w:rFonts w:ascii="Calibri" w:hAnsi="Calibri"/>
                <w:color w:val="1F2937"/>
                <w:sz w:val="18"/>
              </w:rPr>
              <w:t>Presenter creates a four-language event, uploads assets, approves terms, and passes preflight.</w:t>
            </w:r>
          </w:p>
        </w:tc>
      </w:tr>
      <w:tr>
        <w:trPr>
          <w:cantSplit/>
        </w:trPr>
        <w:tc>
          <w:tcPr>
            <w:tcW w:type="dxa" w:w="2160"/>
          </w:tcPr>
          <w:p>
            <w:pPr>
              <w:spacing w:before="0" w:after="0" w:line="259" w:lineRule="auto"/>
            </w:pPr>
            <w:r>
              <w:rPr>
                <w:rFonts w:ascii="Calibri" w:hAnsi="Calibri"/>
                <w:color w:val="1F2937"/>
                <w:sz w:val="18"/>
              </w:rPr>
              <w:t>Join</w:t>
            </w:r>
          </w:p>
        </w:tc>
        <w:tc>
          <w:tcPr>
            <w:tcW w:type="dxa" w:w="7200"/>
          </w:tcPr>
          <w:p>
            <w:pPr>
              <w:spacing w:before="0" w:after="0" w:line="259" w:lineRule="auto"/>
            </w:pPr>
            <w:r>
              <w:rPr>
                <w:rFonts w:ascii="Calibri" w:hAnsi="Calibri"/>
                <w:color w:val="1F2937"/>
                <w:sz w:val="18"/>
              </w:rPr>
              <w:t>25 pilot attendees join by QR without login across supported iOS and Android browsers.</w:t>
            </w:r>
          </w:p>
        </w:tc>
      </w:tr>
      <w:tr>
        <w:trPr>
          <w:cantSplit/>
        </w:trPr>
        <w:tc>
          <w:tcPr>
            <w:tcW w:type="dxa" w:w="2160"/>
          </w:tcPr>
          <w:p>
            <w:pPr>
              <w:spacing w:before="0" w:after="0" w:line="259" w:lineRule="auto"/>
            </w:pPr>
            <w:r>
              <w:rPr>
                <w:rFonts w:ascii="Calibri" w:hAnsi="Calibri"/>
                <w:color w:val="1F2937"/>
                <w:sz w:val="18"/>
              </w:rPr>
              <w:t>Live captions</w:t>
            </w:r>
          </w:p>
        </w:tc>
        <w:tc>
          <w:tcPr>
            <w:tcW w:type="dxa" w:w="7200"/>
          </w:tcPr>
          <w:p>
            <w:pPr>
              <w:spacing w:before="0" w:after="0" w:line="259" w:lineRule="auto"/>
            </w:pPr>
            <w:r>
              <w:rPr>
                <w:rFonts w:ascii="Calibri" w:hAnsi="Calibri"/>
                <w:color w:val="1F2937"/>
                <w:sz w:val="18"/>
              </w:rPr>
              <w:t>Source and selected translated captions remain usable for a 60-minute technical session.</w:t>
            </w:r>
          </w:p>
        </w:tc>
      </w:tr>
      <w:tr>
        <w:trPr>
          <w:cantSplit/>
        </w:trPr>
        <w:tc>
          <w:tcPr>
            <w:tcW w:type="dxa" w:w="2160"/>
          </w:tcPr>
          <w:p>
            <w:pPr>
              <w:spacing w:before="0" w:after="0" w:line="259" w:lineRule="auto"/>
            </w:pPr>
            <w:r>
              <w:rPr>
                <w:rFonts w:ascii="Calibri" w:hAnsi="Calibri"/>
                <w:color w:val="1F2937"/>
                <w:sz w:val="18"/>
              </w:rPr>
              <w:t>Live audio</w:t>
            </w:r>
          </w:p>
        </w:tc>
        <w:tc>
          <w:tcPr>
            <w:tcW w:type="dxa" w:w="7200"/>
          </w:tcPr>
          <w:p>
            <w:pPr>
              <w:spacing w:before="0" w:after="0" w:line="259" w:lineRule="auto"/>
            </w:pPr>
            <w:r>
              <w:rPr>
                <w:rFonts w:ascii="Calibri" w:hAnsi="Calibri"/>
                <w:color w:val="1F2937"/>
                <w:sz w:val="18"/>
              </w:rPr>
              <w:t>English, Hindi, and Telugu channels are generated once per language and shared with subscribers.</w:t>
            </w:r>
          </w:p>
        </w:tc>
      </w:tr>
      <w:tr>
        <w:trPr>
          <w:cantSplit/>
        </w:trPr>
        <w:tc>
          <w:tcPr>
            <w:tcW w:type="dxa" w:w="2160"/>
          </w:tcPr>
          <w:p>
            <w:pPr>
              <w:spacing w:before="0" w:after="0" w:line="259" w:lineRule="auto"/>
            </w:pPr>
            <w:r>
              <w:rPr>
                <w:rFonts w:ascii="Calibri" w:hAnsi="Calibri"/>
                <w:color w:val="1F2937"/>
                <w:sz w:val="18"/>
              </w:rPr>
              <w:t>Latency</w:t>
            </w:r>
          </w:p>
        </w:tc>
        <w:tc>
          <w:tcPr>
            <w:tcW w:type="dxa" w:w="7200"/>
          </w:tcPr>
          <w:p>
            <w:pPr>
              <w:spacing w:before="0" w:after="0" w:line="259" w:lineRule="auto"/>
            </w:pPr>
            <w:r>
              <w:rPr>
                <w:rFonts w:ascii="Calibri" w:hAnsi="Calibri"/>
                <w:color w:val="1F2937"/>
                <w:sz w:val="18"/>
              </w:rPr>
              <w:t>Pilot meets the defined median targets and records p95 plus per-stage latency.</w:t>
            </w:r>
          </w:p>
        </w:tc>
      </w:tr>
      <w:tr>
        <w:trPr>
          <w:cantSplit/>
        </w:trPr>
        <w:tc>
          <w:tcPr>
            <w:tcW w:type="dxa" w:w="2160"/>
          </w:tcPr>
          <w:p>
            <w:pPr>
              <w:spacing w:before="0" w:after="0" w:line="259" w:lineRule="auto"/>
            </w:pPr>
            <w:r>
              <w:rPr>
                <w:rFonts w:ascii="Calibri" w:hAnsi="Calibri"/>
                <w:color w:val="1F2937"/>
                <w:sz w:val="18"/>
              </w:rPr>
              <w:t>Resilience</w:t>
            </w:r>
          </w:p>
        </w:tc>
        <w:tc>
          <w:tcPr>
            <w:tcW w:type="dxa" w:w="7200"/>
          </w:tcPr>
          <w:p>
            <w:pPr>
              <w:spacing w:before="0" w:after="0" w:line="259" w:lineRule="auto"/>
            </w:pPr>
            <w:r>
              <w:rPr>
                <w:rFonts w:ascii="Calibri" w:hAnsi="Calibri"/>
                <w:color w:val="1F2937"/>
                <w:sz w:val="18"/>
              </w:rPr>
              <w:t>Test clients recover from a controlled network interruption; captions-only fallback works.</w:t>
            </w:r>
          </w:p>
        </w:tc>
      </w:tr>
      <w:tr>
        <w:trPr>
          <w:cantSplit/>
        </w:trPr>
        <w:tc>
          <w:tcPr>
            <w:tcW w:type="dxa" w:w="2160"/>
          </w:tcPr>
          <w:p>
            <w:pPr>
              <w:spacing w:before="0" w:after="0" w:line="259" w:lineRule="auto"/>
            </w:pPr>
            <w:r>
              <w:rPr>
                <w:rFonts w:ascii="Calibri" w:hAnsi="Calibri"/>
                <w:color w:val="1F2937"/>
                <w:sz w:val="18"/>
              </w:rPr>
              <w:t>Quality</w:t>
            </w:r>
          </w:p>
        </w:tc>
        <w:tc>
          <w:tcPr>
            <w:tcW w:type="dxa" w:w="7200"/>
          </w:tcPr>
          <w:p>
            <w:pPr>
              <w:spacing w:before="0" w:after="0" w:line="259" w:lineRule="auto"/>
            </w:pPr>
            <w:r>
              <w:rPr>
                <w:rFonts w:ascii="Calibri" w:hAnsi="Calibri"/>
                <w:color w:val="1F2937"/>
                <w:sz w:val="18"/>
              </w:rPr>
              <w:t>Protected-term and listener-usefulness targets are measured and no unresolved critical safety/privacy defect remains.</w:t>
            </w:r>
          </w:p>
        </w:tc>
      </w:tr>
      <w:tr>
        <w:trPr>
          <w:cantSplit/>
        </w:trPr>
        <w:tc>
          <w:tcPr>
            <w:tcW w:type="dxa" w:w="2160"/>
          </w:tcPr>
          <w:p>
            <w:pPr>
              <w:spacing w:before="0" w:after="0" w:line="259" w:lineRule="auto"/>
            </w:pPr>
            <w:r>
              <w:rPr>
                <w:rFonts w:ascii="Calibri" w:hAnsi="Calibri"/>
                <w:color w:val="1F2937"/>
                <w:sz w:val="18"/>
              </w:rPr>
              <w:t>Post-event</w:t>
            </w:r>
          </w:p>
        </w:tc>
        <w:tc>
          <w:tcPr>
            <w:tcW w:type="dxa" w:w="7200"/>
          </w:tcPr>
          <w:p>
            <w:pPr>
              <w:spacing w:before="0" w:after="0" w:line="259" w:lineRule="auto"/>
            </w:pPr>
            <w:r>
              <w:rPr>
                <w:rFonts w:ascii="Calibri" w:hAnsi="Calibri"/>
                <w:color w:val="1F2937"/>
                <w:sz w:val="18"/>
              </w:rPr>
              <w:t>Transcripts, summary, notes, and analytics complete and are organizer-reviewable.</w:t>
            </w:r>
          </w:p>
        </w:tc>
      </w:tr>
      <w:tr>
        <w:trPr>
          <w:cantSplit/>
        </w:trPr>
        <w:tc>
          <w:tcPr>
            <w:tcW w:type="dxa" w:w="2160"/>
          </w:tcPr>
          <w:p>
            <w:pPr>
              <w:spacing w:before="0" w:after="0" w:line="259" w:lineRule="auto"/>
            </w:pPr>
            <w:r>
              <w:rPr>
                <w:rFonts w:ascii="Calibri" w:hAnsi="Calibri"/>
                <w:color w:val="1F2937"/>
                <w:sz w:val="18"/>
              </w:rPr>
              <w:t>Credits</w:t>
            </w:r>
          </w:p>
        </w:tc>
        <w:tc>
          <w:tcPr>
            <w:tcW w:type="dxa" w:w="7200"/>
          </w:tcPr>
          <w:p>
            <w:pPr>
              <w:spacing w:before="0" w:after="0" w:line="259" w:lineRule="auto"/>
            </w:pPr>
            <w:r>
              <w:rPr>
                <w:rFonts w:ascii="Calibri" w:hAnsi="Calibri"/>
                <w:color w:val="1F2937"/>
                <w:sz w:val="18"/>
              </w:rPr>
              <w:t>Wallet shows lot-level expiry; reservation, settlement, and unused-credit return reconcile exactly in the ledger.</w:t>
            </w:r>
          </w:p>
        </w:tc>
      </w:tr>
      <w:tr>
        <w:trPr>
          <w:cantSplit/>
        </w:trPr>
        <w:tc>
          <w:tcPr>
            <w:tcW w:type="dxa" w:w="2160"/>
          </w:tcPr>
          <w:p>
            <w:pPr>
              <w:spacing w:before="0" w:after="0" w:line="259" w:lineRule="auto"/>
            </w:pPr>
            <w:r>
              <w:rPr>
                <w:rFonts w:ascii="Calibri" w:hAnsi="Calibri"/>
                <w:color w:val="1F2937"/>
                <w:sz w:val="18"/>
              </w:rPr>
              <w:t>Payments</w:t>
            </w:r>
          </w:p>
        </w:tc>
        <w:tc>
          <w:tcPr>
            <w:tcW w:type="dxa" w:w="7200"/>
          </w:tcPr>
          <w:p>
            <w:pPr>
              <w:spacing w:before="0" w:after="0" w:line="259" w:lineRule="auto"/>
            </w:pPr>
            <w:r>
              <w:rPr>
                <w:rFonts w:ascii="Calibri" w:hAnsi="Calibri"/>
                <w:color w:val="1F2937"/>
                <w:sz w:val="18"/>
              </w:rPr>
              <w:t>Test top-up, refund, chargeback, expiry, and insufficient-balance paths pass before live payment activation.</w:t>
            </w:r>
          </w:p>
        </w:tc>
      </w:tr>
      <w:tr>
        <w:trPr>
          <w:cantSplit/>
        </w:trPr>
        <w:tc>
          <w:tcPr>
            <w:tcW w:type="dxa" w:w="2160"/>
          </w:tcPr>
          <w:p>
            <w:pPr>
              <w:spacing w:before="0" w:after="0" w:line="259" w:lineRule="auto"/>
            </w:pPr>
            <w:r>
              <w:rPr>
                <w:rFonts w:ascii="Calibri" w:hAnsi="Calibri"/>
                <w:color w:val="1F2937"/>
                <w:sz w:val="18"/>
              </w:rPr>
              <w:t>Operations</w:t>
            </w:r>
          </w:p>
        </w:tc>
        <w:tc>
          <w:tcPr>
            <w:tcW w:type="dxa" w:w="7200"/>
          </w:tcPr>
          <w:p>
            <w:pPr>
              <w:spacing w:before="0" w:after="0" w:line="259" w:lineRule="auto"/>
            </w:pPr>
            <w:r>
              <w:rPr>
                <w:rFonts w:ascii="Calibri" w:hAnsi="Calibri"/>
                <w:color w:val="1F2937"/>
                <w:sz w:val="18"/>
              </w:rPr>
              <w:t>Moderator, network, incident, and rollback/fallback playbooks are rehearsed.</w:t>
            </w:r>
          </w:p>
        </w:tc>
      </w:tr>
      <w:tr>
        <w:trPr>
          <w:cantSplit/>
        </w:trPr>
        <w:tc>
          <w:tcPr>
            <w:tcW w:type="dxa" w:w="2160"/>
          </w:tcPr>
          <w:p>
            <w:pPr>
              <w:spacing w:before="0" w:after="0" w:line="259" w:lineRule="auto"/>
            </w:pPr>
            <w:r>
              <w:rPr>
                <w:rFonts w:ascii="Calibri" w:hAnsi="Calibri"/>
                <w:color w:val="1F2937"/>
                <w:sz w:val="18"/>
              </w:rPr>
              <w:t>Security</w:t>
            </w:r>
          </w:p>
        </w:tc>
        <w:tc>
          <w:tcPr>
            <w:tcW w:type="dxa" w:w="7200"/>
          </w:tcPr>
          <w:p>
            <w:pPr>
              <w:spacing w:before="0" w:after="0" w:line="259" w:lineRule="auto"/>
            </w:pPr>
            <w:r>
              <w:rPr>
                <w:rFonts w:ascii="Calibri" w:hAnsi="Calibri"/>
                <w:color w:val="1F2937"/>
                <w:sz w:val="18"/>
              </w:rPr>
              <w:t>Threat review, upload controls, tenant checks, retention settings, and consent notices pass launch review.</w:t>
            </w:r>
          </w:p>
        </w:tc>
      </w:tr>
    </w:tbl>
    <w:p>
      <w:pPr>
        <w:spacing w:before="80" w:after="0"/>
      </w:pPr>
    </w:p>
    <w:p>
      <w:pPr>
        <w:pStyle w:val="Heading1"/>
      </w:pPr>
      <w:r>
        <w:t>18. Assumptions and open questions</w:t>
      </w:r>
    </w:p>
    <w:p>
      <w:pPr>
        <w:pStyle w:val="Heading2"/>
      </w:pPr>
      <w:r>
        <w:t>18.1 Working assumptions</w:t>
      </w:r>
    </w:p>
    <w:p>
      <w:pPr>
        <w:spacing w:after="160" w:line="280" w:lineRule="auto"/>
        <w:numPr>
          <w:ilvl w:val="0"/>
          <w:numId w:val="10"/>
        </w:numPr>
      </w:pPr>
      <w:r>
        <w:rPr>
          <w:rFonts w:ascii="Calibri" w:hAnsi="Calibri"/>
        </w:rPr>
        <w:t>The first pilot supports up to 100 attendees, with a controlled 25-person live validation.</w:t>
      </w:r>
    </w:p>
    <w:p>
      <w:pPr>
        <w:spacing w:after="160" w:line="280" w:lineRule="auto"/>
        <w:numPr>
          <w:ilvl w:val="0"/>
          <w:numId w:val="10"/>
        </w:numPr>
      </w:pPr>
      <w:r>
        <w:rPr>
          <w:rFonts w:ascii="Calibri" w:hAnsi="Calibri"/>
        </w:rPr>
        <w:t>The launch language set is Kannada, English, Hindi, and Telugu; an event uses one source and up to three targets.</w:t>
      </w:r>
    </w:p>
    <w:p>
      <w:pPr>
        <w:spacing w:after="160" w:line="280" w:lineRule="auto"/>
        <w:numPr>
          <w:ilvl w:val="0"/>
          <w:numId w:val="10"/>
        </w:numPr>
      </w:pPr>
      <w:r>
        <w:rPr>
          <w:rFonts w:ascii="Calibri" w:hAnsi="Calibri"/>
        </w:rPr>
        <w:t>Attendees bring phones and headphones; organizers provide adequate venue connectivity.</w:t>
      </w:r>
    </w:p>
    <w:p>
      <w:pPr>
        <w:spacing w:after="160" w:line="280" w:lineRule="auto"/>
        <w:numPr>
          <w:ilvl w:val="0"/>
          <w:numId w:val="10"/>
        </w:numPr>
      </w:pPr>
      <w:r>
        <w:rPr>
          <w:rFonts w:ascii="Calibri" w:hAnsi="Calibri"/>
        </w:rPr>
        <w:t>The product may use third-party speech providers and does not train foundation models in the MVP.</w:t>
      </w:r>
    </w:p>
    <w:p>
      <w:pPr>
        <w:spacing w:after="160" w:line="280" w:lineRule="auto"/>
        <w:numPr>
          <w:ilvl w:val="0"/>
          <w:numId w:val="10"/>
        </w:numPr>
      </w:pPr>
      <w:r>
        <w:rPr>
          <w:rFonts w:ascii="Calibri" w:hAnsi="Calibri"/>
        </w:rPr>
        <w:t>Organizer accounts are authenticated; attendee access is anonymous and event-scoped.</w:t>
      </w:r>
    </w:p>
    <w:p>
      <w:pPr>
        <w:spacing w:after="160" w:line="280" w:lineRule="auto"/>
        <w:numPr>
          <w:ilvl w:val="0"/>
          <w:numId w:val="10"/>
        </w:numPr>
      </w:pPr>
      <w:r>
        <w:rPr>
          <w:rFonts w:ascii="Calibri" w:hAnsi="Calibri"/>
        </w:rPr>
        <w:t>Post-event outputs require organizer review before external sharing.</w:t>
      </w:r>
    </w:p>
    <w:p>
      <w:pPr>
        <w:spacing w:after="160" w:line="280" w:lineRule="auto"/>
        <w:numPr>
          <w:ilvl w:val="0"/>
          <w:numId w:val="10"/>
        </w:numPr>
      </w:pPr>
      <w:r>
        <w:rPr>
          <w:rFonts w:ascii="Calibri" w:hAnsi="Calibri"/>
        </w:rPr>
        <w:t>Searchable synchronized recording is P1 to protect the live-translation critical path.</w:t>
      </w:r>
    </w:p>
    <w:p>
      <w:pPr>
        <w:spacing w:after="160" w:line="280" w:lineRule="auto"/>
        <w:numPr>
          <w:ilvl w:val="0"/>
          <w:numId w:val="10"/>
        </w:numPr>
      </w:pPr>
      <w:r>
        <w:rPr>
          <w:rFonts w:ascii="Calibri" w:hAnsi="Calibri"/>
        </w:rPr>
        <w:t>Each credit load expires 365 days after payment confirmation; expiry does not refresh when unused reservations are returned.</w:t>
      </w:r>
    </w:p>
    <w:p>
      <w:pPr>
        <w:spacing w:after="160" w:line="280" w:lineRule="auto"/>
        <w:numPr>
          <w:ilvl w:val="0"/>
          <w:numId w:val="10"/>
        </w:numPr>
      </w:pPr>
      <w:r>
        <w:rPr>
          <w:rFonts w:ascii="Calibri" w:hAnsi="Calibri"/>
        </w:rPr>
        <w:t>The current rate card is illustrative and configurable; public currency conversion and taxes require finance and legal approval.</w:t>
      </w:r>
    </w:p>
    <w:p>
      <w:pPr>
        <w:pStyle w:val="Heading2"/>
      </w:pPr>
      <w:r>
        <w:t>18.2 Decisions required</w:t>
      </w:r>
    </w:p>
    <w:p>
      <w:pPr>
        <w:spacing w:before="0" w:after="80"/>
      </w:pP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20"/>
        <w:gridCol w:w="6840"/>
        <w:gridCol w:w="1800"/>
      </w:tblGrid>
      <w:tr>
        <w:trPr>
          <w:tblHeader w:val="true"/>
          <w:cantSplit/>
        </w:trPr>
        <w:tc>
          <w:tcPr>
            <w:tcW w:type="dxa" w:w="72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ID</w:t>
            </w:r>
          </w:p>
        </w:tc>
        <w:tc>
          <w:tcPr>
            <w:tcW w:type="dxa" w:w="684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Decision</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0B2545"/>
                <w:sz w:val="19"/>
              </w:rPr>
              <w:t>Owner</w:t>
            </w:r>
          </w:p>
        </w:tc>
      </w:tr>
      <w:tr>
        <w:trPr>
          <w:cantSplit/>
        </w:trPr>
        <w:tc>
          <w:tcPr>
            <w:tcW w:type="dxa" w:w="720"/>
          </w:tcPr>
          <w:p>
            <w:pPr>
              <w:spacing w:before="0" w:after="0" w:line="259" w:lineRule="auto"/>
            </w:pPr>
            <w:r>
              <w:rPr>
                <w:rFonts w:ascii="Calibri" w:hAnsi="Calibri"/>
                <w:b/>
                <w:color w:val="1F2937"/>
                <w:sz w:val="18"/>
              </w:rPr>
              <w:t>Q1</w:t>
            </w:r>
          </w:p>
        </w:tc>
        <w:tc>
          <w:tcPr>
            <w:tcW w:type="dxa" w:w="6840"/>
          </w:tcPr>
          <w:p>
            <w:pPr>
              <w:spacing w:before="0" w:after="0" w:line="259" w:lineRule="auto"/>
            </w:pPr>
            <w:r>
              <w:rPr>
                <w:rFonts w:ascii="Calibri" w:hAnsi="Calibri"/>
                <w:color w:val="1F2937"/>
                <w:sz w:val="18"/>
              </w:rPr>
              <w:t>Which source-language directions must be production-ready at launch beyond Kannada and English?</w:t>
            </w:r>
          </w:p>
        </w:tc>
        <w:tc>
          <w:tcPr>
            <w:tcW w:type="dxa" w:w="1800"/>
          </w:tcPr>
          <w:p>
            <w:pPr>
              <w:spacing w:before="0" w:after="0" w:line="259" w:lineRule="auto"/>
            </w:pPr>
            <w:r>
              <w:rPr>
                <w:rFonts w:ascii="Calibri" w:hAnsi="Calibri"/>
                <w:color w:val="1F2937"/>
                <w:sz w:val="18"/>
              </w:rPr>
              <w:t>Product</w:t>
            </w:r>
          </w:p>
        </w:tc>
      </w:tr>
      <w:tr>
        <w:trPr>
          <w:cantSplit/>
        </w:trPr>
        <w:tc>
          <w:tcPr>
            <w:tcW w:type="dxa" w:w="720"/>
          </w:tcPr>
          <w:p>
            <w:pPr>
              <w:spacing w:before="0" w:after="0" w:line="259" w:lineRule="auto"/>
            </w:pPr>
            <w:r>
              <w:rPr>
                <w:rFonts w:ascii="Calibri" w:hAnsi="Calibri"/>
                <w:b/>
                <w:color w:val="1F2937"/>
                <w:sz w:val="18"/>
              </w:rPr>
              <w:t>Q2</w:t>
            </w:r>
          </w:p>
        </w:tc>
        <w:tc>
          <w:tcPr>
            <w:tcW w:type="dxa" w:w="6840"/>
          </w:tcPr>
          <w:p>
            <w:pPr>
              <w:spacing w:before="0" w:after="0" w:line="259" w:lineRule="auto"/>
            </w:pPr>
            <w:r>
              <w:rPr>
                <w:rFonts w:ascii="Calibri" w:hAnsi="Calibri"/>
                <w:color w:val="1F2937"/>
                <w:sz w:val="18"/>
              </w:rPr>
              <w:t>What accuracy threshold blocks launch for each language pair and domain?</w:t>
            </w:r>
          </w:p>
        </w:tc>
        <w:tc>
          <w:tcPr>
            <w:tcW w:type="dxa" w:w="1800"/>
          </w:tcPr>
          <w:p>
            <w:pPr>
              <w:spacing w:before="0" w:after="0" w:line="259" w:lineRule="auto"/>
            </w:pPr>
            <w:r>
              <w:rPr>
                <w:rFonts w:ascii="Calibri" w:hAnsi="Calibri"/>
                <w:color w:val="1F2937"/>
                <w:sz w:val="18"/>
              </w:rPr>
              <w:t>Product / Language QA</w:t>
            </w:r>
          </w:p>
        </w:tc>
      </w:tr>
      <w:tr>
        <w:trPr>
          <w:cantSplit/>
        </w:trPr>
        <w:tc>
          <w:tcPr>
            <w:tcW w:type="dxa" w:w="720"/>
          </w:tcPr>
          <w:p>
            <w:pPr>
              <w:spacing w:before="0" w:after="0" w:line="259" w:lineRule="auto"/>
            </w:pPr>
            <w:r>
              <w:rPr>
                <w:rFonts w:ascii="Calibri" w:hAnsi="Calibri"/>
                <w:b/>
                <w:color w:val="1F2937"/>
                <w:sz w:val="18"/>
              </w:rPr>
              <w:t>Q3</w:t>
            </w:r>
          </w:p>
        </w:tc>
        <w:tc>
          <w:tcPr>
            <w:tcW w:type="dxa" w:w="6840"/>
          </w:tcPr>
          <w:p>
            <w:pPr>
              <w:spacing w:before="0" w:after="0" w:line="259" w:lineRule="auto"/>
            </w:pPr>
            <w:r>
              <w:rPr>
                <w:rFonts w:ascii="Calibri" w:hAnsi="Calibri"/>
                <w:color w:val="1F2937"/>
                <w:sz w:val="18"/>
              </w:rPr>
              <w:t>Are raw audio and recordings retained by default, opt-in, or disabled for education pilots?</w:t>
            </w:r>
          </w:p>
        </w:tc>
        <w:tc>
          <w:tcPr>
            <w:tcW w:type="dxa" w:w="1800"/>
          </w:tcPr>
          <w:p>
            <w:pPr>
              <w:spacing w:before="0" w:after="0" w:line="259" w:lineRule="auto"/>
            </w:pPr>
            <w:r>
              <w:rPr>
                <w:rFonts w:ascii="Calibri" w:hAnsi="Calibri"/>
                <w:color w:val="1F2937"/>
                <w:sz w:val="18"/>
              </w:rPr>
              <w:t>Legal / Product</w:t>
            </w:r>
          </w:p>
        </w:tc>
      </w:tr>
      <w:tr>
        <w:trPr>
          <w:cantSplit/>
        </w:trPr>
        <w:tc>
          <w:tcPr>
            <w:tcW w:type="dxa" w:w="720"/>
          </w:tcPr>
          <w:p>
            <w:pPr>
              <w:spacing w:before="0" w:after="0" w:line="259" w:lineRule="auto"/>
            </w:pPr>
            <w:r>
              <w:rPr>
                <w:rFonts w:ascii="Calibri" w:hAnsi="Calibri"/>
                <w:b/>
                <w:color w:val="1F2937"/>
                <w:sz w:val="18"/>
              </w:rPr>
              <w:t>Q4</w:t>
            </w:r>
          </w:p>
        </w:tc>
        <w:tc>
          <w:tcPr>
            <w:tcW w:type="dxa" w:w="6840"/>
          </w:tcPr>
          <w:p>
            <w:pPr>
              <w:spacing w:before="0" w:after="0" w:line="259" w:lineRule="auto"/>
            </w:pPr>
            <w:r>
              <w:rPr>
                <w:rFonts w:ascii="Calibri" w:hAnsi="Calibri"/>
                <w:color w:val="1F2937"/>
                <w:sz w:val="18"/>
              </w:rPr>
              <w:t>Which provider combination best meets India-region quality, latency, cost, and data policy?</w:t>
            </w:r>
          </w:p>
        </w:tc>
        <w:tc>
          <w:tcPr>
            <w:tcW w:type="dxa" w:w="1800"/>
          </w:tcPr>
          <w:p>
            <w:pPr>
              <w:spacing w:before="0" w:after="0" w:line="259" w:lineRule="auto"/>
            </w:pPr>
            <w:r>
              <w:rPr>
                <w:rFonts w:ascii="Calibri" w:hAnsi="Calibri"/>
                <w:color w:val="1F2937"/>
                <w:sz w:val="18"/>
              </w:rPr>
              <w:t>Engineering</w:t>
            </w:r>
          </w:p>
        </w:tc>
      </w:tr>
      <w:tr>
        <w:trPr>
          <w:cantSplit/>
        </w:trPr>
        <w:tc>
          <w:tcPr>
            <w:tcW w:type="dxa" w:w="720"/>
          </w:tcPr>
          <w:p>
            <w:pPr>
              <w:spacing w:before="0" w:after="0" w:line="259" w:lineRule="auto"/>
            </w:pPr>
            <w:r>
              <w:rPr>
                <w:rFonts w:ascii="Calibri" w:hAnsi="Calibri"/>
                <w:b/>
                <w:color w:val="1F2937"/>
                <w:sz w:val="18"/>
              </w:rPr>
              <w:t>Q5</w:t>
            </w:r>
          </w:p>
        </w:tc>
        <w:tc>
          <w:tcPr>
            <w:tcW w:type="dxa" w:w="6840"/>
          </w:tcPr>
          <w:p>
            <w:pPr>
              <w:spacing w:before="0" w:after="0" w:line="259" w:lineRule="auto"/>
            </w:pPr>
            <w:r>
              <w:rPr>
                <w:rFonts w:ascii="Calibri" w:hAnsi="Calibri"/>
                <w:color w:val="1F2937"/>
                <w:sz w:val="18"/>
              </w:rPr>
              <w:t>Is translated voice gender/style selectable, fixed by language, or organizer-configurable?</w:t>
            </w:r>
          </w:p>
        </w:tc>
        <w:tc>
          <w:tcPr>
            <w:tcW w:type="dxa" w:w="1800"/>
          </w:tcPr>
          <w:p>
            <w:pPr>
              <w:spacing w:before="0" w:after="0" w:line="259" w:lineRule="auto"/>
            </w:pPr>
            <w:r>
              <w:rPr>
                <w:rFonts w:ascii="Calibri" w:hAnsi="Calibri"/>
                <w:color w:val="1F2937"/>
                <w:sz w:val="18"/>
              </w:rPr>
              <w:t>Product</w:t>
            </w:r>
          </w:p>
        </w:tc>
      </w:tr>
      <w:tr>
        <w:trPr>
          <w:cantSplit/>
        </w:trPr>
        <w:tc>
          <w:tcPr>
            <w:tcW w:type="dxa" w:w="720"/>
          </w:tcPr>
          <w:p>
            <w:pPr>
              <w:spacing w:before="0" w:after="0" w:line="259" w:lineRule="auto"/>
            </w:pPr>
            <w:r>
              <w:rPr>
                <w:rFonts w:ascii="Calibri" w:hAnsi="Calibri"/>
                <w:b/>
                <w:color w:val="1F2937"/>
                <w:sz w:val="18"/>
              </w:rPr>
              <w:t>Q6</w:t>
            </w:r>
          </w:p>
        </w:tc>
        <w:tc>
          <w:tcPr>
            <w:tcW w:type="dxa" w:w="6840"/>
          </w:tcPr>
          <w:p>
            <w:pPr>
              <w:spacing w:before="0" w:after="0" w:line="259" w:lineRule="auto"/>
            </w:pPr>
            <w:r>
              <w:rPr>
                <w:rFonts w:ascii="Calibri" w:hAnsi="Calibri"/>
                <w:color w:val="1F2937"/>
                <w:sz w:val="18"/>
              </w:rPr>
              <w:t>What is the commercial concurrency target for the first paid release: 100, 250, or 500?</w:t>
            </w:r>
          </w:p>
        </w:tc>
        <w:tc>
          <w:tcPr>
            <w:tcW w:type="dxa" w:w="1800"/>
          </w:tcPr>
          <w:p>
            <w:pPr>
              <w:spacing w:before="0" w:after="0" w:line="259" w:lineRule="auto"/>
            </w:pPr>
            <w:r>
              <w:rPr>
                <w:rFonts w:ascii="Calibri" w:hAnsi="Calibri"/>
                <w:color w:val="1F2937"/>
                <w:sz w:val="18"/>
              </w:rPr>
              <w:t>Business / Engineering</w:t>
            </w:r>
          </w:p>
        </w:tc>
      </w:tr>
      <w:tr>
        <w:trPr>
          <w:cantSplit/>
        </w:trPr>
        <w:tc>
          <w:tcPr>
            <w:tcW w:type="dxa" w:w="720"/>
          </w:tcPr>
          <w:p>
            <w:pPr>
              <w:spacing w:before="0" w:after="0" w:line="259" w:lineRule="auto"/>
            </w:pPr>
            <w:r>
              <w:rPr>
                <w:rFonts w:ascii="Calibri" w:hAnsi="Calibri"/>
                <w:b/>
                <w:color w:val="1F2937"/>
                <w:sz w:val="18"/>
              </w:rPr>
              <w:t>Q7</w:t>
            </w:r>
          </w:p>
        </w:tc>
        <w:tc>
          <w:tcPr>
            <w:tcW w:type="dxa" w:w="6840"/>
          </w:tcPr>
          <w:p>
            <w:pPr>
              <w:spacing w:before="0" w:after="0" w:line="259" w:lineRule="auto"/>
            </w:pPr>
            <w:r>
              <w:rPr>
                <w:rFonts w:ascii="Calibri" w:hAnsi="Calibri"/>
                <w:color w:val="1F2937"/>
                <w:sz w:val="18"/>
              </w:rPr>
              <w:t>Which post-event artifacts can attendees access, and for how long?</w:t>
            </w:r>
          </w:p>
        </w:tc>
        <w:tc>
          <w:tcPr>
            <w:tcW w:type="dxa" w:w="1800"/>
          </w:tcPr>
          <w:p>
            <w:pPr>
              <w:spacing w:before="0" w:after="0" w:line="259" w:lineRule="auto"/>
            </w:pPr>
            <w:r>
              <w:rPr>
                <w:rFonts w:ascii="Calibri" w:hAnsi="Calibri"/>
                <w:color w:val="1F2937"/>
                <w:sz w:val="18"/>
              </w:rPr>
              <w:t>Product / Privacy</w:t>
            </w:r>
          </w:p>
        </w:tc>
      </w:tr>
      <w:tr>
        <w:trPr>
          <w:cantSplit/>
        </w:trPr>
        <w:tc>
          <w:tcPr>
            <w:tcW w:type="dxa" w:w="720"/>
          </w:tcPr>
          <w:p>
            <w:pPr>
              <w:spacing w:before="0" w:after="0" w:line="259" w:lineRule="auto"/>
            </w:pPr>
            <w:r>
              <w:rPr>
                <w:rFonts w:ascii="Calibri" w:hAnsi="Calibri"/>
                <w:b/>
                <w:color w:val="1F2937"/>
                <w:sz w:val="18"/>
              </w:rPr>
              <w:t>Q8</w:t>
            </w:r>
          </w:p>
        </w:tc>
        <w:tc>
          <w:tcPr>
            <w:tcW w:type="dxa" w:w="6840"/>
          </w:tcPr>
          <w:p>
            <w:pPr>
              <w:spacing w:before="0" w:after="0" w:line="259" w:lineRule="auto"/>
            </w:pPr>
            <w:r>
              <w:rPr>
                <w:rFonts w:ascii="Calibri" w:hAnsi="Calibri"/>
                <w:color w:val="1F2937"/>
                <w:sz w:val="18"/>
              </w:rPr>
              <w:t>Will institutions require SSO, private networking, or India-only data residency in the first contracts?</w:t>
            </w:r>
          </w:p>
        </w:tc>
        <w:tc>
          <w:tcPr>
            <w:tcW w:type="dxa" w:w="1800"/>
          </w:tcPr>
          <w:p>
            <w:pPr>
              <w:spacing w:before="0" w:after="0" w:line="259" w:lineRule="auto"/>
            </w:pPr>
            <w:r>
              <w:rPr>
                <w:rFonts w:ascii="Calibri" w:hAnsi="Calibri"/>
                <w:color w:val="1F2937"/>
                <w:sz w:val="18"/>
              </w:rPr>
              <w:t>Sales / Security</w:t>
            </w:r>
          </w:p>
        </w:tc>
      </w:tr>
      <w:tr>
        <w:trPr>
          <w:cantSplit/>
        </w:trPr>
        <w:tc>
          <w:tcPr>
            <w:tcW w:type="dxa" w:w="720"/>
          </w:tcPr>
          <w:p>
            <w:pPr>
              <w:spacing w:before="0" w:after="0" w:line="259" w:lineRule="auto"/>
            </w:pPr>
            <w:r>
              <w:rPr>
                <w:rFonts w:ascii="Calibri" w:hAnsi="Calibri"/>
                <w:b/>
                <w:color w:val="1F2937"/>
                <w:sz w:val="18"/>
              </w:rPr>
              <w:t>Q9</w:t>
            </w:r>
          </w:p>
        </w:tc>
        <w:tc>
          <w:tcPr>
            <w:tcW w:type="dxa" w:w="6840"/>
          </w:tcPr>
          <w:p>
            <w:pPr>
              <w:spacing w:before="0" w:after="0" w:line="259" w:lineRule="auto"/>
            </w:pPr>
            <w:r>
              <w:rPr>
                <w:rFonts w:ascii="Calibri" w:hAnsi="Calibri"/>
                <w:color w:val="1F2937"/>
                <w:sz w:val="18"/>
              </w:rPr>
              <w:t>Who operates the moderator console: presenter, organizer, or Prastuti support?</w:t>
            </w:r>
          </w:p>
        </w:tc>
        <w:tc>
          <w:tcPr>
            <w:tcW w:type="dxa" w:w="1800"/>
          </w:tcPr>
          <w:p>
            <w:pPr>
              <w:spacing w:before="0" w:after="0" w:line="259" w:lineRule="auto"/>
            </w:pPr>
            <w:r>
              <w:rPr>
                <w:rFonts w:ascii="Calibri" w:hAnsi="Calibri"/>
                <w:color w:val="1F2937"/>
                <w:sz w:val="18"/>
              </w:rPr>
              <w:t>Operations</w:t>
            </w:r>
          </w:p>
        </w:tc>
      </w:tr>
      <w:tr>
        <w:trPr>
          <w:cantSplit/>
        </w:trPr>
        <w:tc>
          <w:tcPr>
            <w:tcW w:type="dxa" w:w="720"/>
          </w:tcPr>
          <w:p>
            <w:pPr>
              <w:spacing w:before="0" w:after="0" w:line="259" w:lineRule="auto"/>
            </w:pPr>
            <w:r>
              <w:rPr>
                <w:rFonts w:ascii="Calibri" w:hAnsi="Calibri"/>
                <w:b/>
                <w:color w:val="1F2937"/>
                <w:sz w:val="18"/>
              </w:rPr>
              <w:t>Q10</w:t>
            </w:r>
          </w:p>
        </w:tc>
        <w:tc>
          <w:tcPr>
            <w:tcW w:type="dxa" w:w="6840"/>
          </w:tcPr>
          <w:p>
            <w:pPr>
              <w:spacing w:before="0" w:after="0" w:line="259" w:lineRule="auto"/>
            </w:pPr>
            <w:r>
              <w:rPr>
                <w:rFonts w:ascii="Calibri" w:hAnsi="Calibri"/>
                <w:color w:val="1F2937"/>
                <w:sz w:val="18"/>
              </w:rPr>
              <w:t>What support/SLA commitments are viable before multi-provider failover exists?</w:t>
            </w:r>
          </w:p>
        </w:tc>
        <w:tc>
          <w:tcPr>
            <w:tcW w:type="dxa" w:w="1800"/>
          </w:tcPr>
          <w:p>
            <w:pPr>
              <w:spacing w:before="0" w:after="0" w:line="259" w:lineRule="auto"/>
            </w:pPr>
            <w:r>
              <w:rPr>
                <w:rFonts w:ascii="Calibri" w:hAnsi="Calibri"/>
                <w:color w:val="1F2937"/>
                <w:sz w:val="18"/>
              </w:rPr>
              <w:t>Business / Engineering</w:t>
            </w:r>
          </w:p>
        </w:tc>
      </w:tr>
      <w:tr>
        <w:trPr>
          <w:cantSplit/>
        </w:trPr>
        <w:tc>
          <w:tcPr>
            <w:tcW w:type="dxa" w:w="720"/>
          </w:tcPr>
          <w:p>
            <w:pPr>
              <w:spacing w:before="0" w:after="0" w:line="259" w:lineRule="auto"/>
            </w:pPr>
            <w:r>
              <w:rPr>
                <w:rFonts w:ascii="Calibri" w:hAnsi="Calibri"/>
                <w:b/>
                <w:color w:val="1F2937"/>
                <w:sz w:val="18"/>
              </w:rPr>
              <w:t>Q11</w:t>
            </w:r>
          </w:p>
        </w:tc>
        <w:tc>
          <w:tcPr>
            <w:tcW w:type="dxa" w:w="6840"/>
          </w:tcPr>
          <w:p>
            <w:pPr>
              <w:spacing w:before="0" w:after="0" w:line="259" w:lineRule="auto"/>
            </w:pPr>
            <w:r>
              <w:rPr>
                <w:rFonts w:ascii="Calibri" w:hAnsi="Calibri"/>
                <w:color w:val="1F2937"/>
                <w:sz w:val="18"/>
              </w:rPr>
              <w:t>What monetary value does one credit represent, and are rates tax-inclusive or tax-exclusive?</w:t>
            </w:r>
          </w:p>
        </w:tc>
        <w:tc>
          <w:tcPr>
            <w:tcW w:type="dxa" w:w="1800"/>
          </w:tcPr>
          <w:p>
            <w:pPr>
              <w:spacing w:before="0" w:after="0" w:line="259" w:lineRule="auto"/>
            </w:pPr>
            <w:r>
              <w:rPr>
                <w:rFonts w:ascii="Calibri" w:hAnsi="Calibri"/>
                <w:color w:val="1F2937"/>
                <w:sz w:val="18"/>
              </w:rPr>
              <w:t>Finance / Product</w:t>
            </w:r>
          </w:p>
        </w:tc>
      </w:tr>
      <w:tr>
        <w:trPr>
          <w:cantSplit/>
        </w:trPr>
        <w:tc>
          <w:tcPr>
            <w:tcW w:type="dxa" w:w="720"/>
          </w:tcPr>
          <w:p>
            <w:pPr>
              <w:spacing w:before="0" w:after="0" w:line="259" w:lineRule="auto"/>
            </w:pPr>
            <w:r>
              <w:rPr>
                <w:rFonts w:ascii="Calibri" w:hAnsi="Calibri"/>
                <w:b/>
                <w:color w:val="1F2937"/>
                <w:sz w:val="18"/>
              </w:rPr>
              <w:t>Q12</w:t>
            </w:r>
          </w:p>
        </w:tc>
        <w:tc>
          <w:tcPr>
            <w:tcW w:type="dxa" w:w="6840"/>
          </w:tcPr>
          <w:p>
            <w:pPr>
              <w:spacing w:before="0" w:after="0" w:line="259" w:lineRule="auto"/>
            </w:pPr>
            <w:r>
              <w:rPr>
                <w:rFonts w:ascii="Calibri" w:hAnsi="Calibri"/>
                <w:color w:val="1F2937"/>
                <w:sz w:val="18"/>
              </w:rPr>
              <w:t>Which payment provider best supports India checkout, invoices, refunds, and reliable webhook reconciliation?</w:t>
            </w:r>
          </w:p>
        </w:tc>
        <w:tc>
          <w:tcPr>
            <w:tcW w:type="dxa" w:w="1800"/>
          </w:tcPr>
          <w:p>
            <w:pPr>
              <w:spacing w:before="0" w:after="0" w:line="259" w:lineRule="auto"/>
            </w:pPr>
            <w:r>
              <w:rPr>
                <w:rFonts w:ascii="Calibri" w:hAnsi="Calibri"/>
                <w:color w:val="1F2937"/>
                <w:sz w:val="18"/>
              </w:rPr>
              <w:t>Engineering / Finance</w:t>
            </w:r>
          </w:p>
        </w:tc>
      </w:tr>
      <w:tr>
        <w:trPr>
          <w:cantSplit/>
        </w:trPr>
        <w:tc>
          <w:tcPr>
            <w:tcW w:type="dxa" w:w="720"/>
          </w:tcPr>
          <w:p>
            <w:pPr>
              <w:spacing w:before="0" w:after="0" w:line="259" w:lineRule="auto"/>
            </w:pPr>
            <w:r>
              <w:rPr>
                <w:rFonts w:ascii="Calibri" w:hAnsi="Calibri"/>
                <w:b/>
                <w:color w:val="1F2937"/>
                <w:sz w:val="18"/>
              </w:rPr>
              <w:t>Q13</w:t>
            </w:r>
          </w:p>
        </w:tc>
        <w:tc>
          <w:tcPr>
            <w:tcW w:type="dxa" w:w="6840"/>
          </w:tcPr>
          <w:p>
            <w:pPr>
              <w:spacing w:before="0" w:after="0" w:line="259" w:lineRule="auto"/>
            </w:pPr>
            <w:r>
              <w:rPr>
                <w:rFonts w:ascii="Calibri" w:hAnsi="Calibri"/>
                <w:color w:val="1F2937"/>
                <w:sz w:val="18"/>
              </w:rPr>
              <w:t>Are promotional credits refundable, transferable, and subject to the same 365-day expiry?</w:t>
            </w:r>
          </w:p>
        </w:tc>
        <w:tc>
          <w:tcPr>
            <w:tcW w:type="dxa" w:w="1800"/>
          </w:tcPr>
          <w:p>
            <w:pPr>
              <w:spacing w:before="0" w:after="0" w:line="259" w:lineRule="auto"/>
            </w:pPr>
            <w:r>
              <w:rPr>
                <w:rFonts w:ascii="Calibri" w:hAnsi="Calibri"/>
                <w:color w:val="1F2937"/>
                <w:sz w:val="18"/>
              </w:rPr>
              <w:t>Legal / Product</w:t>
            </w:r>
          </w:p>
        </w:tc>
      </w:tr>
      <w:tr>
        <w:trPr>
          <w:cantSplit/>
        </w:trPr>
        <w:tc>
          <w:tcPr>
            <w:tcW w:type="dxa" w:w="720"/>
          </w:tcPr>
          <w:p>
            <w:pPr>
              <w:spacing w:before="0" w:after="0" w:line="259" w:lineRule="auto"/>
            </w:pPr>
            <w:r>
              <w:rPr>
                <w:rFonts w:ascii="Calibri" w:hAnsi="Calibri"/>
                <w:b/>
                <w:color w:val="1F2937"/>
                <w:sz w:val="18"/>
              </w:rPr>
              <w:t>Q14</w:t>
            </w:r>
          </w:p>
        </w:tc>
        <w:tc>
          <w:tcPr>
            <w:tcW w:type="dxa" w:w="6840"/>
          </w:tcPr>
          <w:p>
            <w:pPr>
              <w:spacing w:before="0" w:after="0" w:line="259" w:lineRule="auto"/>
            </w:pPr>
            <w:r>
              <w:rPr>
                <w:rFonts w:ascii="Calibri" w:hAnsi="Calibri"/>
                <w:color w:val="1F2937"/>
                <w:sz w:val="18"/>
              </w:rPr>
              <w:t>Should organizations be able to enable threshold-based automatic top-up in P1?</w:t>
            </w:r>
          </w:p>
        </w:tc>
        <w:tc>
          <w:tcPr>
            <w:tcW w:type="dxa" w:w="1800"/>
          </w:tcPr>
          <w:p>
            <w:pPr>
              <w:spacing w:before="0" w:after="0" w:line="259" w:lineRule="auto"/>
            </w:pPr>
            <w:r>
              <w:rPr>
                <w:rFonts w:ascii="Calibri" w:hAnsi="Calibri"/>
                <w:color w:val="1F2937"/>
                <w:sz w:val="18"/>
              </w:rPr>
              <w:t>Product / Finance</w:t>
            </w:r>
          </w:p>
        </w:tc>
      </w:tr>
    </w:tbl>
    <w:p>
      <w:pPr>
        <w:spacing w:before="80" w:after="0"/>
      </w:pPr>
    </w:p>
    <w:p>
      <w:pPr>
        <w:pStyle w:val="Heading1"/>
      </w:pPr>
      <w:r>
        <w:t>19. Source note and references</w:t>
      </w:r>
    </w:p>
    <w:p>
      <w:pPr/>
      <w:r>
        <w:rPr>
          <w:rFonts w:ascii="Calibri" w:hAnsi="Calibri"/>
        </w:rPr>
        <w:t>This PRD was derived from the supplied VaaniLive concept brief, renamed to Prastuti, and revised for a plan-free prepaid credit model plus an all-TypeScript, serverless-first application stack targeting scale-to-zero compute. Competitive, provider, and research references below are discovery inputs and should be independently validated before procurement or public claims.</w:t>
      </w:r>
    </w:p>
    <w:p>
      <w:pPr>
        <w:spacing w:after="120"/>
      </w:pPr>
      <w:hyperlink r:id="rId11">
        <w:r>
          <w:rPr>
            <w:rFonts w:ascii="Calibri" w:hAnsi="Calibri"/>
            <w:color w:val="2E74B5"/>
            <w:u w:val="single"/>
          </w:rPr>
          <w:t>Wordly</w:t>
        </w:r>
      </w:hyperlink>
      <w:r>
        <w:rPr>
          <w:rFonts w:ascii="Calibri" w:hAnsi="Calibri"/>
          <w:color w:val="1F2937"/>
          <w:sz w:val="20"/>
        </w:rPr>
        <w:t xml:space="preserve"> — Reference workflow for browser/QR-based event translation and captions.</w:t>
      </w:r>
    </w:p>
    <w:p>
      <w:pPr>
        <w:spacing w:after="120"/>
      </w:pPr>
      <w:hyperlink r:id="rId12">
        <w:r>
          <w:rPr>
            <w:rFonts w:ascii="Calibri" w:hAnsi="Calibri"/>
            <w:color w:val="2E74B5"/>
            <w:u w:val="single"/>
          </w:rPr>
          <w:t>Microsoft Speech translation overview</w:t>
        </w:r>
      </w:hyperlink>
      <w:r>
        <w:rPr>
          <w:rFonts w:ascii="Calibri" w:hAnsi="Calibri"/>
          <w:color w:val="1F2937"/>
          <w:sz w:val="20"/>
        </w:rPr>
        <w:t xml:space="preserve"> — Provider capability reference for real-time speech translation.</w:t>
      </w:r>
    </w:p>
    <w:p>
      <w:pPr>
        <w:spacing w:after="120"/>
      </w:pPr>
      <w:hyperlink r:id="rId13">
        <w:r>
          <w:rPr>
            <w:rFonts w:ascii="Calibri" w:hAnsi="Calibri"/>
            <w:color w:val="2E74B5"/>
            <w:u w:val="single"/>
          </w:rPr>
          <w:t>Multilingual Simultaneous Speech Translation</w:t>
        </w:r>
      </w:hyperlink>
      <w:r>
        <w:rPr>
          <w:rFonts w:ascii="Calibri" w:hAnsi="Calibri"/>
          <w:color w:val="1F2937"/>
          <w:sz w:val="20"/>
        </w:rPr>
        <w:t xml:space="preserve"> — Research reference for the quality-versus-latency trade-off.</w:t>
      </w:r>
    </w:p>
    <w:p>
      <w:pPr>
        <w:spacing w:after="120"/>
      </w:pPr>
      <w:hyperlink r:id="rId14">
        <w:r>
          <w:rPr>
            <w:rFonts w:ascii="Calibri" w:hAnsi="Calibri"/>
            <w:color w:val="2E74B5"/>
            <w:u w:val="single"/>
          </w:rPr>
          <w:t>Vercel Functions</w:t>
        </w:r>
      </w:hyperlink>
      <w:r>
        <w:rPr>
          <w:rFonts w:ascii="Calibri" w:hAnsi="Calibri"/>
          <w:color w:val="1F2937"/>
          <w:sz w:val="20"/>
        </w:rPr>
        <w:t xml:space="preserve"> — Serverless TypeScript compute, streaming, scaling, and runtime constraints.</w:t>
      </w:r>
    </w:p>
    <w:p>
      <w:pPr>
        <w:spacing w:after="120"/>
      </w:pPr>
      <w:hyperlink r:id="rId15">
        <w:r>
          <w:rPr>
            <w:rFonts w:ascii="Calibri" w:hAnsi="Calibri"/>
            <w:color w:val="2E74B5"/>
            <w:u w:val="single"/>
          </w:rPr>
          <w:t>Neon scale to zero</w:t>
        </w:r>
      </w:hyperlink>
      <w:r>
        <w:rPr>
          <w:rFonts w:ascii="Calibri" w:hAnsi="Calibri"/>
          <w:color w:val="1F2937"/>
          <w:sz w:val="20"/>
        </w:rPr>
        <w:t xml:space="preserve"> — Serverless PostgreSQL compute suspension and wake-up behavior.</w:t>
      </w:r>
    </w:p>
    <w:p>
      <w:pPr>
        <w:spacing w:after="120"/>
      </w:pPr>
      <w:hyperlink r:id="rId16">
        <w:r>
          <w:rPr>
            <w:rFonts w:ascii="Calibri" w:hAnsi="Calibri"/>
            <w:color w:val="2E74B5"/>
            <w:u w:val="single"/>
          </w:rPr>
          <w:t>Upstash Redis</w:t>
        </w:r>
      </w:hyperlink>
      <w:r>
        <w:rPr>
          <w:rFonts w:ascii="Calibri" w:hAnsi="Calibri"/>
          <w:color w:val="1F2937"/>
          <w:sz w:val="20"/>
        </w:rPr>
        <w:t xml:space="preserve"> — Request-based serverless Redis for ephemeral coordination.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8"/>
      </w:rPr>
      <w:t xml:space="preserve">Internal working draft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B6573"/>
        <w:sz w:val="17"/>
      </w:rPr>
      <w:t>PRASTUTI</w:t>
    </w:r>
    <w:r>
      <w:rPr>
        <w:rFonts w:ascii="Calibri" w:hAnsi="Calibri"/>
        <w:color w:val="5B6573"/>
        <w:sz w:val="17"/>
      </w:rPr>
      <w:tab/>
      <w:t>Product Requirements Document • Draft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42">
    <w:multiLevelType w:val="singleLevel"/>
    <w:lvl w:ilvl="0">
      <w:start w:val="1"/>
      <w:numFmt w:val="decimal"/>
      <w:lvlText w:val="%1."/>
      <w:lvlJc w:val="left"/>
      <w:pPr>
        <w:tabs>
          <w:tab w:val="num" w:pos="720"/>
        </w:tabs>
        <w:ind w:left="720" w:hanging="360"/>
        <w:spacing w:after="160" w:line="280" w:lineRule="auto"/>
      </w:pPr>
    </w:lvl>
  </w:abstractNum>
  <w:num w:numId="10">
    <w:abstractNumId w:val="41"/>
    <w:lvlOverride w:ilvl="0">
      <w:startOverride w:val="1"/>
    </w:lvlOverride>
  </w:num>
  <w:num w:numId="11">
    <w:abstractNumId w:val="42"/>
    <w:lvlOverride w:ilvl="0">
      <w:startOverride w:val="1"/>
    </w:lvlOverride>
  </w:num>
  <w:num w:numId="12">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ordly.ai/" TargetMode="External"/><Relationship Id="rId12" Type="http://schemas.openxmlformats.org/officeDocument/2006/relationships/hyperlink" Target="https://learn.microsoft.com/en-us/azure/ai-services/speech-service/speech-translation" TargetMode="External"/><Relationship Id="rId13" Type="http://schemas.openxmlformats.org/officeDocument/2006/relationships/hyperlink" Target="https://arxiv.org/abs/2203.14835" TargetMode="External"/><Relationship Id="rId14" Type="http://schemas.openxmlformats.org/officeDocument/2006/relationships/hyperlink" Target="https://vercel.com/docs/functions" TargetMode="External"/><Relationship Id="rId15" Type="http://schemas.openxmlformats.org/officeDocument/2006/relationships/hyperlink" Target="https://neon.com/docs/introduction/scale-to-zero" TargetMode="External"/><Relationship Id="rId16" Type="http://schemas.openxmlformats.org/officeDocument/2006/relationships/hyperlink" Target="https://upstash.com/docs/redis/help/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Prastuti Product Requirements Document</dc:title>
  <dc:subject>India-first real-time presentation and classroom translation</dc:subject>
  <dc:creator>Product &amp; Engineering</dc:creator>
  <cp:keywords>Prastuti, PRD, live translation, prepaid credits, TypeScript, Indian languages, classroom</cp:keywords>
  <dc:description>Draft v1.2 revised for serverless scale-to-zero architecture.</dc:description>
  <cp:lastModifiedBy/>
  <cp:revision>1</cp:revision>
  <dcterms:created xsi:type="dcterms:W3CDTF">2013-12-23T23:15:00Z</dcterms:created>
  <dcterms:modified xsi:type="dcterms:W3CDTF">2013-12-23T23:15:00Z</dcterms:modified>
  <cp:category/>
</cp:coreProperties>
</file>