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1a4kesxwone" w:id="0"/>
      <w:bookmarkEnd w:id="0"/>
      <w:r w:rsidDel="00000000" w:rsidR="00000000" w:rsidRPr="00000000">
        <w:rPr>
          <w:rtl w:val="0"/>
        </w:rPr>
        <w:t xml:space="preserve">Interview Prep &amp; Q&amp;A: Integrated-Resort Data Platform Defense</w:t>
      </w:r>
    </w:p>
    <w:p w:rsidR="00000000" w:rsidDel="00000000" w:rsidP="00000000" w:rsidRDefault="00000000" w:rsidRPr="00000000" w14:paraId="00000002">
      <w:pPr>
        <w:pStyle w:val="Heading1"/>
        <w:rPr/>
      </w:pPr>
      <w:bookmarkStart w:colFirst="0" w:colLast="0" w:name="_hpwtq4ybxnwj" w:id="1"/>
      <w:bookmarkEnd w:id="1"/>
      <w:r w:rsidDel="00000000" w:rsidR="00000000" w:rsidRPr="00000000">
        <w:rPr>
          <w:rtl w:val="0"/>
        </w:rPr>
        <w:t xml:space="preserve">1. The "Elevator Pitch"</w:t>
      </w:r>
    </w:p>
    <w:p w:rsidR="00000000" w:rsidDel="00000000" w:rsidP="00000000" w:rsidRDefault="00000000" w:rsidRPr="00000000" w14:paraId="00000003">
      <w:pPr>
        <w:rPr/>
      </w:pPr>
      <w:r w:rsidDel="00000000" w:rsidR="00000000" w:rsidRPr="00000000">
        <w:rPr>
          <w:b w:val="1"/>
          <w:bCs w:val="1"/>
          <w:rtl w:val="0"/>
        </w:rPr>
        <w:t xml:space="preserve">Your core stance if asked to summarize your review:</w:t>
      </w:r>
      <w:r w:rsidDel="00000000" w:rsidR="00000000" w:rsidRPr="00000000">
        <w:rPr>
          <w:rtl w:val="0"/>
        </w:rPr>
        <w:t xml:space="preserve">"The v0.1 draft captures the business requirements well, but the physical implementation creates technical debt. My architectural philosophy is to protect the pipeline. We do this by keeping Bronze strictly append-only for perfect lineage, conforming and testing all logic centrally in Silver, and exposing reusable, self-serve dimensions and facts in Gold. This prevents metric drift, eliminates double-counting, and makes the architecture scale."</w:t>
      </w:r>
    </w:p>
    <w:p w:rsidR="00000000" w:rsidDel="00000000" w:rsidP="00000000" w:rsidRDefault="00000000" w:rsidRPr="00000000" w14:paraId="00000004">
      <w:pPr>
        <w:pStyle w:val="Heading1"/>
        <w:rPr/>
      </w:pPr>
      <w:bookmarkStart w:colFirst="0" w:colLast="0" w:name="_1i38s9i385on" w:id="2"/>
      <w:bookmarkEnd w:id="2"/>
      <w:r w:rsidDel="00000000" w:rsidR="00000000" w:rsidRPr="00000000">
        <w:rPr>
          <w:rtl w:val="0"/>
        </w:rPr>
        <w:t xml:space="preserve">2. Anticipated Questions &amp; Strong Answers</w:t>
      </w:r>
    </w:p>
    <w:p w:rsidR="00000000" w:rsidDel="00000000" w:rsidP="00000000" w:rsidRDefault="00000000" w:rsidRPr="00000000" w14:paraId="00000005">
      <w:pPr>
        <w:pStyle w:val="Heading2"/>
        <w:rPr/>
      </w:pPr>
      <w:bookmarkStart w:colFirst="0" w:colLast="0" w:name="_j9gpdei49wyq" w:id="3"/>
      <w:bookmarkEnd w:id="3"/>
      <w:r w:rsidDel="00000000" w:rsidR="00000000" w:rsidRPr="00000000">
        <w:rPr>
          <w:rtl w:val="0"/>
        </w:rPr>
        <w:t xml:space="preserve">Q1: Why are you so strict about keeping transformations out of the Bronze layer?</w:t>
      </w:r>
    </w:p>
    <w:p w:rsidR="00000000" w:rsidDel="00000000" w:rsidP="00000000" w:rsidRDefault="00000000" w:rsidRPr="00000000" w14:paraId="00000006">
      <w:pPr>
        <w:rPr/>
      </w:pPr>
      <w:r w:rsidDel="00000000" w:rsidR="00000000" w:rsidRPr="00000000">
        <w:rPr>
          <w:b w:val="1"/>
          <w:bCs w:val="1"/>
          <w:rtl w:val="0"/>
        </w:rPr>
        <w:t xml:space="preserve">The Trap:</w:t>
      </w:r>
      <w:r w:rsidDel="00000000" w:rsidR="00000000" w:rsidRPr="00000000">
        <w:rPr>
          <w:rtl w:val="0"/>
        </w:rPr>
        <w:t xml:space="preserve"> They might argue that calculating </w:t>
      </w:r>
      <w:r w:rsidDel="00000000" w:rsidR="00000000" w:rsidRPr="00000000">
        <w:rPr>
          <w:rFonts w:ascii="Roboto Mono" w:cs="Roboto Mono" w:eastAsia="Roboto Mono" w:hAnsi="Roboto Mono"/>
          <w:color w:val="188038"/>
          <w:rtl w:val="0"/>
        </w:rPr>
        <w:t xml:space="preserve">theo_amount</w:t>
      </w:r>
      <w:r w:rsidDel="00000000" w:rsidR="00000000" w:rsidRPr="00000000">
        <w:rPr>
          <w:rtl w:val="0"/>
        </w:rPr>
        <w:t xml:space="preserve"> early saves compute downstream.</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Your Answer:</w:t>
      </w:r>
      <w:r w:rsidDel="00000000" w:rsidR="00000000" w:rsidRPr="00000000">
        <w:rPr>
          <w:rtl w:val="0"/>
        </w:rPr>
        <w:t xml:space="preserve"> "It ruins data lineage and historical replayability. Bronze must be an immutable audit trail. If the business changes the 'house edge' formula next year, we need the pristine, untouched coin_in data in Bronze to recalculate everything downstream. If we hardcode calculations at ingestion, a single schema change from the CMS vendor will break our ingestion pipeline and stall the whole platform."</w:t>
      </w:r>
    </w:p>
    <w:p w:rsidR="00000000" w:rsidDel="00000000" w:rsidP="00000000" w:rsidRDefault="00000000" w:rsidRPr="00000000" w14:paraId="00000009">
      <w:pPr>
        <w:pStyle w:val="Heading2"/>
        <w:rPr/>
      </w:pPr>
      <w:bookmarkStart w:colFirst="0" w:colLast="0" w:name="_kdypffhb1qe6" w:id="4"/>
      <w:bookmarkEnd w:id="4"/>
      <w:r w:rsidDel="00000000" w:rsidR="00000000" w:rsidRPr="00000000">
        <w:rPr>
          <w:rtl w:val="0"/>
        </w:rPr>
        <w:t xml:space="preserve">Q2: You recommended splitting fact_play into two tables. Why?</w:t>
      </w:r>
    </w:p>
    <w:p w:rsidR="00000000" w:rsidDel="00000000" w:rsidP="00000000" w:rsidRDefault="00000000" w:rsidRPr="00000000" w14:paraId="0000000A">
      <w:pPr>
        <w:rPr/>
      </w:pPr>
      <w:r w:rsidDel="00000000" w:rsidR="00000000" w:rsidRPr="00000000">
        <w:rPr>
          <w:rtl w:val="0"/>
        </w:rPr>
        <w:t xml:space="preserve">The Trap: They might say using a record_type flag keeps the table count low.</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Your Answer: "Mixing grains in a single fact table creates a 'fan-out trap'. If a BI analyst forgets to add </w:t>
      </w:r>
      <w:r w:rsidDel="00000000" w:rsidR="00000000" w:rsidRPr="00000000">
        <w:rPr>
          <w:rFonts w:ascii="Roboto Mono" w:cs="Roboto Mono" w:eastAsia="Roboto Mono" w:hAnsi="Roboto Mono"/>
          <w:color w:val="188038"/>
          <w:rtl w:val="0"/>
        </w:rPr>
        <w:t xml:space="preserve">WHERE record_type = 'daily_summary'</w:t>
      </w:r>
      <w:r w:rsidDel="00000000" w:rsidR="00000000" w:rsidRPr="00000000">
        <w:rPr>
          <w:rtl w:val="0"/>
        </w:rPr>
        <w:t xml:space="preserve">, they will double-count revenue. By separating the transactional grain (fct_rating) from the periodic snapshot grain (mart_player_daily_summary), we make the data intuitive and safe for self-service analytics."</w:t>
      </w:r>
    </w:p>
    <w:p w:rsidR="00000000" w:rsidDel="00000000" w:rsidP="00000000" w:rsidRDefault="00000000" w:rsidRPr="00000000" w14:paraId="0000000D">
      <w:pPr>
        <w:pStyle w:val="Heading2"/>
        <w:rPr/>
      </w:pPr>
      <w:bookmarkStart w:colFirst="0" w:colLast="0" w:name="_9w7ifjvgicch" w:id="5"/>
      <w:bookmarkEnd w:id="5"/>
      <w:r w:rsidDel="00000000" w:rsidR="00000000" w:rsidRPr="00000000">
        <w:rPr>
          <w:rtl w:val="0"/>
        </w:rPr>
        <w:t xml:space="preserve">Q3: How do we actually implement the SCD Type 2 for the player tier?</w:t>
      </w:r>
    </w:p>
    <w:p w:rsidR="00000000" w:rsidDel="00000000" w:rsidP="00000000" w:rsidRDefault="00000000" w:rsidRPr="00000000" w14:paraId="0000000E">
      <w:pPr>
        <w:rPr/>
      </w:pPr>
      <w:r w:rsidDel="00000000" w:rsidR="00000000" w:rsidRPr="00000000">
        <w:rPr>
          <w:b w:val="1"/>
          <w:bCs w:val="1"/>
          <w:rtl w:val="0"/>
        </w:rPr>
        <w:t xml:space="preserve">Your Answer:</w:t>
      </w:r>
      <w:r w:rsidDel="00000000" w:rsidR="00000000" w:rsidRPr="00000000">
        <w:rPr>
          <w:rtl w:val="0"/>
        </w:rPr>
        <w:t xml:space="preserve"> "In a modern data stack, we don't write complex merge statements by hand for this. We leverage dbt snapshots. We point the snapshot at our source table, define a unique key (member_no), and set a check_cols strategy on the tier column. dbt automatically handles the valid_from, valid_to, and dbt_valid_to IS NULL logic under the hood."</w:t>
      </w:r>
    </w:p>
    <w:p w:rsidR="00000000" w:rsidDel="00000000" w:rsidP="00000000" w:rsidRDefault="00000000" w:rsidRPr="00000000" w14:paraId="0000000F">
      <w:pPr>
        <w:pStyle w:val="Heading2"/>
        <w:rPr/>
      </w:pPr>
      <w:bookmarkStart w:colFirst="0" w:colLast="0" w:name="_oswb8s64bsml" w:id="6"/>
      <w:bookmarkEnd w:id="6"/>
      <w:r w:rsidDel="00000000" w:rsidR="00000000" w:rsidRPr="00000000">
        <w:rPr>
          <w:rtl w:val="0"/>
        </w:rPr>
        <w:t xml:space="preserve">Q4: Walk us through how you handle identity resolution (CMS vs Loyalty IDs).</w:t>
      </w:r>
    </w:p>
    <w:p w:rsidR="00000000" w:rsidDel="00000000" w:rsidP="00000000" w:rsidRDefault="00000000" w:rsidRPr="00000000" w14:paraId="00000010">
      <w:pPr>
        <w:rPr/>
      </w:pPr>
      <w:r w:rsidDel="00000000" w:rsidR="00000000" w:rsidRPr="00000000">
        <w:rPr>
          <w:rtl w:val="0"/>
        </w:rPr>
        <w:t xml:space="preserve">Your Answer: "I explicitly pull this out of the final dimension model into an intermediate model (int_player_identity_map). It sits between staging and the Silver dimension. It joins the CMS and Loyalty tables on deterministic PII (like Name + DOB), deduplicates them, and generates a surrogate key (</w:t>
      </w:r>
      <w:r w:rsidDel="00000000" w:rsidR="00000000" w:rsidRPr="00000000">
        <w:rPr>
          <w:rFonts w:ascii="Roboto Mono" w:cs="Roboto Mono" w:eastAsia="Roboto Mono" w:hAnsi="Roboto Mono"/>
          <w:color w:val="188038"/>
          <w:rtl w:val="0"/>
        </w:rPr>
        <w:t xml:space="preserve">sk_player_id</w:t>
      </w:r>
      <w:r w:rsidDel="00000000" w:rsidR="00000000" w:rsidRPr="00000000">
        <w:rPr>
          <w:rtl w:val="0"/>
        </w:rPr>
        <w:t xml:space="preserve">) using dbt_utils.generate_surrogate_key. This modularizes the DAG and centralizes identity resolution to prevent metric drift."</w:t>
      </w:r>
    </w:p>
    <w:p w:rsidR="00000000" w:rsidDel="00000000" w:rsidP="00000000" w:rsidRDefault="00000000" w:rsidRPr="00000000" w14:paraId="00000011">
      <w:pPr>
        <w:pStyle w:val="Heading2"/>
        <w:rPr/>
      </w:pPr>
      <w:bookmarkStart w:colFirst="0" w:colLast="0" w:name="_tzvtvurc1kbz" w:id="7"/>
      <w:bookmarkEnd w:id="7"/>
      <w:r w:rsidDel="00000000" w:rsidR="00000000" w:rsidRPr="00000000">
        <w:rPr>
          <w:rtl w:val="0"/>
        </w:rPr>
        <w:t xml:space="preserve">Q5: Why shouldn't we build Gold tables that directly mirror our dashboards?</w:t>
      </w:r>
    </w:p>
    <w:p w:rsidR="00000000" w:rsidDel="00000000" w:rsidP="00000000" w:rsidRDefault="00000000" w:rsidRPr="00000000" w14:paraId="00000012">
      <w:pPr>
        <w:rPr/>
      </w:pPr>
      <w:r w:rsidDel="00000000" w:rsidR="00000000" w:rsidRPr="00000000">
        <w:rPr>
          <w:b w:val="1"/>
          <w:bCs w:val="1"/>
          <w:rtl w:val="0"/>
        </w:rPr>
        <w:t xml:space="preserve">The Trap:</w:t>
      </w:r>
      <w:r w:rsidDel="00000000" w:rsidR="00000000" w:rsidRPr="00000000">
        <w:rPr>
          <w:rtl w:val="0"/>
        </w:rPr>
        <w:t xml:space="preserve"> The junior engineer built </w:t>
      </w:r>
      <w:r w:rsidDel="00000000" w:rsidR="00000000" w:rsidRPr="00000000">
        <w:rPr>
          <w:rFonts w:ascii="Roboto Mono" w:cs="Roboto Mono" w:eastAsia="Roboto Mono" w:hAnsi="Roboto Mono"/>
          <w:color w:val="188038"/>
          <w:rtl w:val="0"/>
        </w:rPr>
        <w:t xml:space="preserve">gold.exec_daily_dashboard</w:t>
      </w:r>
      <w:r w:rsidDel="00000000" w:rsidR="00000000" w:rsidRPr="00000000">
        <w:rPr>
          <w:rtl w:val="0"/>
        </w:rPr>
        <w:t xml:space="preserve"> specifically for the executive view.</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Your Answer:</w:t>
      </w:r>
      <w:r w:rsidDel="00000000" w:rsidR="00000000" w:rsidRPr="00000000">
        <w:rPr>
          <w:rtl w:val="0"/>
        </w:rPr>
        <w:t xml:space="preserve"> "Coupling data models to specific visual layouts makes the architecture brittle. Dashboards change weekly. If we build 'One-Big-Tables' (OBTs) based on the business process (e.g., mart_gaming_daily), a single mart can power twenty different dashboards. We should let the BI tool handle the final pivot and time-intelligence (MTD/YTD) calculations."</w:t>
      </w:r>
    </w:p>
    <w:p w:rsidR="00000000" w:rsidDel="00000000" w:rsidP="00000000" w:rsidRDefault="00000000" w:rsidRPr="00000000" w14:paraId="00000015">
      <w:pPr>
        <w:pStyle w:val="Heading2"/>
        <w:rPr/>
      </w:pPr>
      <w:bookmarkStart w:colFirst="0" w:colLast="0" w:name="_p3k5otmorrnb" w:id="8"/>
      <w:bookmarkEnd w:id="8"/>
      <w:r w:rsidDel="00000000" w:rsidR="00000000" w:rsidRPr="00000000">
        <w:rPr>
          <w:rtl w:val="0"/>
        </w:rPr>
        <w:t xml:space="preserve">Q6: How do you guarantee the Gold layer won't break if upstream data is bad?</w:t>
      </w:r>
    </w:p>
    <w:p w:rsidR="00000000" w:rsidDel="00000000" w:rsidP="00000000" w:rsidRDefault="00000000" w:rsidRPr="00000000" w14:paraId="00000016">
      <w:pPr>
        <w:rPr/>
      </w:pPr>
      <w:r w:rsidDel="00000000" w:rsidR="00000000" w:rsidRPr="00000000">
        <w:rPr>
          <w:b w:val="1"/>
          <w:bCs w:val="1"/>
          <w:rtl w:val="0"/>
        </w:rPr>
        <w:t xml:space="preserve">Your Answer:</w:t>
      </w:r>
      <w:r w:rsidDel="00000000" w:rsidR="00000000" w:rsidRPr="00000000">
        <w:rPr>
          <w:rtl w:val="0"/>
        </w:rPr>
        <w:t xml:space="preserve"> "Defensive testing. We place strict dbt test assertions—like not_null, unique, and accepted_values—on the Silver layer. Because dbt runs in dependency order, if bad data enters the system and corrupts Silver, the pipeline will fail </w:t>
      </w:r>
      <w:r w:rsidDel="00000000" w:rsidR="00000000" w:rsidRPr="00000000">
        <w:rPr>
          <w:i w:val="1"/>
          <w:iCs w:val="1"/>
          <w:rtl w:val="0"/>
        </w:rPr>
        <w:t xml:space="preserve">before</w:t>
      </w:r>
      <w:r w:rsidDel="00000000" w:rsidR="00000000" w:rsidRPr="00000000">
        <w:rPr>
          <w:rtl w:val="0"/>
        </w:rPr>
        <w:t xml:space="preserve"> it builds Gold. This circuit-breaker ensures executives never look at a broken dashboard."</w:t>
      </w:r>
    </w:p>
    <w:p w:rsidR="00000000" w:rsidDel="00000000" w:rsidP="00000000" w:rsidRDefault="00000000" w:rsidRPr="00000000" w14:paraId="00000017">
      <w:pPr>
        <w:pStyle w:val="Heading1"/>
        <w:rPr/>
      </w:pPr>
      <w:bookmarkStart w:colFirst="0" w:colLast="0" w:name="_ycq80af4x9jj" w:id="9"/>
      <w:bookmarkEnd w:id="9"/>
      <w:r w:rsidDel="00000000" w:rsidR="00000000" w:rsidRPr="00000000">
        <w:rPr>
          <w:rtl w:val="0"/>
        </w:rPr>
        <w:t xml:space="preserve">3. Key Terminology to Drop in the Interview</w:t>
      </w:r>
    </w:p>
    <w:tbl>
      <w:tblPr>
        <w:tblStyle w:val="Table1"/>
        <w:tblW w:w="100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Term</w:t>
            </w:r>
          </w:p>
        </w:tc>
        <w:tc>
          <w:tcPr/>
          <w:p w:rsidR="00000000" w:rsidDel="00000000" w:rsidP="00000000" w:rsidRDefault="00000000" w:rsidRPr="00000000" w14:paraId="00000019">
            <w:pPr>
              <w:rPr/>
            </w:pPr>
            <w:r w:rsidDel="00000000" w:rsidR="00000000" w:rsidRPr="00000000">
              <w:rPr>
                <w:rtl w:val="0"/>
              </w:rPr>
              <w:t xml:space="preserve">Strategic Definition &amp; Context</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Fan-Out Trap</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What happens when grains are mixed and joins cause unintended row duplication.</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Metric Drift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When the same metric (</w:t>
            </w:r>
            <w:r w:rsidDel="00000000" w:rsidR="00000000" w:rsidRPr="00000000">
              <w:rPr>
                <w:rFonts w:ascii="Roboto Mono" w:cs="Roboto Mono" w:eastAsia="Roboto Mono" w:hAnsi="Roboto Mono"/>
                <w:color w:val="188038"/>
                <w:rtl w:val="0"/>
              </w:rPr>
              <w:t xml:space="preserve">theo</w:t>
            </w:r>
            <w:r w:rsidDel="00000000" w:rsidR="00000000" w:rsidRPr="00000000">
              <w:rPr>
                <w:rtl w:val="0"/>
              </w:rPr>
              <w:t xml:space="preserve">) shows different numbers across reports due to distributed logic.</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Idempotent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Models can be executed repeatedly without modifying state beyond the targeted result.</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DRY Principle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"Don't Repeat Yourself"—ensuring calculations like </w:t>
            </w:r>
            <w:r w:rsidDel="00000000" w:rsidR="00000000" w:rsidRPr="00000000">
              <w:rPr>
                <w:rFonts w:ascii="Roboto Mono" w:cs="Roboto Mono" w:eastAsia="Roboto Mono" w:hAnsi="Roboto Mono"/>
                <w:color w:val="188038"/>
                <w:rtl w:val="0"/>
              </w:rPr>
              <w:t xml:space="preserve">theo</w:t>
            </w:r>
            <w:r w:rsidDel="00000000" w:rsidR="00000000" w:rsidRPr="00000000">
              <w:rPr>
                <w:rtl w:val="0"/>
              </w:rPr>
              <w:t xml:space="preserve"> are computed strictly once in Silver.</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DAG Modularity</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Structuring dbt pipelines with intermediate (</w:t>
            </w:r>
            <w:r w:rsidDel="00000000" w:rsidR="00000000" w:rsidRPr="00000000">
              <w:rPr>
                <w:rFonts w:ascii="Roboto Mono" w:cs="Roboto Mono" w:eastAsia="Roboto Mono" w:hAnsi="Roboto Mono"/>
                <w:color w:val="188038"/>
                <w:rtl w:val="0"/>
              </w:rPr>
              <w:t xml:space="preserve">int_</w:t>
            </w:r>
            <w:r w:rsidDel="00000000" w:rsidR="00000000" w:rsidRPr="00000000">
              <w:rPr>
                <w:rtl w:val="0"/>
              </w:rPr>
              <w:t xml:space="preserve">) models to maintain clean data flow.</w:t>
            </w:r>
          </w:p>
        </w:tc>
      </w:tr>
    </w:tbl>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1"/>
        <w:szCs w:val="21"/>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0f172a"/>
      <w:sz w:val="23"/>
      <w:szCs w:val="23"/>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9"/>
        <w:szCs w:val="19"/>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