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4002B"/>
          <w:sz w:val="56"/>
          <w:szCs w:val="56"/>
        </w:rPr>
        <w:t xml:space="preserve">PokeCard PH</w:t>
      </w:r>
    </w:p>
    <w:p>
      <w:pPr>
        <w:spacing w:after="60"/>
      </w:pPr>
      <w:r>
        <w:rPr>
          <w:color w:val="555555"/>
          <w:sz w:val="32"/>
          <w:szCs w:val="32"/>
        </w:rPr>
        <w:t xml:space="preserve">Business Model — Updated</w:t>
      </w:r>
    </w:p>
    <w:p>
      <w:pPr>
        <w:spacing w:after="400"/>
      </w:pPr>
      <w:r>
        <w:rPr>
          <w:i/>
          <w:iCs/>
          <w:color w:val="888888"/>
          <w:sz w:val="20"/>
          <w:szCs w:val="20"/>
        </w:rPr>
        <w:t xml:space="preserve">Reflects subscription-only payment architecture and full current feature set</w:t>
      </w:r>
    </w:p>
    <w:p>
      <w:pPr>
        <w:pStyle w:val="Heading1"/>
        <w:spacing w:after="160" w:before="320"/>
      </w:pPr>
      <w:r>
        <w:t xml:space="preserve">1. Concept Overview</w:t>
      </w:r>
    </w:p>
    <w:p>
      <w:pPr>
        <w:spacing w:after="160"/>
      </w:pPr>
      <w:r>
        <w:t xml:space="preserve">PokeCard PH is a two-sided marketplace for Pokémon cards and related collectibles in the Philippines, connecting verified vendors (shops, resellers, individual collectors selling at volume) with buyers, through three transaction modes:</w:t>
      </w:r>
    </w:p>
    <w:p>
      <w:pPr>
        <w:pStyle w:val="ListParagraph"/>
        <w:numPr>
          <w:ilvl w:val="0"/>
          <w:numId w:val="2"/>
        </w:numPr>
        <w:spacing w:after="80"/>
      </w:pPr>
      <w:r>
        <w:t xml:space="preserve">Fixed-price sales — Buy Now listings, graded or non-graded</w:t>
      </w:r>
    </w:p>
    <w:p>
      <w:pPr>
        <w:pStyle w:val="ListParagraph"/>
        <w:numPr>
          <w:ilvl w:val="0"/>
          <w:numId w:val="2"/>
        </w:numPr>
        <w:spacing w:after="80"/>
      </w:pPr>
      <w:r>
        <w:t xml:space="preserve">Trades — card-for-card exchanges with in-app meetup coordination</w:t>
      </w:r>
    </w:p>
    <w:p>
      <w:pPr>
        <w:pStyle w:val="ListParagraph"/>
        <w:numPr>
          <w:ilvl w:val="0"/>
          <w:numId w:val="2"/>
        </w:numPr>
        <w:spacing w:after="80"/>
      </w:pPr>
      <w:r>
        <w:t xml:space="preserve">Auctions — bidding events for rare cards, sealed product, and signed/merch items</w:t>
      </w:r>
    </w:p>
    <w:p>
      <w:pPr>
        <w:spacing w:after="160"/>
      </w:pPr>
      <w:r>
        <w:t xml:space="preserve">The platform's core trust mechanism is vendor-declared condition (honest grading by the seller, not an AI score), backed by a two-tier condition scan every listing must include:</w:t>
      </w:r>
    </w:p>
    <w:p>
      <w:pPr>
        <w:pStyle w:val="ListParagraph"/>
        <w:numPr>
          <w:ilvl w:val="0"/>
          <w:numId w:val="2"/>
        </w:numPr>
        <w:spacing w:after="80"/>
      </w:pPr>
      <w:r>
        <w:t xml:space="preserve">Flat Scan (required to publish) — a single image (phone photo or flatbed/printer scan) wrapped onto a simple 3D card mesh. Shows shape and edge light response only; a visible disclaimer notes that surface detail such as scratches or whitening may not be captured.</w:t>
      </w:r>
    </w:p>
    <w:p>
      <w:pPr>
        <w:pStyle w:val="ListParagraph"/>
        <w:numPr>
          <w:ilvl w:val="0"/>
          <w:numId w:val="2"/>
        </w:numPr>
        <w:spacing w:after="80"/>
      </w:pPr>
      <w:r>
        <w:t xml:space="preserve">Full Condition Scan (optional upgrade) — guided multi-angle photometric capture producing a real interactive surface, earning the Platform Verified Condition badge.</w:t>
      </w:r>
    </w:p>
    <w:p>
      <w:pPr>
        <w:spacing w:after="160"/>
      </w:pPr>
      <w:r>
        <w:t xml:space="preserve">This keeps every listing honestly backed by some visual evidence without forcing every vendor to own specialized capture equipment, while still rewarding vendors who go further with stronger buyer trust and a real monetizable upgrade path.</w:t>
      </w:r>
    </w:p>
    <w:p>
      <w:pPr>
        <w:spacing w:after="160"/>
      </w:pPr>
      <w:r>
        <w:t xml:space="preserve">The brand identity centers on a red, black, and white Poké Ball mark, built around three values: Trust, Trade, and Passion.</w:t>
      </w:r>
    </w:p>
    <w:p>
      <w:pPr>
        <w:pStyle w:val="Heading1"/>
        <w:spacing w:after="160" w:before="320"/>
      </w:pPr>
      <w:r>
        <w:t xml:space="preserve">2. Core Services</w:t>
      </w:r>
    </w:p>
    <w:p>
      <w:pPr>
        <w:pStyle w:val="Heading2"/>
        <w:spacing w:after="120" w:before="240"/>
      </w:pPr>
      <w:r>
        <w:t xml:space="preserve">For Buyers</w:t>
      </w:r>
    </w:p>
    <w:p>
      <w:pPr>
        <w:pStyle w:val="ListParagraph"/>
        <w:numPr>
          <w:ilvl w:val="0"/>
          <w:numId w:val="2"/>
        </w:numPr>
        <w:spacing w:after="80"/>
      </w:pPr>
      <w:r>
        <w:t xml:space="preserve">Browse/search fixed-price, auction, and trade listings across all vendors</w:t>
      </w:r>
    </w:p>
    <w:p>
      <w:pPr>
        <w:pStyle w:val="ListParagraph"/>
        <w:numPr>
          <w:ilvl w:val="0"/>
          <w:numId w:val="2"/>
        </w:numPr>
        <w:spacing w:after="80"/>
      </w:pPr>
      <w:r>
        <w:t xml:space="preserve">Buyer Protection Guarantee on purchases (dispute support, item-not-as-described coverage)</w:t>
      </w:r>
    </w:p>
    <w:p>
      <w:pPr>
        <w:pStyle w:val="ListParagraph"/>
        <w:numPr>
          <w:ilvl w:val="0"/>
          <w:numId w:val="2"/>
        </w:numPr>
        <w:spacing w:after="80"/>
      </w:pPr>
      <w:r>
        <w:t xml:space="preserve">In-app trade builder and meetup coordination with verified vendors</w:t>
      </w:r>
    </w:p>
    <w:p>
      <w:pPr>
        <w:pStyle w:val="ListParagraph"/>
        <w:numPr>
          <w:ilvl w:val="0"/>
          <w:numId w:val="2"/>
        </w:numPr>
        <w:spacing w:after="80"/>
      </w:pPr>
      <w:r>
        <w:t xml:space="preserve">Interactive condition inspection (Flat Scan or full photometric scan viewer) before purchase</w:t>
      </w:r>
    </w:p>
    <w:p>
      <w:pPr>
        <w:pStyle w:val="ListParagraph"/>
        <w:numPr>
          <w:ilvl w:val="0"/>
          <w:numId w:val="2"/>
        </w:numPr>
        <w:spacing w:after="80"/>
      </w:pPr>
      <w:r>
        <w:t xml:space="preserve">Live auctions with proxy/max bidding and anti-snipe protection</w:t>
      </w:r>
    </w:p>
    <w:p>
      <w:pPr>
        <w:pStyle w:val="ListParagraph"/>
        <w:numPr>
          <w:ilvl w:val="0"/>
          <w:numId w:val="2"/>
        </w:numPr>
        <w:spacing w:after="80"/>
      </w:pPr>
      <w:r>
        <w:t xml:space="preserve">Weekly "Who's That Pokémon?" vendor-hosted giveaway events, accessible only via the Events tab</w:t>
      </w:r>
    </w:p>
    <w:p>
      <w:pPr>
        <w:pStyle w:val="ListParagraph"/>
        <w:numPr>
          <w:ilvl w:val="0"/>
          <w:numId w:val="2"/>
        </w:numPr>
        <w:spacing w:after="80"/>
      </w:pPr>
      <w:r>
        <w:t xml:space="preserve">News Feed — a dedicated tab surfacing upcoming Pokémon TCG conventions, community card-trade meetups, and organizer-submitted events happening across the Philippines</w:t>
      </w:r>
    </w:p>
    <w:p>
      <w:pPr>
        <w:pStyle w:val="ListParagraph"/>
        <w:numPr>
          <w:ilvl w:val="0"/>
          <w:numId w:val="2"/>
        </w:numPr>
        <w:spacing w:after="80"/>
      </w:pPr>
      <w:r>
        <w:t xml:space="preserve">In-app messaging with vendors and real-time notifications</w:t>
      </w:r>
    </w:p>
    <w:p>
      <w:pPr>
        <w:pStyle w:val="ListParagraph"/>
        <w:numPr>
          <w:ilvl w:val="0"/>
          <w:numId w:val="2"/>
        </w:numPr>
        <w:spacing w:after="80"/>
      </w:pPr>
      <w:r>
        <w:t xml:space="preserve">Order tracking, secure payment via card, GCash, Maya, or bank transfer, processed directly between buyer and vendor</w:t>
      </w:r>
    </w:p>
    <w:p>
      <w:pPr>
        <w:pStyle w:val="Heading2"/>
        <w:spacing w:after="120" w:before="240"/>
      </w:pPr>
      <w:r>
        <w:t xml:space="preserve">For Vendors</w:t>
      </w:r>
    </w:p>
    <w:p>
      <w:pPr>
        <w:pStyle w:val="ListParagraph"/>
        <w:numPr>
          <w:ilvl w:val="0"/>
          <w:numId w:val="2"/>
        </w:numPr>
        <w:spacing w:after="80"/>
      </w:pPr>
      <w:r>
        <w:t xml:space="preserve">Storefront with shop branding, ratings, and sales history</w:t>
      </w:r>
    </w:p>
    <w:p>
      <w:pPr>
        <w:pStyle w:val="ListParagraph"/>
        <w:numPr>
          <w:ilvl w:val="0"/>
          <w:numId w:val="2"/>
        </w:numPr>
        <w:spacing w:after="80"/>
      </w:pPr>
      <w:r>
        <w:t xml:space="preserve">Listing tools: fixed-price, auction, and trade-eligible listings</w:t>
      </w:r>
    </w:p>
    <w:p>
      <w:pPr>
        <w:pStyle w:val="ListParagraph"/>
        <w:numPr>
          <w:ilvl w:val="0"/>
          <w:numId w:val="2"/>
        </w:numPr>
        <w:spacing w:after="80"/>
      </w:pPr>
      <w:r>
        <w:t xml:space="preserve">Required Flat Scan on every listing, with an optional upgrade to full photometric condition scanning</w:t>
      </w:r>
    </w:p>
    <w:p>
      <w:pPr>
        <w:pStyle w:val="ListParagraph"/>
        <w:numPr>
          <w:ilvl w:val="0"/>
          <w:numId w:val="2"/>
        </w:numPr>
        <w:spacing w:after="80"/>
      </w:pPr>
      <w:r>
        <w:t xml:space="preserve">Order and trade management dashboard, plus tools to host auctions and weekly giveaway events</w:t>
      </w:r>
    </w:p>
    <w:p>
      <w:pPr>
        <w:pStyle w:val="ListParagraph"/>
        <w:numPr>
          <w:ilvl w:val="0"/>
          <w:numId w:val="2"/>
        </w:numPr>
        <w:spacing w:after="80"/>
      </w:pPr>
      <w:r>
        <w:t xml:space="preserve">Sales analytics and shop health scoring</w:t>
      </w:r>
    </w:p>
    <w:p>
      <w:pPr>
        <w:pStyle w:val="ListParagraph"/>
        <w:numPr>
          <w:ilvl w:val="0"/>
          <w:numId w:val="2"/>
        </w:numPr>
        <w:spacing w:after="80"/>
      </w:pPr>
      <w:r>
        <w:t xml:space="preserve">Tiered monthly billing that scales with performance, not flat per-seat cost, with a 60-day standard free trial or a time-boxed 3-month Founding Vendor beta trial</w:t>
      </w:r>
    </w:p>
    <w:p>
      <w:pPr>
        <w:pStyle w:val="Heading1"/>
        <w:spacing w:after="160" w:before="320"/>
      </w:pPr>
      <w:r>
        <w:t xml:space="preserve">3. End-to-End Service Flow</w:t>
      </w:r>
    </w:p>
    <w:p>
      <w:pPr>
        <w:pStyle w:val="Heading2"/>
        <w:spacing w:after="120" w:before="240"/>
      </w:pPr>
      <w:r>
        <w:t xml:space="preserve">Vendor side</w:t>
      </w:r>
    </w:p>
    <w:p>
      <w:pPr>
        <w:pStyle w:val="ListParagraph"/>
        <w:numPr>
          <w:ilvl w:val="0"/>
          <w:numId w:val="2"/>
        </w:numPr>
        <w:spacing w:after="80"/>
      </w:pPr>
      <w:r>
        <w:t xml:space="preserve">Sign up via Google → Vendor onboarding (verification) → Free trial period begins (standard 60-day, or Founding Vendor 3-month beta if registered within the beta window)</w:t>
      </w:r>
    </w:p>
    <w:p>
      <w:pPr>
        <w:pStyle w:val="ListParagraph"/>
        <w:numPr>
          <w:ilvl w:val="0"/>
          <w:numId w:val="2"/>
        </w:numPr>
        <w:spacing w:after="80"/>
      </w:pPr>
      <w:r>
        <w:t xml:space="preserve">Add listings (fixed-price / auction / trade-eligible)</w:t>
      </w:r>
    </w:p>
    <w:p>
      <w:pPr>
        <w:pStyle w:val="ListParagraph"/>
        <w:numPr>
          <w:ilvl w:val="0"/>
          <w:numId w:val="2"/>
        </w:numPr>
        <w:spacing w:after="80"/>
      </w:pPr>
      <w:r>
        <w:t xml:space="preserve">Required Flat Scan, optional full condition scan → Publish</w:t>
      </w:r>
    </w:p>
    <w:p>
      <w:pPr>
        <w:pStyle w:val="ListParagraph"/>
        <w:numPr>
          <w:ilvl w:val="0"/>
          <w:numId w:val="2"/>
        </w:numPr>
        <w:spacing w:after="80"/>
      </w:pPr>
      <w:r>
        <w:t xml:space="preserve">Receive order / bid / trade request → Fulfill (ship or meetup)</w:t>
      </w:r>
    </w:p>
    <w:p>
      <w:pPr>
        <w:pStyle w:val="ListParagraph"/>
        <w:numPr>
          <w:ilvl w:val="0"/>
          <w:numId w:val="2"/>
        </w:numPr>
        <w:spacing w:after="80"/>
      </w:pPr>
      <w:r>
        <w:t xml:space="preserve">Order completed → GMV logged → Monthly billing cycle applies (waived during free trial)</w:t>
      </w:r>
    </w:p>
    <w:p>
      <w:pPr>
        <w:pStyle w:val="Heading2"/>
        <w:spacing w:after="120" w:before="240"/>
      </w:pPr>
      <w:r>
        <w:t xml:space="preserve">Buyer side</w:t>
      </w:r>
    </w:p>
    <w:p>
      <w:pPr>
        <w:pStyle w:val="ListParagraph"/>
        <w:numPr>
          <w:ilvl w:val="0"/>
          <w:numId w:val="2"/>
        </w:numPr>
        <w:spacing w:after="80"/>
      </w:pPr>
      <w:r>
        <w:t xml:space="preserve">Browse/search → View listing (with condition scan always available, full-detail scan where upgraded)</w:t>
      </w:r>
    </w:p>
    <w:p>
      <w:pPr>
        <w:pStyle w:val="ListParagraph"/>
        <w:numPr>
          <w:ilvl w:val="0"/>
          <w:numId w:val="2"/>
        </w:numPr>
        <w:spacing w:after="80"/>
      </w:pPr>
      <w:r>
        <w:t xml:space="preserve">Buy Now / Place Bid / Propose Trade</w:t>
      </w:r>
    </w:p>
    <w:p>
      <w:pPr>
        <w:pStyle w:val="ListParagraph"/>
        <w:numPr>
          <w:ilvl w:val="0"/>
          <w:numId w:val="2"/>
        </w:numPr>
        <w:spacing w:after="80"/>
      </w:pPr>
      <w:r>
        <w:t xml:space="preserve">Checkout &amp; payment (fixed-price), or win auction, or agree trade — payment goes directly from buyer to vendor via Xendit checkout, or is settled in person for meetup trades</w:t>
      </w:r>
    </w:p>
    <w:p>
      <w:pPr>
        <w:pStyle w:val="ListParagraph"/>
        <w:numPr>
          <w:ilvl w:val="0"/>
          <w:numId w:val="2"/>
        </w:numPr>
        <w:spacing w:after="80"/>
      </w:pPr>
      <w:r>
        <w:t xml:space="preserve">Track order/meetup → Receive item → Confirm &amp; review</w:t>
      </w:r>
    </w:p>
    <w:p>
      <w:pPr>
        <w:pStyle w:val="Heading2"/>
        <w:spacing w:after="120" w:before="240"/>
      </w:pPr>
      <w:r>
        <w:t xml:space="preserve">Platform's role at each step</w:t>
      </w:r>
    </w:p>
    <w:p>
      <w:pPr>
        <w:pStyle w:val="ListParagraph"/>
        <w:numPr>
          <w:ilvl w:val="0"/>
          <w:numId w:val="2"/>
        </w:numPr>
        <w:spacing w:after="80"/>
      </w:pPr>
      <w:r>
        <w:t xml:space="preserve">Identity/shop verification at onboarding</w:t>
      </w:r>
    </w:p>
    <w:p>
      <w:pPr>
        <w:pStyle w:val="ListParagraph"/>
        <w:numPr>
          <w:ilvl w:val="0"/>
          <w:numId w:val="2"/>
        </w:numPr>
        <w:spacing w:after="80"/>
      </w:pPr>
      <w:r>
        <w:t xml:space="preserve">Facilitating checkout via Xendit as a payment processor only — the platform never takes custody of buyer funds (see Section 4a, Payment Architecture)</w:t>
      </w:r>
    </w:p>
    <w:p>
      <w:pPr>
        <w:pStyle w:val="ListParagraph"/>
        <w:numPr>
          <w:ilvl w:val="0"/>
          <w:numId w:val="2"/>
        </w:numPr>
        <w:spacing w:after="80"/>
      </w:pPr>
      <w:r>
        <w:t xml:space="preserve">Neutral meetup-location suggestions and trade-plan tracking for trades</w:t>
      </w:r>
    </w:p>
    <w:p>
      <w:pPr>
        <w:pStyle w:val="ListParagraph"/>
        <w:numPr>
          <w:ilvl w:val="0"/>
          <w:numId w:val="2"/>
        </w:numPr>
        <w:spacing w:after="80"/>
      </w:pPr>
      <w:r>
        <w:t xml:space="preserve">Monthly GMV aggregation → tier-based billing → invoicing the vendor directly, as a separate transaction from any buyer payment</w:t>
      </w:r>
    </w:p>
    <w:p>
      <w:pPr>
        <w:pStyle w:val="ListParagraph"/>
        <w:numPr>
          <w:ilvl w:val="0"/>
          <w:numId w:val="2"/>
        </w:numPr>
        <w:spacing w:after="80"/>
      </w:pPr>
      <w:r>
        <w:t xml:space="preserve">Dispute mediation if a buyer reports item-not-as-described</w:t>
      </w:r>
    </w:p>
    <w:p>
      <w:pPr>
        <w:pStyle w:val="ListParagraph"/>
        <w:numPr>
          <w:ilvl w:val="0"/>
          <w:numId w:val="2"/>
        </w:numPr>
        <w:spacing w:after="80"/>
      </w:pPr>
      <w:r>
        <w:t xml:space="preserve">Curating and moderating News Feed event submissions</w:t>
      </w:r>
    </w:p>
    <w:p>
      <w:r>
        <w:br w:type="page"/>
      </w:r>
    </w:p>
    <w:p>
      <w:pPr>
        <w:pStyle w:val="Heading1"/>
        <w:spacing w:after="160" w:before="320"/>
      </w:pPr>
      <w:r>
        <w:t xml:space="preserve">4. Payment Architecture — Subscription-Only, No Held Funds</w:t>
      </w:r>
    </w:p>
    <w:p>
      <w:pPr>
        <w:pBdr>
          <w:left w:val="single" w:color="E4002B" w:sz="24"/>
        </w:pBdr>
        <w:shd w:fill="FDECEE" w:val="clear"/>
        <w:spacing w:after="240" w:before="160"/>
        <w:ind w:left="200"/>
      </w:pPr>
      <w:r>
        <w:rPr>
          <w:b/>
          <w:bCs/>
          <w:color w:val="7A1E00"/>
        </w:rPr>
        <w:t xml:space="preserve">Deliberate decision: the platform does not collect, hold, or split buyer payments on a vendor's behalf. This avoids triggering BSP money-service-business / e-money-issuer oversight, which would apply to a hold-then-disburse escrow pattern at real transaction volume.</w:t>
      </w:r>
    </w:p>
    <w:p>
      <w:pPr>
        <w:spacing w:after="160"/>
      </w:pPr>
      <w:r>
        <w:t xml:space="preserve">Two payment flows exist, and they are kept fully separate:</w:t>
      </w:r>
    </w:p>
    <w:p>
      <w:pPr>
        <w:pStyle w:val="ListParagraph"/>
        <w:numPr>
          <w:ilvl w:val="0"/>
          <w:numId w:val="2"/>
        </w:numPr>
        <w:spacing w:after="80"/>
      </w:pPr>
      <w:r>
        <w:t xml:space="preserve">Buyer → Vendor: for in-app checkout, Xendit processes the payment directly to the vendor's own linked account. For trades and in-person meetups, settlement happens outside the platform (cash, GCash, bank transfer) as arranged between buyer and vendor.</w:t>
      </w:r>
    </w:p>
    <w:p>
      <w:pPr>
        <w:pStyle w:val="ListParagraph"/>
        <w:numPr>
          <w:ilvl w:val="0"/>
          <w:numId w:val="2"/>
        </w:numPr>
        <w:spacing w:after="80"/>
      </w:pPr>
      <w:r>
        <w:t xml:space="preserve">Vendor → Platform: entirely separate, monthly, GMV-tiered subscription invoice via Xendit, billed directly to the vendor. This is the platform's only revenue collection point involving vendor money movement.</w:t>
      </w:r>
    </w:p>
    <w:p>
      <w:pPr>
        <w:spacing w:after="160"/>
      </w:pPr>
      <w:r>
        <w:t xml:space="preserve">This keeps PokeCard PH in a simple merchant-of-record-for-its-own-subscription-fees category rather than a funds-holding intermediary — a meaningfully lower regulatory bar, and the reason the tiered subscription model (Section 6) was chosen over a per-transaction take-rate in the first place.</w:t>
      </w:r>
    </w:p>
    <w:p>
      <w:pPr>
        <w:pStyle w:val="Heading1"/>
        <w:spacing w:after="160" w:before="320"/>
      </w:pPr>
      <w:r>
        <w:t xml:space="preserve">5. Revenue Streams</w:t>
      </w:r>
    </w:p>
    <w:p>
      <w:pPr>
        <w:spacing w:after="160"/>
      </w:pPr>
      <w:r>
        <w:t xml:space="preserve">Consolidated view of all monetization mechanisms, with rollout sequencing.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600"/>
      </w:tblGrid>
      <w:tr>
        <w:tc>
          <w:tcPr>
            <w:tcW w:type="dxa" w:w="2600"/>
            <w:shd w:fill="E4002B" w:val="clear"/>
            <w:tcMar>
              <w:top w:type="dxa" w:w="100"/>
              <w:left w:type="dxa" w:w="120"/>
              <w:bottom w:type="dxa" w:w="100"/>
              <w:right w:type="dxa" w:w="120"/>
            </w:tcMar>
          </w:tcPr>
          <w:p>
            <w:r>
              <w:rPr>
                <w:b/>
                <w:bCs/>
                <w:color w:val="FFFFFF"/>
                <w:sz w:val="20"/>
                <w:szCs w:val="20"/>
              </w:rPr>
              <w:t xml:space="preserve">Stream</w:t>
            </w:r>
          </w:p>
        </w:tc>
        <w:tc>
          <w:tcPr>
            <w:tcW w:type="dxa" w:w="3600"/>
            <w:shd w:fill="E4002B" w:val="clear"/>
            <w:tcMar>
              <w:top w:type="dxa" w:w="100"/>
              <w:left w:type="dxa" w:w="120"/>
              <w:bottom w:type="dxa" w:w="100"/>
              <w:right w:type="dxa" w:w="120"/>
            </w:tcMar>
          </w:tcPr>
          <w:p>
            <w:r>
              <w:rPr>
                <w:b/>
                <w:bCs/>
                <w:color w:val="FFFFFF"/>
                <w:sz w:val="20"/>
                <w:szCs w:val="20"/>
              </w:rPr>
              <w:t xml:space="preserve">Model</w:t>
            </w:r>
          </w:p>
        </w:tc>
        <w:tc>
          <w:tcPr>
            <w:tcW w:type="dxa" w:w="2600"/>
            <w:shd w:fill="E4002B" w:val="clear"/>
            <w:tcMar>
              <w:top w:type="dxa" w:w="100"/>
              <w:left w:type="dxa" w:w="120"/>
              <w:bottom w:type="dxa" w:w="100"/>
              <w:right w:type="dxa" w:w="120"/>
            </w:tcMar>
          </w:tcPr>
          <w:p>
            <w:r>
              <w:rPr>
                <w:b/>
                <w:bCs/>
                <w:color w:val="FFFFFF"/>
                <w:sz w:val="20"/>
                <w:szCs w:val="20"/>
              </w:rPr>
              <w:t xml:space="preserve">When it activates</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Vendor monthly subscription</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GMV-tiered flat fee + growth surcharge on fast-scaling months</w:t>
            </w:r>
          </w:p>
        </w:tc>
        <w:tc>
          <w:tcPr>
            <w:tcW w:type="dxa" w:w="2600"/>
            <w:shd w:fill="FFFFFF" w:val="clear"/>
            <w:tcMar>
              <w:top w:type="dxa" w:w="100"/>
              <w:left w:type="dxa" w:w="120"/>
              <w:bottom w:type="dxa" w:w="100"/>
              <w:right w:type="dxa" w:w="120"/>
            </w:tcMar>
          </w:tcPr>
          <w:p>
            <w:r>
              <w:rPr>
                <w:b w:val="false"/>
                <w:bCs w:val="false"/>
                <w:color w:val="000000"/>
                <w:sz w:val="20"/>
                <w:szCs w:val="20"/>
              </w:rPr>
              <w:t xml:space="preserve">After free trial ends</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Featured / boosted listings</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Vendor pays flat fee for placement in home grid / search top</w:t>
            </w:r>
          </w:p>
        </w:tc>
        <w:tc>
          <w:tcPr>
            <w:tcW w:type="dxa" w:w="2600"/>
            <w:shd w:fill="FFFFFF" w:val="clear"/>
            <w:tcMar>
              <w:top w:type="dxa" w:w="100"/>
              <w:left w:type="dxa" w:w="120"/>
              <w:bottom w:type="dxa" w:w="100"/>
              <w:right w:type="dxa" w:w="120"/>
            </w:tcMar>
          </w:tcPr>
          <w:p>
            <w:r>
              <w:rPr>
                <w:b w:val="false"/>
                <w:bCs w:val="false"/>
                <w:color w:val="000000"/>
                <w:sz w:val="20"/>
                <w:szCs w:val="20"/>
              </w:rPr>
              <w:t xml:space="preserve">Self-serve, anytime</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Auction listing fee</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Flat fee to start an auction (higher visibility than fixed listings)</w:t>
            </w:r>
          </w:p>
        </w:tc>
        <w:tc>
          <w:tcPr>
            <w:tcW w:type="dxa" w:w="2600"/>
            <w:shd w:fill="FFFFFF" w:val="clear"/>
            <w:tcMar>
              <w:top w:type="dxa" w:w="100"/>
              <w:left w:type="dxa" w:w="120"/>
              <w:bottom w:type="dxa" w:w="100"/>
              <w:right w:type="dxa" w:w="120"/>
            </w:tcMar>
          </w:tcPr>
          <w:p>
            <w:r>
              <w:rPr>
                <w:b w:val="false"/>
                <w:bCs w:val="false"/>
                <w:color w:val="000000"/>
                <w:sz w:val="20"/>
                <w:szCs w:val="20"/>
              </w:rPr>
              <w:t xml:space="preserve">Per auction created</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Verified / full condition scan fee</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Optional paid upgrade from Flat Scan to full photometric scan + verified badge</w:t>
            </w:r>
          </w:p>
        </w:tc>
        <w:tc>
          <w:tcPr>
            <w:tcW w:type="dxa" w:w="2600"/>
            <w:shd w:fill="FFFFFF" w:val="clear"/>
            <w:tcMar>
              <w:top w:type="dxa" w:w="100"/>
              <w:left w:type="dxa" w:w="120"/>
              <w:bottom w:type="dxa" w:w="100"/>
              <w:right w:type="dxa" w:w="120"/>
            </w:tcMar>
          </w:tcPr>
          <w:p>
            <w:r>
              <w:rPr>
                <w:b w:val="false"/>
                <w:bCs w:val="false"/>
                <w:color w:val="000000"/>
                <w:sz w:val="20"/>
                <w:szCs w:val="20"/>
              </w:rPr>
              <w:t xml:space="preserve">Per listing, opt-in</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Protected trade fee</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Small flat fee for using in-app meetup verification flow</w:t>
            </w:r>
          </w:p>
        </w:tc>
        <w:tc>
          <w:tcPr>
            <w:tcW w:type="dxa" w:w="2600"/>
            <w:shd w:fill="FFFFFF" w:val="clear"/>
            <w:tcMar>
              <w:top w:type="dxa" w:w="100"/>
              <w:left w:type="dxa" w:w="120"/>
              <w:bottom w:type="dxa" w:w="100"/>
              <w:right w:type="dxa" w:w="120"/>
            </w:tcMar>
          </w:tcPr>
          <w:p>
            <w:r>
              <w:rPr>
                <w:b w:val="false"/>
                <w:bCs w:val="false"/>
                <w:color w:val="000000"/>
                <w:sz w:val="20"/>
                <w:szCs w:val="20"/>
              </w:rPr>
              <w:t xml:space="preserve">Per trade, opt-in</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Buyer Pro subscription</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Price alerts, early access, saved searches, no ads</w:t>
            </w:r>
          </w:p>
        </w:tc>
        <w:tc>
          <w:tcPr>
            <w:tcW w:type="dxa" w:w="2600"/>
            <w:shd w:fill="FFFFFF" w:val="clear"/>
            <w:tcMar>
              <w:top w:type="dxa" w:w="100"/>
              <w:left w:type="dxa" w:w="120"/>
              <w:bottom w:type="dxa" w:w="100"/>
              <w:right w:type="dxa" w:w="120"/>
            </w:tcMar>
          </w:tcPr>
          <w:p>
            <w:r>
              <w:rPr>
                <w:b w:val="false"/>
                <w:bCs w:val="false"/>
                <w:color w:val="000000"/>
                <w:sz w:val="20"/>
                <w:szCs w:val="20"/>
              </w:rPr>
              <w:t xml:space="preserve">Buyer-side, opt-in</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News Feed sponsored listing</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Convention organizers / vendors pay to feature an event in the News Feed</w:t>
            </w:r>
          </w:p>
        </w:tc>
        <w:tc>
          <w:tcPr>
            <w:tcW w:type="dxa" w:w="2600"/>
            <w:shd w:fill="FFFFFF" w:val="clear"/>
            <w:tcMar>
              <w:top w:type="dxa" w:w="100"/>
              <w:left w:type="dxa" w:w="120"/>
              <w:bottom w:type="dxa" w:w="100"/>
              <w:right w:type="dxa" w:w="120"/>
            </w:tcMar>
          </w:tcPr>
          <w:p>
            <w:r>
              <w:rPr>
                <w:b w:val="false"/>
                <w:bCs w:val="false"/>
                <w:color w:val="000000"/>
                <w:sz w:val="20"/>
                <w:szCs w:val="20"/>
              </w:rPr>
              <w:t xml:space="preserve">Per event post, opt-in</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Sponsored search placement</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Vendors bid for ranking on specific card searches</w:t>
            </w:r>
          </w:p>
        </w:tc>
        <w:tc>
          <w:tcPr>
            <w:tcW w:type="dxa" w:w="2600"/>
            <w:shd w:fill="FFFFFF" w:val="clear"/>
            <w:tcMar>
              <w:top w:type="dxa" w:w="100"/>
              <w:left w:type="dxa" w:w="120"/>
              <w:bottom w:type="dxa" w:w="100"/>
              <w:right w:type="dxa" w:w="120"/>
            </w:tcMar>
          </w:tcPr>
          <w:p>
            <w:r>
              <w:rPr>
                <w:b w:val="false"/>
                <w:bCs w:val="false"/>
                <w:color w:val="000000"/>
                <w:sz w:val="20"/>
                <w:szCs w:val="20"/>
              </w:rPr>
              <w:t xml:space="preserve">Phase 2+ revenue lever</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Advertising</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Adjacent product ads (sleeves, toploaders, playmats)</w:t>
            </w:r>
          </w:p>
        </w:tc>
        <w:tc>
          <w:tcPr>
            <w:tcW w:type="dxa" w:w="2600"/>
            <w:shd w:fill="FFFFFF" w:val="clear"/>
            <w:tcMar>
              <w:top w:type="dxa" w:w="100"/>
              <w:left w:type="dxa" w:w="120"/>
              <w:bottom w:type="dxa" w:w="100"/>
              <w:right w:type="dxa" w:w="120"/>
            </w:tcMar>
          </w:tcPr>
          <w:p>
            <w:r>
              <w:rPr>
                <w:b w:val="false"/>
                <w:bCs w:val="false"/>
                <w:color w:val="000000"/>
                <w:sz w:val="20"/>
                <w:szCs w:val="20"/>
              </w:rPr>
              <w:t xml:space="preserve">Phase 2+</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BNPL referral cut</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Facilitation fee via BNPL partner on high-value items</w:t>
            </w:r>
          </w:p>
        </w:tc>
        <w:tc>
          <w:tcPr>
            <w:tcW w:type="dxa" w:w="2600"/>
            <w:shd w:fill="FFFFFF" w:val="clear"/>
            <w:tcMar>
              <w:top w:type="dxa" w:w="100"/>
              <w:left w:type="dxa" w:w="120"/>
              <w:bottom w:type="dxa" w:w="100"/>
              <w:right w:type="dxa" w:w="120"/>
            </w:tcMar>
          </w:tcPr>
          <w:p>
            <w:r>
              <w:rPr>
                <w:b w:val="false"/>
                <w:bCs w:val="false"/>
                <w:color w:val="000000"/>
                <w:sz w:val="20"/>
                <w:szCs w:val="20"/>
              </w:rPr>
              <w:t xml:space="preserve">Phase 3+</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Data / API access</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PH card pricing data sold to aggregators or collectors</w:t>
            </w:r>
          </w:p>
        </w:tc>
        <w:tc>
          <w:tcPr>
            <w:tcW w:type="dxa" w:w="2600"/>
            <w:shd w:fill="FFFFFF" w:val="clear"/>
            <w:tcMar>
              <w:top w:type="dxa" w:w="100"/>
              <w:left w:type="dxa" w:w="120"/>
              <w:bottom w:type="dxa" w:w="100"/>
              <w:right w:type="dxa" w:w="120"/>
            </w:tcMar>
          </w:tcPr>
          <w:p>
            <w:r>
              <w:rPr>
                <w:b w:val="false"/>
                <w:bCs w:val="false"/>
                <w:color w:val="000000"/>
                <w:sz w:val="20"/>
                <w:szCs w:val="20"/>
              </w:rPr>
              <w:t xml:space="preserve">Later stage, needs volume</w:t>
            </w:r>
          </w:p>
        </w:tc>
      </w:tr>
    </w:tbl>
    <w:p>
      <w:pPr>
        <w:spacing w:after="200"/>
      </w:pPr>
    </w:p>
    <w:p>
      <w:pPr>
        <w:spacing w:after="160"/>
      </w:pPr>
      <w:r>
        <w:t xml:space="preserve">Near-term priority order: subscription tiers → featured listings → verified full-scan upgrade fee → auction fees → News Feed sponsored listings → sponsored search.</w:t>
      </w:r>
    </w:p>
    <w:p>
      <w:pPr>
        <w:pStyle w:val="Heading1"/>
        <w:spacing w:after="160" w:before="320"/>
      </w:pPr>
      <w:r>
        <w:t xml:space="preserve">6. Vendor Onboarding Requirements</w:t>
      </w:r>
    </w:p>
    <w:p>
      <w:pPr>
        <w:pStyle w:val="Heading2"/>
        <w:spacing w:after="120" w:before="240"/>
      </w:pPr>
      <w:r>
        <w:t xml:space="preserve">Identity &amp; trust verification</w:t>
      </w:r>
    </w:p>
    <w:p>
      <w:pPr>
        <w:pStyle w:val="ListParagraph"/>
        <w:numPr>
          <w:ilvl w:val="0"/>
          <w:numId w:val="2"/>
        </w:numPr>
        <w:spacing w:after="80"/>
      </w:pPr>
      <w:r>
        <w:t xml:space="preserve">Valid government ID (individual sellers) or DTI/SEC registration (registered businesses) — required before a shop can publish listings</w:t>
      </w:r>
    </w:p>
    <w:p>
      <w:pPr>
        <w:pStyle w:val="ListParagraph"/>
        <w:numPr>
          <w:ilvl w:val="0"/>
          <w:numId w:val="2"/>
        </w:numPr>
        <w:spacing w:after="80"/>
      </w:pPr>
      <w:r>
        <w:t xml:space="preserve">Google Sign-In (primary) or email magic link (fallback) for account creation</w:t>
      </w:r>
    </w:p>
    <w:p>
      <w:pPr>
        <w:pStyle w:val="ListParagraph"/>
        <w:numPr>
          <w:ilvl w:val="0"/>
          <w:numId w:val="2"/>
        </w:numPr>
        <w:spacing w:after="80"/>
      </w:pPr>
      <w:r>
        <w:t xml:space="preserve">Linked payout account: GCash, Maya, or bank account — used for direct buyer payment receipt, not platform disbursement</w:t>
      </w:r>
    </w:p>
    <w:p>
      <w:pPr>
        <w:pStyle w:val="ListParagraph"/>
        <w:numPr>
          <w:ilvl w:val="0"/>
          <w:numId w:val="2"/>
        </w:numPr>
        <w:spacing w:after="80"/>
      </w:pPr>
      <w:r>
        <w:t xml:space="preserve">Agreement to Vendor Terms (condition-grading honesty policy, mandatory Flat Scan requirement, prohibited items, dispute process, fee schedule)</w:t>
      </w:r>
    </w:p>
    <w:p>
      <w:pPr>
        <w:pStyle w:val="Heading2"/>
        <w:spacing w:after="120" w:before="240"/>
      </w:pPr>
      <w:r>
        <w:t xml:space="preserve">Shop setup</w:t>
      </w:r>
    </w:p>
    <w:p>
      <w:pPr>
        <w:pStyle w:val="ListParagraph"/>
        <w:numPr>
          <w:ilvl w:val="0"/>
          <w:numId w:val="2"/>
        </w:numPr>
        <w:spacing w:after="80"/>
      </w:pPr>
      <w:r>
        <w:t xml:space="preserve">Shop name, logo, banner, location, short description</w:t>
      </w:r>
    </w:p>
    <w:p>
      <w:pPr>
        <w:pStyle w:val="ListParagraph"/>
        <w:numPr>
          <w:ilvl w:val="0"/>
          <w:numId w:val="2"/>
        </w:numPr>
        <w:spacing w:after="80"/>
      </w:pPr>
      <w:r>
        <w:t xml:space="preserve">At least one listing published (with Flat Scan complete) before the shop appears in public search</w:t>
      </w:r>
    </w:p>
    <w:p>
      <w:pPr>
        <w:pStyle w:val="Heading2"/>
        <w:spacing w:after="120" w:before="240"/>
      </w:pPr>
      <w:r>
        <w:t xml:space="preserve">Ongoing compliance</w:t>
      </w:r>
    </w:p>
    <w:p>
      <w:pPr>
        <w:pStyle w:val="ListParagraph"/>
        <w:numPr>
          <w:ilvl w:val="0"/>
          <w:numId w:val="2"/>
        </w:numPr>
        <w:spacing w:after="80"/>
      </w:pPr>
      <w:r>
        <w:t xml:space="preserve">Maintain minimum shop rating threshold (e.g. below 3.5 stars after 10+ orders triggers a review, not immediate suspension)</w:t>
      </w:r>
    </w:p>
    <w:p>
      <w:pPr>
        <w:pStyle w:val="ListParagraph"/>
        <w:numPr>
          <w:ilvl w:val="0"/>
          <w:numId w:val="2"/>
        </w:numPr>
        <w:spacing w:after="80"/>
      </w:pPr>
      <w:r>
        <w:t xml:space="preserve">Respond to buyer messages within a reasonable window — tracked as an "Avg Response" metric shown publicly</w:t>
      </w:r>
    </w:p>
    <w:p>
      <w:pPr>
        <w:pStyle w:val="ListParagraph"/>
        <w:numPr>
          <w:ilvl w:val="0"/>
          <w:numId w:val="2"/>
        </w:numPr>
        <w:spacing w:after="80"/>
      </w:pPr>
      <w:r>
        <w:t xml:space="preserve">Accurate condition grading — repeated upheld buyer disputes trigger manual review and can affect Shop Health visibility</w:t>
      </w:r>
    </w:p>
    <w:p>
      <w:pPr>
        <w:pStyle w:val="Heading1"/>
        <w:spacing w:after="160" w:before="320"/>
      </w:pPr>
      <w:r>
        <w:t xml:space="preserve">7. Vendor Free Trial Programs</w:t>
      </w:r>
    </w:p>
    <w:p>
      <w:pPr>
        <w:spacing w:after="160"/>
      </w:pPr>
      <w:r>
        <w:t xml:space="preserve">Two coexisting trial paths, both landing on the same standard tiered billing afterward:</w:t>
      </w:r>
    </w:p>
    <w:p>
      <w:pPr>
        <w:pStyle w:val="Heading2"/>
        <w:spacing w:after="120" w:before="240"/>
      </w:pPr>
      <w:r>
        <w:t xml:space="preserve">Standard trial — 60 days, any vendor, any time</w:t>
      </w:r>
    </w:p>
    <w:p>
      <w:pPr>
        <w:pStyle w:val="ListParagraph"/>
        <w:numPr>
          <w:ilvl w:val="0"/>
          <w:numId w:val="2"/>
        </w:numPr>
        <w:spacing w:after="80"/>
      </w:pPr>
      <w:r>
        <w:t xml:space="preserve">Starts the day a vendor's shop is approved, full Premium-tier feature access, ₱0 subscription</w:t>
      </w:r>
    </w:p>
    <w:p>
      <w:pPr>
        <w:pStyle w:val="ListParagraph"/>
        <w:numPr>
          <w:ilvl w:val="0"/>
          <w:numId w:val="2"/>
        </w:numPr>
        <w:spacing w:after="80"/>
      </w:pPr>
      <w:r>
        <w:t xml:space="preserve">Growth surcharge waived; GMV tracked silently for accurate first-invoice tiering</w:t>
      </w:r>
    </w:p>
    <w:p>
      <w:pPr>
        <w:pStyle w:val="ListParagraph"/>
        <w:numPr>
          <w:ilvl w:val="0"/>
          <w:numId w:val="2"/>
        </w:numPr>
        <w:spacing w:after="80"/>
      </w:pPr>
      <w:r>
        <w:t xml:space="preserve">7-day and 1-day trial-ending reminders showing a projected first bill</w:t>
      </w:r>
    </w:p>
    <w:p>
      <w:pPr>
        <w:pStyle w:val="Heading2"/>
        <w:spacing w:after="120" w:before="240"/>
      </w:pPr>
      <w:r>
        <w:t xml:space="preserve">Founding Vendor beta — 3 months, time-boxed launch window only</w:t>
      </w:r>
    </w:p>
    <w:p>
      <w:pPr>
        <w:pStyle w:val="ListParagraph"/>
        <w:numPr>
          <w:ilvl w:val="0"/>
          <w:numId w:val="2"/>
        </w:numPr>
        <w:spacing w:after="80"/>
      </w:pPr>
      <w:r>
        <w:t xml:space="preserve">Dedicated /beta signup link, marketed separately from the standard "Sell" flow</w:t>
      </w:r>
    </w:p>
    <w:p>
      <w:pPr>
        <w:pStyle w:val="ListParagraph"/>
        <w:numPr>
          <w:ilvl w:val="0"/>
          <w:numId w:val="2"/>
        </w:numPr>
        <w:spacing w:after="80"/>
      </w:pPr>
      <w:r>
        <w:t xml:space="preserve">Anyone registering within the announced beta window gets 3 months free, no GMV cap</w:t>
      </w:r>
    </w:p>
    <w:p>
      <w:pPr>
        <w:pStyle w:val="ListParagraph"/>
        <w:numPr>
          <w:ilvl w:val="0"/>
          <w:numId w:val="2"/>
        </w:numPr>
        <w:spacing w:after="80"/>
      </w:pPr>
      <w:r>
        <w:t xml:space="preserve">Awarded a permanent Founding Vendor badge, distinct from and unaffected by trial expiry</w:t>
      </w:r>
    </w:p>
    <w:p>
      <w:pPr>
        <w:pStyle w:val="ListParagraph"/>
        <w:numPr>
          <w:ilvl w:val="0"/>
          <w:numId w:val="2"/>
        </w:numPr>
        <w:spacing w:after="80"/>
      </w:pPr>
      <w:r>
        <w:t xml:space="preserve">After 3 months, rolls into standard tiered billing exactly like any other vendor</w:t>
      </w:r>
    </w:p>
    <w:p>
      <w:pPr>
        <w:spacing w:after="160"/>
      </w:pPr>
      <w:r>
        <w:t xml:space="preserve">Why two tracks: the beta program is a deliberate, marketing-driven warm-up cohort meant to be shared publicly and reward early trust; the standard 60-day trial remains the default for anyone discovering and joining the platform organically after the beta window closes.</w:t>
      </w:r>
    </w:p>
    <w:p>
      <w:pPr>
        <w:pStyle w:val="Heading1"/>
        <w:spacing w:after="160" w:before="320"/>
      </w:pPr>
      <w:r>
        <w:t xml:space="preserve">8. News Feed — Community &amp; Convention Events</w:t>
      </w:r>
    </w:p>
    <w:p>
      <w:pPr>
        <w:spacing w:after="160"/>
      </w:pPr>
      <w:r>
        <w:t xml:space="preserve">A dedicated buyer-facing tab, separate from the Events tab (which is reserved for vendor-hosted "Who's That Pokémon?" giveaways). The News Feed surfaces real-world and community happenings relevant to PH collectors:</w:t>
      </w:r>
    </w:p>
    <w:p>
      <w:pPr>
        <w:pStyle w:val="ListParagraph"/>
        <w:numPr>
          <w:ilvl w:val="0"/>
          <w:numId w:val="2"/>
        </w:numPr>
        <w:spacing w:after="80"/>
      </w:pPr>
      <w:r>
        <w:t xml:space="preserve">Upcoming Pokémon TCG conventions and expos</w:t>
      </w:r>
    </w:p>
    <w:p>
      <w:pPr>
        <w:pStyle w:val="ListParagraph"/>
        <w:numPr>
          <w:ilvl w:val="0"/>
          <w:numId w:val="2"/>
        </w:numPr>
        <w:spacing w:after="80"/>
      </w:pPr>
      <w:r>
        <w:t xml:space="preserve">Community-organized card-trade meetups and local shop events</w:t>
      </w:r>
    </w:p>
    <w:p>
      <w:pPr>
        <w:pStyle w:val="ListParagraph"/>
        <w:numPr>
          <w:ilvl w:val="0"/>
          <w:numId w:val="2"/>
        </w:numPr>
        <w:spacing w:after="80"/>
      </w:pPr>
      <w:r>
        <w:t xml:space="preserve">Set release announcements and other collector-relevant news</w:t>
      </w:r>
    </w:p>
    <w:p>
      <w:pPr>
        <w:spacing w:after="160"/>
      </w:pPr>
      <w:r>
        <w:t xml:space="preserve">Content sources: platform-curated posts (admin-authored), plus organizer-submitted event listings subject to moderation approval before appearing publicly. This keeps the feed trustworthy without requiring the platform to author every post itself.</w:t>
      </w:r>
    </w:p>
    <w:p>
      <w:pPr>
        <w:spacing w:after="160"/>
      </w:pPr>
      <w:r>
        <w:t xml:space="preserve">Monetization tie-in: event organizers or vendors can pay a flat fee for a sponsored/featured placement in the feed (Section 5) — a natural extension of the platform's existing audience without introducing a new payment-custody pattern, since this is a direct platform-to-poster transaction, not buyer-to-vendor money movement.</w:t>
      </w:r>
    </w:p>
    <w:p>
      <w:pPr>
        <w:pStyle w:val="Heading1"/>
        <w:spacing w:after="160" w:before="320"/>
      </w:pPr>
      <w:r>
        <w:t xml:space="preserve">9. Open Decisions to Confirm</w:t>
      </w:r>
    </w:p>
    <w:p>
      <w:pPr>
        <w:pStyle w:val="ListParagraph"/>
        <w:numPr>
          <w:ilvl w:val="0"/>
          <w:numId w:val="2"/>
        </w:numPr>
        <w:spacing w:after="80"/>
      </w:pPr>
      <w:r>
        <w:t xml:space="preserve">Whether Buyer Pro subscription launches alongside vendor billing or is deferred to a later phase</w:t>
      </w:r>
    </w:p>
    <w:p>
      <w:pPr>
        <w:pStyle w:val="ListParagraph"/>
        <w:numPr>
          <w:ilvl w:val="0"/>
          <w:numId w:val="2"/>
        </w:numPr>
        <w:spacing w:after="80"/>
      </w:pPr>
      <w:r>
        <w:t xml:space="preserve">Minimum shop rating threshold and consequence (warning vs. suspension vs. reduced visibility) for underperforming vendors</w:t>
      </w:r>
    </w:p>
    <w:p>
      <w:pPr>
        <w:pStyle w:val="ListParagraph"/>
        <w:numPr>
          <w:ilvl w:val="0"/>
          <w:numId w:val="2"/>
        </w:numPr>
        <w:spacing w:after="80"/>
      </w:pPr>
      <w:r>
        <w:t xml:space="preserve">Whether DTI/SEC registration is required at onboarding or only once a vendor crosses a GMV threshold</w:t>
      </w:r>
    </w:p>
    <w:p>
      <w:pPr>
        <w:pStyle w:val="ListParagraph"/>
        <w:numPr>
          <w:ilvl w:val="0"/>
          <w:numId w:val="2"/>
        </w:numPr>
        <w:spacing w:after="80"/>
      </w:pPr>
      <w:r>
        <w:t xml:space="preserve">News Feed moderation workflow — manual admin review per submission vs. a trusted-organizer fast-track after a track record is established</w:t>
      </w:r>
    </w:p>
    <w:p>
      <w:pPr>
        <w:pStyle w:val="ListParagraph"/>
        <w:numPr>
          <w:ilvl w:val="0"/>
          <w:numId w:val="2"/>
        </w:numPr>
        <w:spacing w:after="80"/>
      </w:pPr>
      <w:r>
        <w:t xml:space="preserve">Whether News Feed sponsored placement launches at the same time as the feed itself, or is added once organic submission volume justifies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2026-08-13T02:32:26.945Z</dcterms:created>
  <dcterms:modified xsi:type="dcterms:W3CDTF">2026-08-13T02:32:26.965Z</dcterms:modified>
</cp:coreProperties>
</file>

<file path=docProps/custom.xml><?xml version="1.0" encoding="utf-8"?>
<Properties xmlns="http://schemas.openxmlformats.org/officeDocument/2006/custom-properties" xmlns:vt="http://schemas.openxmlformats.org/officeDocument/2006/docPropsVTypes"/>
</file>