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Условные обозначения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в структуре синсета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:</w:t>
      </w:r>
    </w:p>
    <w:p>
      <w:pPr>
        <w:pStyle w:val="Style15"/>
        <w:widowControl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слово#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n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—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 xml:space="preserve"> n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-ое по частотности значение слова, для словосочетаний номера не ставятся (по умолчанию оно первое);</w:t>
        <w:br/>
        <w:t>_книжн или _разг — стилистический статус значения: повышенный или пониженный;</w:t>
        <w:br/>
        <w:t>\ — разделитель элементов синсета;</w:t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@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мн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 xml:space="preserve">_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—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грамматическая форма реализации лексемы;</w:t>
      </w:r>
    </w:p>
    <w:p>
      <w:pPr>
        <w:pStyle w:val="Style15"/>
        <w:widowControl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Обозначение частей речи:</w:t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 xml:space="preserve">n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— имя существительное,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br/>
        <w:t xml:space="preserve">a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— имя прилагательное,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br/>
        <w:t xml:space="preserve">v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— глагол,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br/>
        <w:t xml:space="preserve">b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— наречие.</w:t>
      </w:r>
    </w:p>
    <w:p>
      <w:pPr>
        <w:pStyle w:val="Style15"/>
        <w:widowControl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Перечень семантических отношений между синсетами и семантико-деривационных отношений между лексемами.</w:t>
      </w:r>
    </w:p>
    <w:tbl>
      <w:tblPr>
        <w:tblW w:w="958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5"/>
        <w:gridCol w:w="2392"/>
        <w:gridCol w:w="2392"/>
        <w:gridCol w:w="2402"/>
      </w:tblGrid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отношения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Определено на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Обратное отношение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Характеристика обратного отношения</w:t>
            </w:r>
          </w:p>
        </w:tc>
      </w:tr>
      <w:tr>
        <w:trPr/>
        <w:tc>
          <w:tcPr>
            <w:tcW w:w="95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Симметричные отношения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Antonym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Antonym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Converse terms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Converse terms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95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Несимметричные отношения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Hypernym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Hyponym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Holonym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Meronym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>
        <w:trPr/>
        <w:tc>
          <w:tcPr>
            <w:tcW w:w="95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Отношения лексического вывода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Troponym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Trop_hypernym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Cause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Is_caused_by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Presupposition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Is_presupposed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Subevent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синсет</w:t>
            </w:r>
            <w:r>
              <w:rPr>
                <w:sz w:val="20"/>
                <w:szCs w:val="20"/>
                <w:lang w:val="en-US"/>
              </w:rPr>
              <w:t>–&gt;</w:t>
            </w:r>
            <w:r>
              <w:rPr>
                <w:sz w:val="20"/>
                <w:szCs w:val="20"/>
              </w:rPr>
              <w:t>синсет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Complex_event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>
        <w:trPr/>
        <w:tc>
          <w:tcPr>
            <w:tcW w:w="95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Словообразовательные отношения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XPOS_Near_Synonym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DER_Antonym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DER_Hyponym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DER_Troponym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DER_Role_Agent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DER_Role_Subject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DER_Role_Object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DER_Role_Instrument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DER_Role_Location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DER_Involved_Agent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DER_Involved_Subject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DER_Involved_Object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DER_Involved_Instrument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>
        <w:trPr/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  <w:lang w:val="en-US"/>
              </w:rPr>
              <w:t>DER_Involved_Location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sz w:val="20"/>
                <w:szCs w:val="20"/>
              </w:rPr>
              <w:t>слово-значение</w:t>
            </w:r>
            <w:r>
              <w:rPr>
                <w:sz w:val="20"/>
                <w:szCs w:val="20"/>
                <w:lang w:val="en-US"/>
              </w:rPr>
              <w:t>&lt;–&gt;</w:t>
            </w:r>
            <w:r>
              <w:rPr>
                <w:sz w:val="20"/>
                <w:szCs w:val="20"/>
              </w:rPr>
              <w:t xml:space="preserve"> слово-значение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Related_to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</w:tbl>
    <w:p>
      <w:pPr>
        <w:pStyle w:val="Normal"/>
        <w:widowControl/>
        <w:jc w:val="left"/>
        <w:rPr>
          <w:lang w:val="ru-RU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Пояснения отношений:</w:t>
      </w:r>
    </w:p>
    <w:p>
      <w:pPr>
        <w:pStyle w:val="Normal"/>
        <w:spacing w:lineRule="auto" w:line="276"/>
        <w:ind w:firstLine="454"/>
        <w:jc w:val="left"/>
        <w:rPr/>
      </w:pPr>
      <w:r>
        <w:rPr/>
        <w:t xml:space="preserve">Некоторые семантические отношения симметричны: </w:t>
        <w:br/>
        <w:t xml:space="preserve">– антонимия; </w:t>
        <w:br/>
        <w:t xml:space="preserve">– конверсия (похожие на антонимы слова, которые позволяют создавать предложения-перифразы с перестановкой субъекта и объекта: </w:t>
      </w:r>
      <w:r>
        <w:rPr>
          <w:i/>
          <w:iCs/>
        </w:rPr>
        <w:t>давать–получать; превосходить–уступать</w:t>
      </w:r>
      <w:r>
        <w:rPr/>
        <w:t xml:space="preserve">). Достаточно указывать это отношение один раз: от описываемого синсета к тому, которое будет рассмотрен ниже. Обратное отношение будет автоматически дополнятся в </w:t>
      </w:r>
      <w:r>
        <w:rPr>
          <w:lang w:val="en-US"/>
        </w:rPr>
        <w:t>YARN</w:t>
      </w:r>
      <w:r>
        <w:rPr/>
        <w:t xml:space="preserve">. </w:t>
      </w:r>
    </w:p>
    <w:p>
      <w:pPr>
        <w:pStyle w:val="Normal"/>
        <w:spacing w:lineRule="auto" w:line="276"/>
        <w:ind w:firstLine="454"/>
        <w:jc w:val="left"/>
        <w:rPr/>
      </w:pPr>
      <w:r>
        <w:rPr/>
        <w:t xml:space="preserve">Основная группа семантических отношений несимметричны. Для некоторых из них обратное отношение имеет определенный смысл: это, в первую очередь, родовидовое отношение: от родового к видовому оно обозначается </w:t>
      </w:r>
      <w:r>
        <w:rPr>
          <w:lang w:val="en-US"/>
        </w:rPr>
        <w:t>Hyponym</w:t>
      </w:r>
      <w:r>
        <w:rPr/>
        <w:t xml:space="preserve">, от видового к родовому – </w:t>
      </w:r>
      <w:r>
        <w:rPr>
          <w:lang w:val="en-US"/>
        </w:rPr>
        <w:t>Hypernym</w:t>
      </w:r>
      <w:r>
        <w:rPr/>
        <w:t xml:space="preserve">. </w:t>
      </w:r>
    </w:p>
    <w:p>
      <w:pPr>
        <w:pStyle w:val="Normal"/>
        <w:spacing w:lineRule="auto" w:line="276"/>
        <w:ind w:firstLine="454"/>
        <w:jc w:val="left"/>
        <w:rPr/>
      </w:pPr>
      <w:r>
        <w:rPr/>
        <w:t>Отношение часть-целое имеет содержательную интерпретацию от целого к части (</w:t>
      </w:r>
      <w:r>
        <w:rPr>
          <w:lang w:val="en-US"/>
        </w:rPr>
        <w:t>Meronym</w:t>
      </w:r>
      <w:r>
        <w:rPr/>
        <w:t>), реже от части к целому (</w:t>
      </w:r>
      <w:r>
        <w:rPr>
          <w:lang w:val="en-US"/>
        </w:rPr>
        <w:t>Holonym</w:t>
      </w:r>
      <w:r>
        <w:rPr/>
        <w:t>).</w:t>
      </w:r>
    </w:p>
    <w:p>
      <w:pPr>
        <w:pStyle w:val="Normal"/>
        <w:spacing w:lineRule="auto" w:line="276"/>
        <w:ind w:firstLine="454"/>
        <w:jc w:val="left"/>
        <w:rPr/>
      </w:pPr>
      <w:r>
        <w:rPr/>
        <w:t xml:space="preserve">Некоторые семантические отношения имеют истинное (осмысленное) значение только в одностороннем порядке, а обратное отношение будет справедливым только под отрицанием. В описаниях структуры </w:t>
      </w:r>
      <w:r>
        <w:rPr>
          <w:lang w:val="en-US"/>
        </w:rPr>
        <w:t>WordNet</w:t>
      </w:r>
      <w:r>
        <w:rPr/>
        <w:t xml:space="preserve"> такие отношения объединялись под рубрикой </w:t>
      </w:r>
      <w:r>
        <w:rPr>
          <w:lang w:val="en-US"/>
        </w:rPr>
        <w:t>Entailment</w:t>
      </w:r>
      <w:r>
        <w:rPr/>
        <w:t xml:space="preserve"> (отношения лексического вывода). Это отношения </w:t>
        <w:br/>
        <w:t>– тропонимии (</w:t>
      </w:r>
      <w:r>
        <w:rPr>
          <w:lang w:val="en-US"/>
        </w:rPr>
        <w:t>Troponym</w:t>
      </w:r>
      <w:r>
        <w:rPr/>
        <w:t xml:space="preserve">): разновидности способов выполнения действий, состояний и процессов, например </w:t>
      </w:r>
      <w:r>
        <w:rPr>
          <w:i/>
          <w:iCs/>
        </w:rPr>
        <w:t>маршировать</w:t>
      </w:r>
      <w:r>
        <w:rPr/>
        <w:t>–</w:t>
      </w:r>
      <w:r>
        <w:rPr>
          <w:i/>
          <w:iCs/>
        </w:rPr>
        <w:t>идти</w:t>
      </w:r>
      <w:r>
        <w:rPr/>
        <w:t xml:space="preserve">, </w:t>
      </w:r>
      <w:r>
        <w:rPr>
          <w:i/>
          <w:iCs/>
        </w:rPr>
        <w:t>заикаться</w:t>
      </w:r>
      <w:r>
        <w:rPr/>
        <w:t>–</w:t>
      </w:r>
      <w:r>
        <w:rPr>
          <w:i/>
          <w:iCs/>
        </w:rPr>
        <w:t>говорить</w:t>
      </w:r>
      <w:r>
        <w:rPr/>
        <w:t xml:space="preserve"> и проч.; </w:t>
        <w:br/>
        <w:t>– каузации (</w:t>
      </w:r>
      <w:r>
        <w:rPr>
          <w:lang w:val="en-US"/>
        </w:rPr>
        <w:t>Cause</w:t>
      </w:r>
      <w:r>
        <w:rPr/>
        <w:t xml:space="preserve">) – лексического обозначения действия/бездействия с объектом/субъектом, которое приводит с некоторой вероятностью к определенному состоянию этого объекта/субъекта. Например: </w:t>
      </w:r>
      <w:r>
        <w:rPr>
          <w:i/>
          <w:iCs/>
        </w:rPr>
        <w:t>убить–умереть, искать–найти, пропустить–пройти, высушить–сухой</w:t>
      </w:r>
      <w:r>
        <w:rPr/>
        <w:t xml:space="preserve"> и проч.; </w:t>
        <w:br/>
        <w:t>– пресуппозиции (</w:t>
      </w:r>
      <w:r>
        <w:rPr>
          <w:lang w:val="en-US"/>
        </w:rPr>
        <w:t>Presupposition</w:t>
      </w:r>
      <w:r>
        <w:rPr/>
        <w:t>) – обозначение необходимой для данного значения предпосылки: промахнуться–целиться, шорох–трение, лязг–удар;</w:t>
        <w:br/>
        <w:t>– действия-части (</w:t>
      </w:r>
      <w:r>
        <w:rPr>
          <w:lang w:val="en-US"/>
        </w:rPr>
        <w:t>Subevent</w:t>
      </w:r>
      <w:r>
        <w:rPr/>
        <w:t xml:space="preserve">), сходного с меронимией отношения при обозначении признаков: </w:t>
      </w:r>
      <w:r>
        <w:rPr>
          <w:i/>
          <w:iCs/>
        </w:rPr>
        <w:t>храпеть–спать, уйти/прийти–вернуться, держать–нести</w:t>
      </w:r>
      <w:r>
        <w:rPr/>
        <w:t>.</w:t>
      </w:r>
    </w:p>
    <w:p>
      <w:pPr>
        <w:pStyle w:val="Normal"/>
        <w:spacing w:lineRule="auto" w:line="276"/>
        <w:ind w:firstLine="454"/>
        <w:jc w:val="left"/>
        <w:rPr/>
      </w:pPr>
      <w:r>
        <w:rPr/>
        <w:t xml:space="preserve">Перечисленные отношения связывают между собой синсеты. </w:t>
      </w:r>
    </w:p>
    <w:p>
      <w:pPr>
        <w:pStyle w:val="Normal"/>
        <w:spacing w:lineRule="auto" w:line="276"/>
        <w:ind w:firstLine="454"/>
        <w:jc w:val="left"/>
        <w:rPr/>
      </w:pPr>
      <w:r>
        <w:rPr/>
        <w:t xml:space="preserve">Для связи значений разных частей речи в концепции </w:t>
      </w:r>
      <w:r>
        <w:rPr>
          <w:lang w:val="en-US"/>
        </w:rPr>
        <w:t>WordNet</w:t>
      </w:r>
      <w:r>
        <w:rPr/>
        <w:t xml:space="preserve"> словарей  используется префикс </w:t>
      </w:r>
      <w:r>
        <w:rPr>
          <w:lang w:val="en-US"/>
        </w:rPr>
        <w:t>XPOS</w:t>
      </w:r>
      <w:r>
        <w:rPr/>
        <w:t xml:space="preserve">. Обычно таким образом передается значение транспозиции – выражение значения, характерного для одной части речи, при помощи другой: </w:t>
      </w:r>
      <w:r>
        <w:rPr>
          <w:i/>
          <w:iCs/>
        </w:rPr>
        <w:t>любить–любовь, шуметь–шум–шумный, дерево–деревянный</w:t>
      </w:r>
      <w:r>
        <w:rPr/>
        <w:t xml:space="preserve">, </w:t>
      </w:r>
      <w:r>
        <w:rPr>
          <w:i/>
          <w:iCs/>
        </w:rPr>
        <w:t>смелый–смело</w:t>
      </w:r>
      <w:r>
        <w:rPr/>
        <w:t xml:space="preserve"> и проч. Поскольку во всех этих случаях нарушается принятый тест на взаимную замену слов в контексте, отношение называется довольно сложно </w:t>
      </w:r>
      <w:r>
        <w:rPr>
          <w:lang w:val="en-US"/>
        </w:rPr>
        <w:t>XPOS</w:t>
      </w:r>
      <w:r>
        <w:rPr/>
        <w:t>_</w:t>
      </w:r>
      <w:r>
        <w:rPr>
          <w:lang w:val="en-US"/>
        </w:rPr>
        <w:t>Near</w:t>
      </w:r>
      <w:r>
        <w:rPr/>
        <w:t>_</w:t>
      </w:r>
      <w:r>
        <w:rPr>
          <w:lang w:val="en-US"/>
        </w:rPr>
        <w:t>Synonymy</w:t>
      </w:r>
      <w:r>
        <w:rPr/>
        <w:t xml:space="preserve">. В интерфейсе </w:t>
      </w:r>
      <w:r>
        <w:rPr>
          <w:lang w:val="en-US"/>
        </w:rPr>
        <w:t>WordNet</w:t>
      </w:r>
      <w:r>
        <w:rPr/>
        <w:t xml:space="preserve"> 2.1 используется в обобщенное описание </w:t>
      </w:r>
      <w:r>
        <w:rPr>
          <w:lang w:val="en-US"/>
        </w:rPr>
        <w:t>Related</w:t>
      </w:r>
      <w:r>
        <w:rPr/>
        <w:t>_</w:t>
      </w:r>
      <w:r>
        <w:rPr>
          <w:lang w:val="en-US"/>
        </w:rPr>
        <w:t>to</w:t>
      </w:r>
      <w:r>
        <w:rPr/>
        <w:t xml:space="preserve">: </w:t>
      </w:r>
    </w:p>
    <w:p>
      <w:pPr>
        <w:pStyle w:val="Normal"/>
        <w:spacing w:lineRule="auto" w:line="276"/>
        <w:ind w:firstLine="454"/>
        <w:jc w:val="left"/>
        <w:rPr/>
      </w:pPr>
      <w:r>
        <w:rPr>
          <w:sz w:val="20"/>
          <w:szCs w:val="20"/>
          <w:lang w:val="en-US"/>
        </w:rPr>
        <w:t>force (v) Sense 1 coerce, hale, squeeze, pressure, force -- (to cause to do through pressure or necessity, by physical, moral or intellectual means :"She forced him to take a job in the city"; "He squeezed her for information")</w:t>
      </w:r>
    </w:p>
    <w:p>
      <w:pPr>
        <w:pStyle w:val="Normal"/>
        <w:spacing w:lineRule="auto" w:line="276"/>
        <w:ind w:firstLine="454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RELATED TO-&gt;(noun) force#5</w:t>
      </w:r>
    </w:p>
    <w:p>
      <w:pPr>
        <w:pStyle w:val="Normal"/>
        <w:spacing w:lineRule="auto" w:line="276"/>
        <w:ind w:firstLine="454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=&gt; force -- (a powerful effect or influence; "the force of his eloquence easily persuaded them")</w:t>
      </w:r>
    </w:p>
    <w:p>
      <w:pPr>
        <w:pStyle w:val="Normal"/>
        <w:spacing w:lineRule="auto" w:line="276"/>
        <w:ind w:firstLine="454"/>
        <w:jc w:val="left"/>
        <w:rPr>
          <w:sz w:val="20"/>
          <w:szCs w:val="20"/>
        </w:rPr>
      </w:pPr>
      <w:r>
        <w:rPr>
          <w:sz w:val="20"/>
          <w:szCs w:val="20"/>
        </w:rPr>
        <w:t>RELATED TO-&gt;(noun) force#2</w:t>
      </w:r>
    </w:p>
    <w:p>
      <w:pPr>
        <w:pStyle w:val="Normal"/>
        <w:spacing w:lineRule="auto" w:line="276"/>
        <w:ind w:firstLine="454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=&gt; power, force -- (one possessing or exercising power or influence or authority; "the mysterious presence of an evil power"; "may the force be with you"; "the forces of evil")</w:t>
      </w:r>
    </w:p>
    <w:p>
      <w:pPr>
        <w:pStyle w:val="Normal"/>
        <w:widowControl/>
        <w:spacing w:lineRule="auto" w:line="276"/>
        <w:ind w:firstLine="454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Для русского языка словообразовательные связи задают множество семантически маркированных отношений, поэтому будет использован специальный префикс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DER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с уточнением характера связи: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Synonym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Hyponym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Antonym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Troponym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Role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или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Involved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. Отношение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Role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указывает на образование существительных, обозначающих участников действия через отсылку к глаголу (например: </w:t>
      </w:r>
      <w:r>
        <w:rPr>
          <w:rFonts w:ascii="Times New Roman;serif" w:hAnsi="Times New Roman;serif"/>
          <w:b w:val="false"/>
          <w:i/>
          <w:iCs/>
          <w:caps w:val="false"/>
          <w:smallCaps w:val="false"/>
          <w:color w:val="222222"/>
          <w:spacing w:val="0"/>
          <w:sz w:val="24"/>
          <w:lang w:val="ru-RU"/>
        </w:rPr>
        <w:t>расточник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“Рабочий, который растачивает” по значению </w:t>
      </w:r>
      <w:r>
        <w:rPr>
          <w:rFonts w:ascii="Times New Roman;serif" w:hAnsi="Times New Roman;serif"/>
          <w:b w:val="false"/>
          <w:i/>
          <w:iCs/>
          <w:caps w:val="false"/>
          <w:smallCaps w:val="false"/>
          <w:color w:val="222222"/>
          <w:spacing w:val="0"/>
          <w:sz w:val="24"/>
          <w:lang w:val="ru-RU"/>
        </w:rPr>
        <w:t>расточить1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“</w:t>
      </w:r>
      <w:r>
        <w:rPr>
          <w:rFonts w:ascii="Times New Roman;serif" w:hAnsi="Times New Roman;serif"/>
          <w:b w:val="false"/>
          <w:i/>
          <w:iCs/>
          <w:caps w:val="false"/>
          <w:smallCaps w:val="false"/>
          <w:color w:val="222222"/>
          <w:spacing w:val="0"/>
          <w:sz w:val="24"/>
          <w:lang w:val="ru-RU"/>
        </w:rPr>
        <w:t>Тех.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Расширить, углубить какое-л. отверстие на чем-л., вытачивая”), 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Involved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– образование глагольных значений через обозначение участника при помощи существительного (например: </w:t>
      </w:r>
      <w:r>
        <w:rPr>
          <w:rFonts w:ascii="Times New Roman;serif" w:hAnsi="Times New Roman;serif"/>
          <w:b w:val="false"/>
          <w:i/>
          <w:iCs/>
          <w:caps w:val="false"/>
          <w:smallCaps w:val="false"/>
          <w:color w:val="222222"/>
          <w:spacing w:val="0"/>
          <w:sz w:val="24"/>
          <w:lang w:val="ru-RU"/>
        </w:rPr>
        <w:t>рассупонить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 – “Развязать супонь у хомута при распряжке лошадей”). Эти два отношения могут быть уточнены в плане характеристики роли актанта: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Agent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Subject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Instrument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Location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Object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. В первом случае это отношение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DER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_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Role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_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Agent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, во втором –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DER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_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Involved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_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Object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 xml:space="preserve">. 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22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LibreOffice/5.3.3.2$Windows_X86_64 LibreOffice_project/3d9a8b4b4e538a85e0782bd6c2d430bafe583448</Application>
  <Pages>3</Pages>
  <Words>674</Words>
  <Characters>5115</Characters>
  <CharactersWithSpaces>5671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2018-01-22T23:54:45Z</dcterms:created>
  <dc:creator/>
  <dc:description/>
  <dc:language>ru-RU</dc:language>
  <cp:lastModifiedBy/>
  <dcterms:modified xsi:type="dcterms:W3CDTF">2018-01-23T00:08:11Z</dcterms:modified>
  <cp:revision>1</cp:revision>
  <dc:subject/>
  <dc:title/>
</cp:coreProperties>
</file>