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0"/>
        <w:spacing w:before="360" w:after="0" w:afterLines="0" w:line="240" w:lineRule="auto"/>
        <w:rPr>
          <w:rFonts w:hint="eastAsia"/>
        </w:rPr>
      </w:pPr>
      <w:r>
        <w:rPr>
          <w:rFonts w:hint="eastAsia"/>
        </w:rPr>
        <w:t>计算机网络</w:t>
      </w:r>
      <w:r>
        <w:rPr>
          <w:rFonts w:hint="eastAsia"/>
          <w:u w:val="single"/>
        </w:rPr>
        <w:t xml:space="preserve"> 第1课　传输媒介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软工24级</w:t>
      </w:r>
      <w:r>
        <w:rPr>
          <w:rFonts w:hint="eastAsia" w:asciiTheme="minorHAnsi" w:hAnsiTheme="minorHAnsi" w:eastAsiaTheme="minorEastAsia"/>
          <w:sz w:val="28"/>
          <w:szCs w:val="28"/>
          <w:u w:val="single"/>
          <w:lang w:val="en-US" w:eastAsia="zh-CN"/>
        </w:rPr>
        <w:t>2</w:t>
      </w:r>
      <w:r>
        <w:rPr>
          <w:rFonts w:hint="eastAsia" w:asciiTheme="minorHAnsi" w:hAnsiTheme="minorHAnsi" w:eastAsiaTheme="minorEastAsia"/>
          <w:sz w:val="28"/>
          <w:szCs w:val="28"/>
          <w:u w:val="single"/>
        </w:rPr>
        <w:t xml:space="preserve">班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lang w:val="en-US" w:eastAsia="zh-CN"/>
        </w:rPr>
        <w:t>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2"/>
        <w:tblW w:w="76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680"/>
        <w:gridCol w:w="680"/>
        <w:gridCol w:w="680"/>
        <w:gridCol w:w="680"/>
        <w:gridCol w:w="680"/>
        <w:gridCol w:w="680"/>
        <w:gridCol w:w="680"/>
        <w:gridCol w:w="680"/>
        <w:gridCol w:w="680"/>
        <w:gridCol w:w="680"/>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680"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680"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680"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680"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680"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680"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680"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680"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680"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680"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680" w:type="dxa"/>
            <w:vAlign w:val="center"/>
          </w:tcPr>
          <w:p w14:paraId="0EAFAE5A">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C</w:t>
            </w:r>
          </w:p>
        </w:tc>
        <w:tc>
          <w:tcPr>
            <w:tcW w:w="680" w:type="dxa"/>
            <w:vAlign w:val="center"/>
          </w:tcPr>
          <w:p w14:paraId="04C07982">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D</w:t>
            </w:r>
          </w:p>
        </w:tc>
        <w:tc>
          <w:tcPr>
            <w:tcW w:w="680" w:type="dxa"/>
            <w:vAlign w:val="center"/>
          </w:tcPr>
          <w:p w14:paraId="6702164A">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D</w:t>
            </w:r>
          </w:p>
        </w:tc>
        <w:tc>
          <w:tcPr>
            <w:tcW w:w="680" w:type="dxa"/>
            <w:vAlign w:val="center"/>
          </w:tcPr>
          <w:p w14:paraId="561DF93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56EE6EC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141C79D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C</w:t>
            </w:r>
          </w:p>
        </w:tc>
        <w:tc>
          <w:tcPr>
            <w:tcW w:w="680" w:type="dxa"/>
            <w:vAlign w:val="center"/>
          </w:tcPr>
          <w:p w14:paraId="237A499A">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C</w:t>
            </w:r>
          </w:p>
        </w:tc>
        <w:tc>
          <w:tcPr>
            <w:tcW w:w="680" w:type="dxa"/>
            <w:vAlign w:val="center"/>
          </w:tcPr>
          <w:p w14:paraId="25666A65">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650C692D">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B</w:t>
            </w:r>
          </w:p>
        </w:tc>
        <w:tc>
          <w:tcPr>
            <w:tcW w:w="680" w:type="dxa"/>
            <w:vAlign w:val="center"/>
          </w:tcPr>
          <w:p w14:paraId="282BBDF0">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D</w:t>
            </w: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680"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680"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680"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680"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680"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680"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680"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680"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680"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680"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680" w:type="dxa"/>
            <w:vAlign w:val="center"/>
          </w:tcPr>
          <w:p w14:paraId="0BDF6EF5">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C</w:t>
            </w:r>
          </w:p>
        </w:tc>
        <w:tc>
          <w:tcPr>
            <w:tcW w:w="680" w:type="dxa"/>
            <w:vAlign w:val="center"/>
          </w:tcPr>
          <w:p w14:paraId="15B06760">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680" w:type="dxa"/>
            <w:vAlign w:val="center"/>
          </w:tcPr>
          <w:p w14:paraId="2B7A947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C</w:t>
            </w:r>
          </w:p>
        </w:tc>
        <w:tc>
          <w:tcPr>
            <w:tcW w:w="680" w:type="dxa"/>
            <w:vAlign w:val="center"/>
          </w:tcPr>
          <w:p w14:paraId="189E2A64">
            <w:pPr>
              <w:jc w:val="center"/>
              <w:rPr>
                <w:rFonts w:ascii="Times New Roman" w:hAnsi="Times New Roman" w:eastAsia="宋体" w:cs="Times New Roman"/>
                <w:kern w:val="0"/>
                <w:szCs w:val="20"/>
              </w:rPr>
            </w:pPr>
          </w:p>
        </w:tc>
        <w:tc>
          <w:tcPr>
            <w:tcW w:w="680" w:type="dxa"/>
            <w:vAlign w:val="center"/>
          </w:tcPr>
          <w:p w14:paraId="06CD08A9">
            <w:pPr>
              <w:jc w:val="center"/>
              <w:rPr>
                <w:rFonts w:ascii="Times New Roman" w:hAnsi="Times New Roman" w:eastAsia="宋体" w:cs="Times New Roman"/>
                <w:kern w:val="0"/>
                <w:szCs w:val="20"/>
              </w:rPr>
            </w:pPr>
          </w:p>
        </w:tc>
        <w:tc>
          <w:tcPr>
            <w:tcW w:w="680" w:type="dxa"/>
            <w:vAlign w:val="center"/>
          </w:tcPr>
          <w:p w14:paraId="02D1F611">
            <w:pPr>
              <w:jc w:val="center"/>
              <w:rPr>
                <w:rFonts w:ascii="Times New Roman" w:hAnsi="Times New Roman" w:eastAsia="宋体" w:cs="Times New Roman"/>
                <w:kern w:val="0"/>
                <w:szCs w:val="20"/>
              </w:rPr>
            </w:pPr>
          </w:p>
        </w:tc>
        <w:tc>
          <w:tcPr>
            <w:tcW w:w="680" w:type="dxa"/>
            <w:vAlign w:val="center"/>
          </w:tcPr>
          <w:p w14:paraId="4BD9A645">
            <w:pPr>
              <w:jc w:val="center"/>
              <w:rPr>
                <w:rFonts w:ascii="Times New Roman" w:hAnsi="Times New Roman" w:eastAsia="宋体" w:cs="Times New Roman"/>
                <w:kern w:val="0"/>
                <w:szCs w:val="20"/>
              </w:rPr>
            </w:pPr>
          </w:p>
        </w:tc>
        <w:tc>
          <w:tcPr>
            <w:tcW w:w="680" w:type="dxa"/>
            <w:vAlign w:val="center"/>
          </w:tcPr>
          <w:p w14:paraId="77CC7277">
            <w:pPr>
              <w:jc w:val="center"/>
              <w:rPr>
                <w:rFonts w:ascii="Times New Roman" w:hAnsi="Times New Roman" w:eastAsia="宋体" w:cs="Times New Roman"/>
                <w:kern w:val="0"/>
                <w:szCs w:val="20"/>
              </w:rPr>
            </w:pPr>
          </w:p>
        </w:tc>
        <w:tc>
          <w:tcPr>
            <w:tcW w:w="680" w:type="dxa"/>
            <w:vAlign w:val="center"/>
          </w:tcPr>
          <w:p w14:paraId="7950486C">
            <w:pPr>
              <w:jc w:val="center"/>
              <w:rPr>
                <w:rFonts w:ascii="Times New Roman" w:hAnsi="Times New Roman" w:eastAsia="宋体" w:cs="Times New Roman"/>
                <w:kern w:val="0"/>
                <w:szCs w:val="20"/>
              </w:rPr>
            </w:pPr>
          </w:p>
        </w:tc>
        <w:tc>
          <w:tcPr>
            <w:tcW w:w="680" w:type="dxa"/>
            <w:vAlign w:val="center"/>
          </w:tcPr>
          <w:p w14:paraId="17F7478E">
            <w:pPr>
              <w:jc w:val="center"/>
              <w:rPr>
                <w:rFonts w:ascii="Times New Roman" w:hAnsi="Times New Roman" w:eastAsia="宋体" w:cs="Times New Roman"/>
                <w:kern w:val="0"/>
                <w:szCs w:val="20"/>
              </w:rPr>
            </w:pPr>
          </w:p>
        </w:tc>
      </w:tr>
    </w:tbl>
    <w:p w14:paraId="5CD912DC">
      <w:pPr>
        <w:pStyle w:val="2"/>
        <w:spacing w:before="360" w:after="180"/>
        <w:ind w:left="640" w:hanging="640"/>
        <w:rPr>
          <w:rFonts w:hint="eastAsia"/>
        </w:rPr>
      </w:pPr>
      <w:r>
        <w:rPr>
          <w:rFonts w:hint="eastAsia"/>
        </w:rPr>
        <w:t>二、简答题</w:t>
      </w:r>
    </w:p>
    <w:p w14:paraId="618AB71C">
      <w:pPr>
        <w:pStyle w:val="3"/>
        <w:spacing w:before="360" w:after="180"/>
        <w:ind w:left="562" w:hanging="562"/>
      </w:pPr>
      <w:r>
        <w:rPr>
          <w:rFonts w:hint="eastAsia"/>
        </w:rPr>
        <w:t>第</w:t>
      </w:r>
      <w:r>
        <w:rPr>
          <w:rFonts w:hint="eastAsia"/>
          <w:lang w:val="en-US" w:eastAsia="zh-CN"/>
        </w:rPr>
        <w:t>14</w:t>
      </w:r>
      <w:r>
        <w:rPr>
          <w:rFonts w:hint="eastAsia"/>
        </w:rPr>
        <w:t>题</w:t>
      </w:r>
    </w:p>
    <w:p w14:paraId="0C17AB88">
      <w:pPr>
        <w:pStyle w:val="5"/>
        <w:rPr>
          <w:rFonts w:hint="eastAsia"/>
        </w:rPr>
      </w:pPr>
      <w:r>
        <w:rPr>
          <w:rFonts w:hint="eastAsia"/>
        </w:rPr>
        <w:t>(1)  通常使用数字信号。为了在可见光通信中传输数据，系统会将数据编码后通过 LED 的高速开关来表示二进制的 0 和 1。</w:t>
      </w:r>
    </w:p>
    <w:p w14:paraId="1DD2D6C2">
      <w:pPr>
        <w:pStyle w:val="5"/>
        <w:rPr>
          <w:rFonts w:hint="eastAsia"/>
        </w:rPr>
      </w:pPr>
      <w:r>
        <w:rPr>
          <w:rFonts w:hint="eastAsia"/>
        </w:rPr>
        <w:t>(2) 结合通信模型分析：</w:t>
      </w:r>
    </w:p>
    <w:p w14:paraId="7C4971FF">
      <w:pPr>
        <w:pStyle w:val="5"/>
        <w:rPr>
          <w:rFonts w:hint="eastAsia"/>
        </w:rPr>
      </w:pPr>
      <w:r>
        <w:rPr>
          <w:rFonts w:hint="eastAsia"/>
        </w:rPr>
        <w:t>信源： 产生原始数据的设备。</w:t>
      </w:r>
    </w:p>
    <w:p w14:paraId="3E6EA94A">
      <w:pPr>
        <w:pStyle w:val="5"/>
        <w:rPr>
          <w:rFonts w:hint="eastAsia"/>
        </w:rPr>
      </w:pPr>
      <w:r>
        <w:rPr>
          <w:rFonts w:hint="eastAsia"/>
        </w:rPr>
        <w:t>编码： 将数字数据转化为 LED 驱动电流变化的编码器。</w:t>
      </w:r>
    </w:p>
    <w:p w14:paraId="55DCA4CE">
      <w:pPr>
        <w:pStyle w:val="5"/>
        <w:rPr>
          <w:rFonts w:hint="eastAsia"/>
        </w:rPr>
      </w:pPr>
      <w:r>
        <w:rPr>
          <w:rFonts w:hint="eastAsia"/>
        </w:rPr>
        <w:t>信道： 空气。</w:t>
      </w:r>
    </w:p>
    <w:p w14:paraId="73CD90BE">
      <w:pPr>
        <w:pStyle w:val="5"/>
        <w:rPr>
          <w:rFonts w:hint="eastAsia"/>
        </w:rPr>
      </w:pPr>
      <w:r>
        <w:rPr>
          <w:rFonts w:hint="eastAsia"/>
        </w:rPr>
        <w:t>解码： 接收端的传感器将光信号转化为电信号并解码。</w:t>
      </w:r>
    </w:p>
    <w:p w14:paraId="4DBF9D4E">
      <w:pPr>
        <w:pStyle w:val="5"/>
        <w:rPr>
          <w:rFonts w:hint="eastAsia"/>
        </w:rPr>
      </w:pPr>
      <w:r>
        <w:rPr>
          <w:rFonts w:hint="eastAsia"/>
        </w:rPr>
        <w:t>信宿： 接收数据的目的设备。</w:t>
      </w:r>
    </w:p>
    <w:p w14:paraId="6793FCD7">
      <w:pPr>
        <w:pStyle w:val="5"/>
        <w:rPr>
          <w:rFonts w:hint="eastAsia"/>
        </w:rPr>
      </w:pPr>
      <w:r>
        <w:rPr>
          <w:rFonts w:hint="eastAsia"/>
        </w:rPr>
        <w:t>噪声： 环境光、电路噪声等。</w:t>
      </w:r>
    </w:p>
    <w:p w14:paraId="3072DD8B">
      <w:pPr>
        <w:pStyle w:val="5"/>
        <w:rPr>
          <w:rFonts w:hint="eastAsia"/>
        </w:rPr>
      </w:pPr>
      <w:r>
        <w:rPr>
          <w:rFonts w:hint="eastAsia"/>
        </w:rPr>
        <w:t>(3) 不是。 它是非引导型传输媒介。光在自由空间中传播，不需要物理导线进行限制或引导。</w:t>
      </w:r>
    </w:p>
    <w:p w14:paraId="49A3C739">
      <w:pPr>
        <w:pStyle w:val="3"/>
        <w:spacing w:before="360" w:after="180"/>
        <w:ind w:left="562" w:hanging="562"/>
      </w:pPr>
      <w:r>
        <w:rPr>
          <w:rFonts w:hint="eastAsia"/>
        </w:rPr>
        <w:t>第</w:t>
      </w:r>
      <w:r>
        <w:rPr>
          <w:rFonts w:hint="eastAsia"/>
          <w:lang w:val="en-US" w:eastAsia="zh-CN"/>
        </w:rPr>
        <w:t>15</w:t>
      </w:r>
      <w:r>
        <w:rPr>
          <w:rFonts w:hint="eastAsia"/>
        </w:rPr>
        <w:t>题</w:t>
      </w:r>
    </w:p>
    <w:p w14:paraId="2C773B43">
      <w:pPr>
        <w:pStyle w:val="5"/>
        <w:ind w:left="0" w:leftChars="0" w:firstLine="0" w:firstLineChars="0"/>
        <w:rPr>
          <w:rFonts w:hint="eastAsia"/>
        </w:rPr>
      </w:pPr>
      <w:r>
        <w:rPr>
          <w:rFonts w:hint="eastAsia"/>
        </w:rPr>
        <w:t>双绞线是电气类</w:t>
      </w:r>
    </w:p>
    <w:p w14:paraId="3BAFA751">
      <w:pPr>
        <w:pStyle w:val="5"/>
        <w:ind w:left="0" w:leftChars="0" w:firstLine="0" w:firstLineChars="0"/>
        <w:rPr>
          <w:rFonts w:hint="eastAsia"/>
        </w:rPr>
      </w:pPr>
      <w:r>
        <w:rPr>
          <w:rFonts w:hint="eastAsia"/>
        </w:rPr>
        <w:t>同轴电缆是电气类</w:t>
      </w:r>
    </w:p>
    <w:p w14:paraId="77FEE581">
      <w:pPr>
        <w:pStyle w:val="5"/>
        <w:ind w:left="0" w:leftChars="0" w:firstLine="0" w:firstLineChars="0"/>
        <w:rPr>
          <w:rFonts w:hint="eastAsia"/>
        </w:rPr>
      </w:pPr>
      <w:r>
        <w:rPr>
          <w:rFonts w:hint="eastAsia"/>
        </w:rPr>
        <w:t>光纤是光类</w:t>
      </w:r>
    </w:p>
    <w:p w14:paraId="71B4D678">
      <w:pPr>
        <w:pStyle w:val="5"/>
        <w:ind w:left="0" w:leftChars="0" w:firstLine="0" w:firstLineChars="0"/>
        <w:rPr>
          <w:rFonts w:hint="eastAsia"/>
        </w:rPr>
      </w:pPr>
      <w:r>
        <w:rPr>
          <w:rFonts w:hint="eastAsia"/>
        </w:rPr>
        <w:t>微波是无线电波类</w:t>
      </w:r>
    </w:p>
    <w:p w14:paraId="07D1CC01">
      <w:pPr>
        <w:pStyle w:val="3"/>
        <w:spacing w:before="360" w:after="180"/>
        <w:ind w:left="0" w:leftChars="0" w:firstLine="0" w:firstLineChars="0"/>
      </w:pPr>
      <w:r>
        <w:rPr>
          <w:rFonts w:hint="eastAsia"/>
        </w:rPr>
        <w:t>第</w:t>
      </w:r>
      <w:r>
        <w:rPr>
          <w:rFonts w:hint="eastAsia"/>
          <w:lang w:val="en-US" w:eastAsia="zh-CN"/>
        </w:rPr>
        <w:t>16</w:t>
      </w:r>
      <w:r>
        <w:rPr>
          <w:rFonts w:hint="eastAsia"/>
        </w:rPr>
        <w:t>题</w:t>
      </w:r>
    </w:p>
    <w:p w14:paraId="03FE0F6A">
      <w:pPr>
        <w:pStyle w:val="5"/>
        <w:ind w:left="0" w:leftChars="0" w:firstLine="0" w:firstLineChars="0"/>
        <w:rPr>
          <w:rFonts w:hint="eastAsia"/>
          <w:b/>
          <w:bCs/>
        </w:rPr>
      </w:pPr>
      <w:r>
        <w:rPr>
          <w:rFonts w:hint="eastAsia"/>
          <w:b/>
          <w:bCs/>
        </w:rPr>
        <w:t>1. 选择传输介质需要权衡的方面</w:t>
      </w:r>
    </w:p>
    <w:p w14:paraId="06DD8C11">
      <w:pPr>
        <w:pStyle w:val="5"/>
        <w:ind w:left="0" w:leftChars="0" w:firstLine="0" w:firstLineChars="0"/>
        <w:rPr>
          <w:rFonts w:hint="eastAsia"/>
        </w:rPr>
      </w:pPr>
      <w:r>
        <w:rPr>
          <w:rFonts w:hint="eastAsia"/>
        </w:rPr>
        <w:t>在选择网络传输介质时，通常需要综合考虑以下关键因素：</w:t>
      </w:r>
    </w:p>
    <w:p w14:paraId="20E488F3">
      <w:pPr>
        <w:pStyle w:val="5"/>
        <w:ind w:left="0" w:leftChars="0" w:firstLine="0" w:firstLineChars="0"/>
        <w:rPr>
          <w:rFonts w:hint="eastAsia"/>
        </w:rPr>
      </w:pPr>
      <w:r>
        <w:rPr>
          <w:rFonts w:hint="eastAsia"/>
        </w:rPr>
        <w:t>带宽能力：传输介质支持的数据传输速率。</w:t>
      </w:r>
    </w:p>
    <w:p w14:paraId="1B9D8050">
      <w:pPr>
        <w:pStyle w:val="5"/>
        <w:ind w:left="0" w:leftChars="0" w:firstLine="0" w:firstLineChars="0"/>
        <w:rPr>
          <w:rFonts w:hint="eastAsia"/>
        </w:rPr>
      </w:pPr>
      <w:r>
        <w:rPr>
          <w:rFonts w:hint="eastAsia"/>
        </w:rPr>
        <w:t>传输距离：介质在无需信号中继的情况下能传输的有效距离。</w:t>
      </w:r>
    </w:p>
    <w:p w14:paraId="7E060932">
      <w:pPr>
        <w:pStyle w:val="5"/>
        <w:ind w:left="0" w:leftChars="0" w:firstLine="0" w:firstLineChars="0"/>
        <w:rPr>
          <w:rFonts w:hint="eastAsia"/>
        </w:rPr>
      </w:pPr>
      <w:r>
        <w:rPr>
          <w:rFonts w:hint="eastAsia"/>
        </w:rPr>
        <w:t>抗干扰能力：抵御电磁干扰和射频干扰的能力。</w:t>
      </w:r>
    </w:p>
    <w:p w14:paraId="5FB1DE08">
      <w:pPr>
        <w:pStyle w:val="5"/>
        <w:ind w:left="0" w:leftChars="0" w:firstLine="0" w:firstLineChars="0"/>
        <w:rPr>
          <w:rFonts w:hint="eastAsia"/>
        </w:rPr>
      </w:pPr>
      <w:r>
        <w:rPr>
          <w:rFonts w:hint="eastAsia"/>
        </w:rPr>
        <w:t>成本：包括介质本身的材料价格、安装人工费用以及终端设备的成本。</w:t>
      </w:r>
    </w:p>
    <w:p w14:paraId="3C3C0ACE">
      <w:pPr>
        <w:pStyle w:val="5"/>
        <w:ind w:left="0" w:leftChars="0" w:firstLine="0" w:firstLineChars="0"/>
        <w:rPr>
          <w:rFonts w:hint="eastAsia"/>
        </w:rPr>
      </w:pPr>
      <w:r>
        <w:rPr>
          <w:rFonts w:hint="eastAsia"/>
        </w:rPr>
        <w:t>安装维护难度：物理布线的复杂度及后续维护的便捷性。</w:t>
      </w:r>
    </w:p>
    <w:p w14:paraId="2FA8C012">
      <w:pPr>
        <w:pStyle w:val="5"/>
        <w:ind w:left="0" w:leftChars="0" w:firstLine="0" w:firstLineChars="0"/>
        <w:rPr>
          <w:rFonts w:hint="eastAsia"/>
          <w:b/>
          <w:bCs/>
        </w:rPr>
      </w:pPr>
      <w:r>
        <w:rPr>
          <w:rFonts w:hint="eastAsia"/>
          <w:b/>
          <w:bCs/>
        </w:rPr>
        <w:t>2. 为何企业内部多用导线？</w:t>
      </w:r>
    </w:p>
    <w:p w14:paraId="34312392">
      <w:pPr>
        <w:pStyle w:val="5"/>
        <w:ind w:left="0" w:leftChars="0" w:firstLine="0" w:firstLineChars="0"/>
        <w:rPr>
          <w:rFonts w:hint="eastAsia"/>
        </w:rPr>
      </w:pPr>
      <w:r>
        <w:rPr>
          <w:rFonts w:hint="eastAsia"/>
        </w:rPr>
        <w:t>企业内部网络主要通过双绞线布线，原因如下：</w:t>
      </w:r>
    </w:p>
    <w:p w14:paraId="3AE82FFD">
      <w:pPr>
        <w:pStyle w:val="5"/>
        <w:ind w:left="0" w:leftChars="0" w:firstLine="0" w:firstLineChars="0"/>
        <w:rPr>
          <w:rFonts w:hint="eastAsia"/>
        </w:rPr>
      </w:pPr>
      <w:r>
        <w:rPr>
          <w:rFonts w:hint="eastAsia"/>
        </w:rPr>
        <w:t>成本效益高： 对于短距离连接，双绞线及其配套设备的采购和安装成本远低于光纤系统。</w:t>
      </w:r>
    </w:p>
    <w:p w14:paraId="65CE44BF">
      <w:pPr>
        <w:pStyle w:val="5"/>
        <w:ind w:left="0" w:leftChars="0" w:firstLine="0" w:firstLineChars="0"/>
        <w:rPr>
          <w:rFonts w:hint="eastAsia"/>
        </w:rPr>
      </w:pPr>
      <w:r>
        <w:rPr>
          <w:rFonts w:hint="eastAsia"/>
        </w:rPr>
        <w:t>灵活性与便捷性： 双绞线质地较软，易于穿管、布线和连接，且终端设备接口普及度高，非常适合办公区域复杂、节点密集的布线需求。</w:t>
      </w:r>
    </w:p>
    <w:p w14:paraId="18683942">
      <w:pPr>
        <w:pStyle w:val="5"/>
        <w:ind w:left="0" w:leftChars="0" w:firstLine="0" w:firstLineChars="0"/>
        <w:rPr>
          <w:rFonts w:hint="eastAsia"/>
        </w:rPr>
      </w:pPr>
      <w:r>
        <w:rPr>
          <w:rFonts w:hint="eastAsia"/>
        </w:rPr>
        <w:t>满足办公需求： 在办公环境中，目前的千兆或万兆以太网标准完全可以由双绞线提供稳定的带宽支持。</w:t>
      </w:r>
    </w:p>
    <w:p w14:paraId="0EECEFA3">
      <w:pPr>
        <w:pStyle w:val="5"/>
        <w:ind w:left="0" w:leftChars="0" w:firstLine="0" w:firstLineChars="0"/>
        <w:rPr>
          <w:rFonts w:hint="eastAsia"/>
          <w:b/>
          <w:bCs/>
        </w:rPr>
      </w:pPr>
      <w:r>
        <w:rPr>
          <w:rFonts w:hint="eastAsia"/>
          <w:b/>
          <w:bCs/>
        </w:rPr>
        <w:t>3. 为何校区之间多使用光纤？</w:t>
      </w:r>
    </w:p>
    <w:p w14:paraId="12D736D3">
      <w:pPr>
        <w:pStyle w:val="5"/>
        <w:ind w:left="0" w:leftChars="0" w:firstLine="0" w:firstLineChars="0"/>
        <w:rPr>
          <w:rFonts w:hint="eastAsia"/>
        </w:rPr>
      </w:pPr>
      <w:r>
        <w:rPr>
          <w:rFonts w:hint="eastAsia"/>
        </w:rPr>
        <w:t>校区之间或骨干网络通常采用光纤，原因如下：</w:t>
      </w:r>
    </w:p>
    <w:p w14:paraId="3A7AA52A">
      <w:pPr>
        <w:pStyle w:val="5"/>
        <w:ind w:left="0" w:leftChars="0" w:firstLine="0" w:firstLineChars="0"/>
        <w:rPr>
          <w:rFonts w:hint="eastAsia"/>
        </w:rPr>
      </w:pPr>
      <w:r>
        <w:rPr>
          <w:rFonts w:hint="eastAsia"/>
        </w:rPr>
        <w:t>支持超远距离传输： 铜线的有效传输距离通常限制在 100 米以内，而单模光纤支持数十甚至上百公里的长距离传输，且无需频繁的中继器。</w:t>
      </w:r>
    </w:p>
    <w:p w14:paraId="7B91BACC">
      <w:pPr>
        <w:pStyle w:val="5"/>
        <w:ind w:left="0" w:leftChars="0" w:firstLine="0" w:firstLineChars="0"/>
        <w:rPr>
          <w:rFonts w:hint="eastAsia"/>
        </w:rPr>
      </w:pPr>
      <w:r>
        <w:rPr>
          <w:rFonts w:hint="eastAsia"/>
        </w:rPr>
        <w:t>极高的带宽： 光纤能够提供几乎无限的带宽，随着网络需求的增长，可以通过升级终端设备轻松实现升级，无需更换光纤本身。</w:t>
      </w:r>
    </w:p>
    <w:p w14:paraId="66BF44D7">
      <w:pPr>
        <w:pStyle w:val="5"/>
        <w:ind w:left="0" w:leftChars="0" w:firstLine="0" w:firstLineChars="0"/>
        <w:rPr>
          <w:rFonts w:hint="eastAsia"/>
        </w:rPr>
      </w:pPr>
      <w:r>
        <w:rPr>
          <w:rFonts w:hint="eastAsia"/>
        </w:rPr>
        <w:t>彻底的抗干扰能力： 外部环境电磁环境复杂，光纤传输的是光脉冲，完全不受电磁干扰的影响，信号传输质量极高。</w:t>
      </w:r>
    </w:p>
    <w:p w14:paraId="08A994CD">
      <w:pPr>
        <w:pStyle w:val="5"/>
        <w:ind w:left="0" w:leftChars="0" w:firstLine="0" w:firstLineChars="0"/>
        <w:rPr>
          <w:rFonts w:hint="eastAsia"/>
        </w:rPr>
      </w:pPr>
      <w:r>
        <w:rPr>
          <w:rFonts w:hint="eastAsia"/>
        </w:rPr>
        <w:t>安全性与耐用性： 光纤不导电，安全性好，且化学性质稳定，耐腐蚀，适合在严苛的户外或建筑间长久铺设。</w:t>
      </w:r>
    </w:p>
    <w:p w14:paraId="026CB459">
      <w:pPr>
        <w:pStyle w:val="2"/>
        <w:spacing w:before="360" w:after="180"/>
        <w:ind w:left="640" w:hanging="640"/>
        <w:rPr>
          <w:rFonts w:hint="eastAsia"/>
        </w:rPr>
      </w:pPr>
      <w:r>
        <w:rPr>
          <w:rFonts w:hint="eastAsia"/>
        </w:rPr>
        <w:t>三、编程题</w:t>
      </w:r>
    </w:p>
    <w:p w14:paraId="1F4F760D">
      <w:pPr>
        <w:pStyle w:val="5"/>
      </w:pPr>
      <w:r>
        <w:rPr>
          <w:rFonts w:hint="eastAsia"/>
        </w:rPr>
        <w:t>https://gitee.com/vintces/hwproject1</w:t>
      </w:r>
      <w:bookmarkStart w:id="0" w:name="_GoBack"/>
      <w:bookmarkEnd w:id="0"/>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attachedTemplate r:id="rId1"/>
  <w:documentProtection w:edit="readOnly" w:enforcement="0"/>
  <w:defaultTabStop w:val="420"/>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0467259A"/>
    <w:rsid w:val="084E1AF7"/>
    <w:rsid w:val="088A61B1"/>
    <w:rsid w:val="093D5348"/>
    <w:rsid w:val="0F3A2C32"/>
    <w:rsid w:val="18BF29A5"/>
    <w:rsid w:val="29E05449"/>
    <w:rsid w:val="2D153C85"/>
    <w:rsid w:val="2EC2522B"/>
    <w:rsid w:val="32294115"/>
    <w:rsid w:val="38E143F3"/>
    <w:rsid w:val="40D95004"/>
    <w:rsid w:val="42E6123E"/>
    <w:rsid w:val="433A4925"/>
    <w:rsid w:val="451C0790"/>
    <w:rsid w:val="455F0C25"/>
    <w:rsid w:val="473E1472"/>
    <w:rsid w:val="4C2715F5"/>
    <w:rsid w:val="546463D8"/>
    <w:rsid w:val="5F8F71D1"/>
    <w:rsid w:val="71056FF9"/>
    <w:rsid w:val="7A1B5AA3"/>
    <w:rsid w:val="7BC02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3"/>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4"/>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0"/>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1"/>
    <w:qFormat/>
    <w:uiPriority w:val="9"/>
    <w:pPr>
      <w:ind w:left="1984" w:hanging="400" w:hangingChars="400"/>
      <w:outlineLvl w:val="3"/>
    </w:pPr>
    <w:rPr>
      <w:rFonts w:eastAsiaTheme="minorEastAsia"/>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1"/>
    <w:qFormat/>
    <w:uiPriority w:val="34"/>
    <w:pPr>
      <w:spacing w:before="180" w:beforeLines="50" w:after="180" w:afterLines="50" w:line="360" w:lineRule="auto"/>
      <w:ind w:firstLine="480" w:firstLineChars="200"/>
    </w:pPr>
    <w:rPr>
      <w:szCs w:val="28"/>
    </w:rPr>
  </w:style>
  <w:style w:type="paragraph" w:styleId="7">
    <w:name w:val="footer"/>
    <w:basedOn w:val="1"/>
    <w:link w:val="17"/>
    <w:unhideWhenUsed/>
    <w:qFormat/>
    <w:uiPriority w:val="99"/>
    <w:pPr>
      <w:tabs>
        <w:tab w:val="center" w:pos="4153"/>
        <w:tab w:val="right" w:pos="8306"/>
      </w:tabs>
      <w:snapToGrid w:val="0"/>
      <w:jc w:val="center"/>
    </w:pPr>
    <w:rPr>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2"/>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19"/>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customStyle="1" w:styleId="16">
    <w:name w:val="页眉 字符"/>
    <w:basedOn w:val="13"/>
    <w:link w:val="8"/>
    <w:qFormat/>
    <w:uiPriority w:val="99"/>
    <w:rPr>
      <w:sz w:val="18"/>
      <w:szCs w:val="18"/>
    </w:rPr>
  </w:style>
  <w:style w:type="character" w:customStyle="1" w:styleId="17">
    <w:name w:val="页脚 字符"/>
    <w:basedOn w:val="13"/>
    <w:link w:val="7"/>
    <w:qFormat/>
    <w:uiPriority w:val="99"/>
    <w:rPr>
      <w:szCs w:val="18"/>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字符"/>
    <w:basedOn w:val="13"/>
    <w:link w:val="10"/>
    <w:qFormat/>
    <w:uiPriority w:val="10"/>
    <w:rPr>
      <w:rFonts w:asciiTheme="majorHAnsi" w:hAnsiTheme="majorHAnsi" w:eastAsiaTheme="majorEastAsia"/>
      <w:spacing w:val="10"/>
      <w:sz w:val="36"/>
      <w:szCs w:val="36"/>
    </w:rPr>
  </w:style>
  <w:style w:type="paragraph" w:styleId="20">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1">
    <w:name w:val="列表段落 字符"/>
    <w:basedOn w:val="13"/>
    <w:link w:val="5"/>
    <w:qFormat/>
    <w:uiPriority w:val="34"/>
    <w:rPr>
      <w:sz w:val="24"/>
      <w:szCs w:val="28"/>
    </w:rPr>
  </w:style>
  <w:style w:type="character" w:customStyle="1" w:styleId="22">
    <w:name w:val="副标题 字符"/>
    <w:basedOn w:val="13"/>
    <w:link w:val="9"/>
    <w:qFormat/>
    <w:uiPriority w:val="11"/>
    <w:rPr>
      <w:rFonts w:eastAsia="方正公文黑体" w:asciiTheme="majorHAnsi" w:hAnsiTheme="majorHAnsi"/>
      <w:bCs/>
      <w:kern w:val="28"/>
      <w:sz w:val="32"/>
      <w:szCs w:val="32"/>
    </w:rPr>
  </w:style>
  <w:style w:type="character" w:customStyle="1" w:styleId="23">
    <w:name w:val="标题 1 字符"/>
    <w:basedOn w:val="13"/>
    <w:link w:val="2"/>
    <w:qFormat/>
    <w:uiPriority w:val="9"/>
    <w:rPr>
      <w:rFonts w:asciiTheme="majorHAnsi" w:hAnsiTheme="majorHAnsi" w:eastAsiaTheme="majorEastAsia"/>
      <w:bCs/>
      <w:sz w:val="32"/>
      <w:szCs w:val="32"/>
    </w:rPr>
  </w:style>
  <w:style w:type="character" w:customStyle="1" w:styleId="24">
    <w:name w:val="标题 2 字符"/>
    <w:basedOn w:val="13"/>
    <w:link w:val="3"/>
    <w:qFormat/>
    <w:uiPriority w:val="9"/>
    <w:rPr>
      <w:rFonts w:cstheme="majorBidi"/>
      <w:b/>
      <w:sz w:val="28"/>
      <w:szCs w:val="32"/>
    </w:rPr>
  </w:style>
  <w:style w:type="character" w:customStyle="1" w:styleId="25">
    <w:name w:val="Intense Emphasis"/>
    <w:basedOn w:val="14"/>
    <w:qFormat/>
    <w:uiPriority w:val="21"/>
    <w:rPr>
      <w:rFonts w:eastAsia="方正公文黑体" w:asciiTheme="majorHAnsi" w:hAnsiTheme="majorHAnsi"/>
      <w:iCs w:val="0"/>
      <w:color w:val="auto"/>
    </w:rPr>
  </w:style>
  <w:style w:type="paragraph" w:styleId="26">
    <w:name w:val="Quote"/>
    <w:basedOn w:val="1"/>
    <w:next w:val="1"/>
    <w:link w:val="27"/>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7">
    <w:name w:val="引用 字符"/>
    <w:basedOn w:val="13"/>
    <w:link w:val="26"/>
    <w:qFormat/>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8">
    <w:name w:val="Intense Quote"/>
    <w:basedOn w:val="1"/>
    <w:next w:val="1"/>
    <w:link w:val="29"/>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29">
    <w:name w:val="明显引用 字符"/>
    <w:basedOn w:val="13"/>
    <w:link w:val="28"/>
    <w:qFormat/>
    <w:uiPriority w:val="30"/>
    <w:rPr>
      <w:rFonts w:eastAsia="方正公文楷体"/>
      <w:iCs/>
      <w:color w:val="4472C4" w:themeColor="accent1"/>
      <w:sz w:val="28"/>
      <w14:textFill>
        <w14:solidFill>
          <w14:schemeClr w14:val="accent1"/>
        </w14:solidFill>
      </w14:textFill>
    </w:rPr>
  </w:style>
  <w:style w:type="character" w:customStyle="1" w:styleId="30">
    <w:name w:val="标题 3 字符"/>
    <w:basedOn w:val="13"/>
    <w:link w:val="4"/>
    <w:qFormat/>
    <w:uiPriority w:val="9"/>
    <w:rPr>
      <w:rFonts w:asciiTheme="majorHAnsi" w:hAnsiTheme="majorHAnsi" w:eastAsiaTheme="majorEastAsia" w:cstheme="majorBidi"/>
      <w:b/>
      <w:bCs/>
      <w:kern w:val="32"/>
      <w:sz w:val="28"/>
      <w:szCs w:val="32"/>
    </w:rPr>
  </w:style>
  <w:style w:type="character" w:customStyle="1" w:styleId="31">
    <w:name w:val="标题 4 字符"/>
    <w:basedOn w:val="13"/>
    <w:link w:val="6"/>
    <w:qFormat/>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4</Pages>
  <Words>243</Words>
  <Characters>319</Characters>
  <Lines>89</Lines>
  <Paragraphs>97</Paragraphs>
  <TotalTime>1383</TotalTime>
  <ScaleCrop>false</ScaleCrop>
  <LinksUpToDate>false</LinksUpToDate>
  <CharactersWithSpaces>329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2026-03-14T19:14:07Z</dcterms:modified>
  <dc:title>厦门大学作业纸</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2052-12.1.0.25225</vt:lpwstr>
  </property>
  <property fmtid="{D5CDD505-2E9C-101B-9397-08002B2CF9AE}" pid="4" name="ICV">
    <vt:lpwstr>0464031236714EBEB5B5B644F4293295_12</vt:lpwstr>
  </property>
</Properties>
</file>