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F6DE8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第10课传输层：UDP 和TCP 协议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6BD83492">
      <w:pPr>
        <w:pStyle w:val="9"/>
        <w:spacing w:before="0" w:beforeLines="0" w:after="0" w:afterLines="0" w:line="240" w:lineRule="auto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软工24级2班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34520242201240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王子恒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065B654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89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</w:tblGrid>
      <w:tr w14:paraId="3053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3910A6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4EE0E05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819" w:type="dxa"/>
            <w:vAlign w:val="center"/>
          </w:tcPr>
          <w:p w14:paraId="240A2D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819" w:type="dxa"/>
            <w:vAlign w:val="center"/>
          </w:tcPr>
          <w:p w14:paraId="357EDDE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819" w:type="dxa"/>
            <w:vAlign w:val="center"/>
          </w:tcPr>
          <w:p w14:paraId="5F13150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819" w:type="dxa"/>
            <w:vAlign w:val="center"/>
          </w:tcPr>
          <w:p w14:paraId="7A1A4C8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819" w:type="dxa"/>
            <w:vAlign w:val="center"/>
          </w:tcPr>
          <w:p w14:paraId="5DF811C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819" w:type="dxa"/>
            <w:vAlign w:val="center"/>
          </w:tcPr>
          <w:p w14:paraId="10CF7EB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819" w:type="dxa"/>
            <w:vAlign w:val="center"/>
          </w:tcPr>
          <w:p w14:paraId="033D613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819" w:type="dxa"/>
            <w:vAlign w:val="center"/>
          </w:tcPr>
          <w:p w14:paraId="64C744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819" w:type="dxa"/>
            <w:vAlign w:val="center"/>
          </w:tcPr>
          <w:p w14:paraId="4BAC696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3122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1AC010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EAFAE5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04C079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  <w:tc>
          <w:tcPr>
            <w:tcW w:w="819" w:type="dxa"/>
            <w:vAlign w:val="center"/>
          </w:tcPr>
          <w:p w14:paraId="6702164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D</w:t>
            </w:r>
          </w:p>
        </w:tc>
        <w:tc>
          <w:tcPr>
            <w:tcW w:w="819" w:type="dxa"/>
            <w:vAlign w:val="center"/>
          </w:tcPr>
          <w:p w14:paraId="561DF93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  <w:tc>
          <w:tcPr>
            <w:tcW w:w="819" w:type="dxa"/>
            <w:vAlign w:val="center"/>
          </w:tcPr>
          <w:p w14:paraId="56EE6EC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  <w:tc>
          <w:tcPr>
            <w:tcW w:w="819" w:type="dxa"/>
            <w:vAlign w:val="center"/>
          </w:tcPr>
          <w:p w14:paraId="141C79D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D</w:t>
            </w:r>
          </w:p>
        </w:tc>
        <w:tc>
          <w:tcPr>
            <w:tcW w:w="819" w:type="dxa"/>
            <w:vAlign w:val="center"/>
          </w:tcPr>
          <w:p w14:paraId="237A499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D</w:t>
            </w:r>
          </w:p>
        </w:tc>
        <w:tc>
          <w:tcPr>
            <w:tcW w:w="819" w:type="dxa"/>
            <w:vAlign w:val="center"/>
          </w:tcPr>
          <w:p w14:paraId="25666A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D</w:t>
            </w:r>
          </w:p>
        </w:tc>
        <w:tc>
          <w:tcPr>
            <w:tcW w:w="819" w:type="dxa"/>
            <w:vAlign w:val="center"/>
          </w:tcPr>
          <w:p w14:paraId="650C692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  <w:tc>
          <w:tcPr>
            <w:tcW w:w="819" w:type="dxa"/>
            <w:vAlign w:val="center"/>
          </w:tcPr>
          <w:p w14:paraId="282BBDF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</w:tr>
      <w:tr w14:paraId="1DA4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068AA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1A608F9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819" w:type="dxa"/>
            <w:vAlign w:val="center"/>
          </w:tcPr>
          <w:p w14:paraId="05707C9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819" w:type="dxa"/>
            <w:vAlign w:val="center"/>
          </w:tcPr>
          <w:p w14:paraId="4767F7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819" w:type="dxa"/>
            <w:vAlign w:val="center"/>
          </w:tcPr>
          <w:p w14:paraId="7A8F03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819" w:type="dxa"/>
            <w:vAlign w:val="center"/>
          </w:tcPr>
          <w:p w14:paraId="5B85439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819" w:type="dxa"/>
            <w:vAlign w:val="center"/>
          </w:tcPr>
          <w:p w14:paraId="227E39B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819" w:type="dxa"/>
            <w:vAlign w:val="center"/>
          </w:tcPr>
          <w:p w14:paraId="5F79F19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819" w:type="dxa"/>
            <w:vAlign w:val="center"/>
          </w:tcPr>
          <w:p w14:paraId="6436C15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819" w:type="dxa"/>
            <w:vAlign w:val="center"/>
          </w:tcPr>
          <w:p w14:paraId="23A508D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819" w:type="dxa"/>
            <w:vAlign w:val="center"/>
          </w:tcPr>
          <w:p w14:paraId="0D51FE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0480D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55ADE96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BDF6E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  <w:tc>
          <w:tcPr>
            <w:tcW w:w="819" w:type="dxa"/>
            <w:vAlign w:val="center"/>
          </w:tcPr>
          <w:p w14:paraId="15B0676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2B7A94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189E2A6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06CD08A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02D1F61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D</w:t>
            </w:r>
          </w:p>
        </w:tc>
        <w:tc>
          <w:tcPr>
            <w:tcW w:w="819" w:type="dxa"/>
            <w:vAlign w:val="center"/>
          </w:tcPr>
          <w:p w14:paraId="4BD9A64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  <w:tc>
          <w:tcPr>
            <w:tcW w:w="819" w:type="dxa"/>
            <w:vAlign w:val="center"/>
          </w:tcPr>
          <w:p w14:paraId="77CC727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7950486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17F747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  <w:tr w14:paraId="5B72A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0B7E737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22C0F7C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21</w:t>
            </w:r>
          </w:p>
        </w:tc>
        <w:tc>
          <w:tcPr>
            <w:tcW w:w="819" w:type="dxa"/>
            <w:vAlign w:val="center"/>
          </w:tcPr>
          <w:p w14:paraId="336D36D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22</w:t>
            </w:r>
          </w:p>
        </w:tc>
        <w:tc>
          <w:tcPr>
            <w:tcW w:w="819" w:type="dxa"/>
            <w:vAlign w:val="center"/>
          </w:tcPr>
          <w:p w14:paraId="2F3793F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23</w:t>
            </w:r>
          </w:p>
        </w:tc>
        <w:tc>
          <w:tcPr>
            <w:tcW w:w="819" w:type="dxa"/>
            <w:vAlign w:val="center"/>
          </w:tcPr>
          <w:p w14:paraId="07F4C6B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24</w:t>
            </w:r>
          </w:p>
        </w:tc>
        <w:tc>
          <w:tcPr>
            <w:tcW w:w="819" w:type="dxa"/>
            <w:vAlign w:val="center"/>
          </w:tcPr>
          <w:p w14:paraId="536F184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25</w:t>
            </w:r>
          </w:p>
        </w:tc>
        <w:tc>
          <w:tcPr>
            <w:tcW w:w="819" w:type="dxa"/>
            <w:vAlign w:val="center"/>
          </w:tcPr>
          <w:p w14:paraId="531C9B4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26</w:t>
            </w:r>
          </w:p>
        </w:tc>
        <w:tc>
          <w:tcPr>
            <w:tcW w:w="819" w:type="dxa"/>
            <w:vAlign w:val="center"/>
          </w:tcPr>
          <w:p w14:paraId="18E5D0B9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27</w:t>
            </w:r>
          </w:p>
        </w:tc>
        <w:tc>
          <w:tcPr>
            <w:tcW w:w="819" w:type="dxa"/>
            <w:vAlign w:val="center"/>
          </w:tcPr>
          <w:p w14:paraId="54411D7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28</w:t>
            </w:r>
          </w:p>
        </w:tc>
        <w:tc>
          <w:tcPr>
            <w:tcW w:w="819" w:type="dxa"/>
            <w:vAlign w:val="center"/>
          </w:tcPr>
          <w:p w14:paraId="2949D0E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29</w:t>
            </w:r>
          </w:p>
        </w:tc>
        <w:tc>
          <w:tcPr>
            <w:tcW w:w="819" w:type="dxa"/>
            <w:vAlign w:val="center"/>
          </w:tcPr>
          <w:p w14:paraId="5FA167E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30</w:t>
            </w:r>
          </w:p>
        </w:tc>
      </w:tr>
      <w:tr w14:paraId="31A9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74F58DA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8A194D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3B3832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F8ECC8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0B4B6E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3EDF9A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041D297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063DF29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696266D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7271A9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5BD4C95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  <w:tr w14:paraId="764E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4C85AAA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9D0948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31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4B2351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  <w:t>32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1177F5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33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3D0F0D6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34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58C694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35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605BA6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36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FCC6DF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37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856C6C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38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316214B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39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5D817B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40</w:t>
            </w:r>
          </w:p>
        </w:tc>
      </w:tr>
      <w:tr w14:paraId="32E3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393CF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6430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C3A6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1530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05C4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4FE6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D348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AD80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4719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2D00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5934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  <w:tr w14:paraId="71FC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A100D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EE18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6F86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  <w:t>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0748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AB35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DFDA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7831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457C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17CA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E2E4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2F2D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50</w:t>
            </w:r>
          </w:p>
        </w:tc>
      </w:tr>
      <w:tr w14:paraId="424F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790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0EA3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54CE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275F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46A0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31C9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FA76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E19B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C2C4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881D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C8C0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</w:tbl>
    <w:p w14:paraId="5CD912DC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0D87B408">
      <w:pPr>
        <w:pStyle w:val="5"/>
        <w:ind w:left="0" w:leftChars="0" w:firstLine="0" w:firstLineChars="0"/>
        <w:rPr>
          <w:rFonts w:hint="eastAsia"/>
        </w:rPr>
      </w:pPr>
      <w:r>
        <w:rPr>
          <w:rStyle w:val="16"/>
          <w:rFonts w:ascii="宋体" w:hAnsi="宋体" w:eastAsia="宋体" w:cs="宋体"/>
          <w:sz w:val="24"/>
          <w:szCs w:val="24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18</w:t>
      </w:r>
      <w:r>
        <w:rPr>
          <w:rFonts w:hint="eastAsia"/>
        </w:rPr>
        <w:t>题</w:t>
      </w:r>
      <w:bookmarkStart w:id="0" w:name="_GoBack"/>
      <w:bookmarkEnd w:id="0"/>
    </w:p>
    <w:p>
      <w:r>
        <w:t>在实际网络应用中，网页浏览、文件传输和电子邮件等场景通常使用 TCP 实现，而视频直播、在线游戏和域名解析则更倾向于使用 UDP 实现。</w:t>
      </w:r>
    </w:p>
    <w:p>
      <w:r>
        <w:t>网页浏览和文件传输之所以必须使用 TCP，是因为这些场景对数据的准确性和完整性有极高的要求。TCP 是一种面向连接的协议，通过三次握手建立可靠的通信渠道，并在传输过程中利用确认应答和超时重传等机制，确保每一个数据包都能准确无误地按序到达。如果传输一个软件安装包时丢失了几个字节，整个程序可能就无法运行，所以必须牺牲一定的传输速度来换取数据的绝对可靠。</w:t>
      </w:r>
    </w:p>
    <w:p>
      <w:r>
        <w:t>视频直播和在线游戏等实时性要求较高的场景则更适合 UDP。UDP 协议是无连接的，它不需要像 TCP 那样耗费时间去建立和维护连接，也没有复杂的重传机制，因此数据传输的延迟非常低。在看足球比赛直播时，如果网络出现瞬间波动，丢失一两个视频帧通常不会影响整体观看，用户甚至察觉不到。但如果使用 TCP，协议会因为等待重传丢失的包而导致画面长时间卡顿，这对于强调即时体验的应用来说是不可接受的。</w:t>
      </w:r>
    </w:p>
    <w:p>
      <w:r>
        <w:t>域名系统即 DNS 查询也选择 UDP，主要是为了追求极高的响应效率。DNS 查询请求的数据量通常很小，UDP 较小的首部开销和无连接特性可以让查询过程几乎瞬间完成。即使偶尔发生查询失败，客户端也可以简单地发起重试，这比维护一个复杂的 TCP 连接要高效得多。</w:t>
      </w:r>
    </w:p>
    <w:tbl>
      <w:tblPr>
        <w:tblStyle w:val="1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特性维度</w:t>
            </w:r>
          </w:p>
        </w:tc>
        <w:tc>
          <w:tcPr>
            <w:tcW w:type="dxa" w:w="2880"/>
          </w:tcPr>
          <w:p>
            <w:r>
              <w:t>TCP 协议</w:t>
            </w:r>
          </w:p>
        </w:tc>
        <w:tc>
          <w:tcPr>
            <w:tcW w:type="dxa" w:w="2880"/>
          </w:tcPr>
          <w:p>
            <w:r>
              <w:t>UDP 协议</w:t>
            </w:r>
          </w:p>
        </w:tc>
      </w:tr>
      <w:tr>
        <w:tc>
          <w:tcPr>
            <w:tcW w:type="dxa" w:w="2880"/>
          </w:tcPr>
          <w:p>
            <w:r>
              <w:t>连接性</w:t>
            </w:r>
          </w:p>
        </w:tc>
        <w:tc>
          <w:tcPr>
            <w:tcW w:type="dxa" w:w="2880"/>
          </w:tcPr>
          <w:p>
            <w:r>
              <w:t>面向连接，需三次握手</w:t>
            </w:r>
          </w:p>
        </w:tc>
        <w:tc>
          <w:tcPr>
            <w:tcW w:type="dxa" w:w="2880"/>
          </w:tcPr>
          <w:p>
            <w:r>
              <w:t>无连接，直接发送数据</w:t>
            </w:r>
          </w:p>
        </w:tc>
      </w:tr>
      <w:tr>
        <w:tc>
          <w:tcPr>
            <w:tcW w:type="dxa" w:w="2880"/>
          </w:tcPr>
          <w:p>
            <w:r>
              <w:t>可靠性</w:t>
            </w:r>
          </w:p>
        </w:tc>
        <w:tc>
          <w:tcPr>
            <w:tcW w:type="dxa" w:w="2880"/>
          </w:tcPr>
          <w:p>
            <w:r>
              <w:t>提供可靠交付，无重复无丢失</w:t>
            </w:r>
          </w:p>
        </w:tc>
        <w:tc>
          <w:tcPr>
            <w:tcW w:type="dxa" w:w="2880"/>
          </w:tcPr>
          <w:p>
            <w:r>
              <w:t>尽力而为交付，不保证可靠性</w:t>
            </w:r>
          </w:p>
        </w:tc>
      </w:tr>
      <w:tr>
        <w:tc>
          <w:tcPr>
            <w:tcW w:type="dxa" w:w="2880"/>
          </w:tcPr>
          <w:p>
            <w:r>
              <w:t>传输开销</w:t>
            </w:r>
          </w:p>
        </w:tc>
        <w:tc>
          <w:tcPr>
            <w:tcW w:type="dxa" w:w="2880"/>
          </w:tcPr>
          <w:p>
            <w:r>
              <w:t>首部最少 20 字节，开销大</w:t>
            </w:r>
          </w:p>
        </w:tc>
        <w:tc>
          <w:tcPr>
            <w:tcW w:type="dxa" w:w="2880"/>
          </w:tcPr>
          <w:p>
            <w:r>
              <w:t>首部仅 8 字节，开销极小</w:t>
            </w:r>
          </w:p>
        </w:tc>
      </w:tr>
      <w:tr>
        <w:tc>
          <w:tcPr>
            <w:tcW w:type="dxa" w:w="2880"/>
          </w:tcPr>
          <w:p>
            <w:r>
              <w:t>传输方式</w:t>
            </w:r>
          </w:p>
        </w:tc>
        <w:tc>
          <w:tcPr>
            <w:tcW w:type="dxa" w:w="2880"/>
          </w:tcPr>
          <w:p>
            <w:r>
              <w:t>面向字节流</w:t>
            </w:r>
          </w:p>
        </w:tc>
        <w:tc>
          <w:tcPr>
            <w:tcW w:type="dxa" w:w="2880"/>
          </w:tcPr>
          <w:p>
            <w:r>
              <w:t>面向报文</w:t>
            </w:r>
          </w:p>
        </w:tc>
      </w:tr>
      <w:tr>
        <w:tc>
          <w:tcPr>
            <w:tcW w:type="dxa" w:w="2880"/>
          </w:tcPr>
          <w:p>
            <w:r>
              <w:t>实时性</w:t>
            </w:r>
          </w:p>
        </w:tc>
        <w:tc>
          <w:tcPr>
            <w:tcW w:type="dxa" w:w="2880"/>
          </w:tcPr>
          <w:p>
            <w:r>
              <w:t>较低，受拥塞控制和重传影响</w:t>
            </w:r>
          </w:p>
        </w:tc>
        <w:tc>
          <w:tcPr>
            <w:tcW w:type="dxa" w:w="2880"/>
          </w:tcPr>
          <w:p>
            <w:r>
              <w:t>较高，延迟低且响应快</w:t>
            </w:r>
          </w:p>
        </w:tc>
      </w:tr>
      <w:tr>
        <w:tc>
          <w:tcPr>
            <w:tcW w:type="dxa" w:w="2880"/>
          </w:tcPr>
          <w:p>
            <w:r>
              <w:t>通信形式</w:t>
            </w:r>
          </w:p>
        </w:tc>
        <w:tc>
          <w:tcPr>
            <w:tcW w:type="dxa" w:w="2880"/>
          </w:tcPr>
          <w:p>
            <w:r>
              <w:t>仅支持一对一通信</w:t>
            </w:r>
          </w:p>
        </w:tc>
        <w:tc>
          <w:tcPr>
            <w:tcW w:type="dxa" w:w="2880"/>
          </w:tcPr>
          <w:p>
            <w:r>
              <w:t>支持一对一、一对多、多对多广播</w:t>
            </w:r>
          </w:p>
        </w:tc>
      </w:tr>
    </w:tbl>
    <w:p/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19</w:t>
      </w:r>
      <w:r>
        <w:rPr>
          <w:rFonts w:hint="eastAsia"/>
        </w:rPr>
        <w:t>题</w:t>
      </w:r>
      <w:bookmarkStart w:id="0" w:name="_GoBack"/>
      <w:bookmarkEnd w:id="0"/>
    </w:p>
    <w:p>
      <w:r>
        <w:t>在传输层中，TCP 段头部和 UDP 报文头部的设计理念截然不同。TCP 头部通过复杂的字段设计来确保连接的可靠性和流量控制，而 UDP 头部则保持极简，仅提供最基本的复用分用和差错检测功能。这里的核心区别在于 TCP 拥有用于管理状态和保证数据顺序的控制信息。</w:t>
      </w:r>
    </w:p>
    <w:p>
      <w:r>
        <w:t>UDP 报文头部由四个固定字段组成，总长度仅为 8 个字节。这四个字段分别是源端口号、目的端口号、16 位 UDP 长度以及 16 位校验和。源端口和目的端口用于识别进程，长度字段指明了包括首部在内的整个数据报的大小，校验和则用于检测数据在传输过程中是否出现了位错误。</w:t>
      </w:r>
    </w:p>
    <w:p>
      <w:r>
        <w:t>TCP 段头部的格式则要复杂得多，在不包含选项字段的情况下，其固定长度为 20 个字节。其主要字段包括源端口、目的端口、32 位序号和 32 位确认号。此外还包含 4 位首部长度、保留位、控制位、16 位窗口、16 位校验和、16 位紧急指针以及可选的变长选项字段。其中序号和确认号是实现可靠传输的基础，控制位则负责连接的建立、重置和释放，窗口字段则直接关联着滑动窗口协议的流量控制机制。</w:t>
      </w:r>
    </w:p>
    <w:tbl>
      <w:tblPr>
        <w:tblStyle w:val="1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协议类型</w:t>
            </w:r>
          </w:p>
        </w:tc>
        <w:tc>
          <w:tcPr>
            <w:tcW w:type="dxa" w:w="2880"/>
          </w:tcPr>
          <w:p>
            <w:r>
              <w:t>主要头部字段</w:t>
            </w:r>
          </w:p>
        </w:tc>
        <w:tc>
          <w:tcPr>
            <w:tcW w:type="dxa" w:w="2880"/>
          </w:tcPr>
          <w:p>
            <w:r>
              <w:t>固定长度</w:t>
            </w:r>
          </w:p>
        </w:tc>
      </w:tr>
      <w:tr>
        <w:tc>
          <w:tcPr>
            <w:tcW w:type="dxa" w:w="2880"/>
          </w:tcPr>
          <w:p>
            <w:r>
              <w:t>UDP 报文</w:t>
            </w:r>
          </w:p>
        </w:tc>
        <w:tc>
          <w:tcPr>
            <w:tcW w:type="dxa" w:w="2880"/>
          </w:tcPr>
          <w:p>
            <w:r>
              <w:t>源端口、目的端口、长度、校验和</w:t>
            </w:r>
          </w:p>
        </w:tc>
        <w:tc>
          <w:tcPr>
            <w:tcW w:type="dxa" w:w="2880"/>
          </w:tcPr>
          <w:p>
            <w:r>
              <w:t>8 字节</w:t>
            </w:r>
          </w:p>
        </w:tc>
      </w:tr>
      <w:tr>
        <w:tc>
          <w:tcPr>
            <w:tcW w:type="dxa" w:w="2880"/>
          </w:tcPr>
          <w:p>
            <w:r>
              <w:t>TCP 段</w:t>
            </w:r>
          </w:p>
        </w:tc>
        <w:tc>
          <w:tcPr>
            <w:tcW w:type="dxa" w:w="2880"/>
          </w:tcPr>
          <w:p>
            <w:r>
              <w:t>源端口、目的端口、序号、确认号、首部长度、保留位、控制位（标志位）、窗口、校验和、紧急指针、选项（可选）</w:t>
            </w:r>
          </w:p>
        </w:tc>
        <w:tc>
          <w:tcPr>
            <w:tcW w:type="dxa" w:w="2880"/>
          </w:tcPr>
          <w:p>
            <w:r>
              <w:t>20 字节</w:t>
            </w:r>
          </w:p>
        </w:tc>
      </w:tr>
    </w:tbl>
    <w:p/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20</w:t>
      </w:r>
      <w:r>
        <w:rPr>
          <w:rFonts w:hint="eastAsia"/>
        </w:rPr>
        <w:t>题</w:t>
      </w:r>
      <w:bookmarkStart w:id="0" w:name="_GoBack"/>
      <w:bookmarkEnd w:id="0"/>
    </w:p>
    <w:p>
      <w:r>
        <w:t>发送广播无法通过 TCP 实现，主要是因为 TCP 协议在设计上是面向连接的点对点单播协议。广播通信要求将数据包同时发送给网络中的所有主机，而 TCP 必须在通信前通过三次握手建立确定的端到端连接，这使得它无法应对不确定的多个接收方。此外，TCP 的可靠性依赖于确认应答和重传机制。如果使用 TCP 进行广播，发送方将不得不记录并维护每一个接收方的状态，包括确认号、窗口大小以及拥塞情况，这在逻辑和资源开销上都是不可行的。因此，广播这种一对多的通信方式只能通过无连接的传输层协议实现。</w:t>
      </w:r>
    </w:p>
    <w:tbl>
      <w:tblPr>
        <w:tblStyle w:val="1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特性维度</w:t>
            </w:r>
          </w:p>
        </w:tc>
        <w:tc>
          <w:tcPr>
            <w:tcW w:type="dxa" w:w="2880"/>
          </w:tcPr>
          <w:p>
            <w:r>
              <w:t>TCP 协议要求</w:t>
            </w:r>
          </w:p>
        </w:tc>
        <w:tc>
          <w:tcPr>
            <w:tcW w:type="dxa" w:w="2880"/>
          </w:tcPr>
          <w:p>
            <w:r>
              <w:t>广播通信需求</w:t>
            </w:r>
          </w:p>
        </w:tc>
      </w:tr>
      <w:tr>
        <w:tc>
          <w:tcPr>
            <w:tcW w:type="dxa" w:w="2880"/>
          </w:tcPr>
          <w:p>
            <w:r>
              <w:t>连接方式</w:t>
            </w:r>
          </w:p>
        </w:tc>
        <w:tc>
          <w:tcPr>
            <w:tcW w:type="dxa" w:w="2880"/>
          </w:tcPr>
          <w:p>
            <w:r>
              <w:t>必须建立点对点连接</w:t>
            </w:r>
          </w:p>
        </w:tc>
        <w:tc>
          <w:tcPr>
            <w:tcW w:type="dxa" w:w="2880"/>
          </w:tcPr>
          <w:p>
            <w:r>
              <w:t>无需建立连接，一对多发送</w:t>
            </w:r>
          </w:p>
        </w:tc>
      </w:tr>
      <w:tr>
        <w:tc>
          <w:tcPr>
            <w:tcW w:type="dxa" w:w="2880"/>
          </w:tcPr>
          <w:p>
            <w:r>
              <w:t>目标确定性</w:t>
            </w:r>
          </w:p>
        </w:tc>
        <w:tc>
          <w:tcPr>
            <w:tcW w:type="dxa" w:w="2880"/>
          </w:tcPr>
          <w:p>
            <w:r>
              <w:t>必须有明确唯一的对端</w:t>
            </w:r>
          </w:p>
        </w:tc>
        <w:tc>
          <w:tcPr>
            <w:tcW w:type="dxa" w:w="2880"/>
          </w:tcPr>
          <w:p>
            <w:r>
              <w:t>目标是不确定的群体</w:t>
            </w:r>
          </w:p>
        </w:tc>
      </w:tr>
      <w:tr>
        <w:tc>
          <w:tcPr>
            <w:tcW w:type="dxa" w:w="2880"/>
          </w:tcPr>
          <w:p>
            <w:r>
              <w:t>可靠性机制</w:t>
            </w:r>
          </w:p>
        </w:tc>
        <w:tc>
          <w:tcPr>
            <w:tcW w:type="dxa" w:w="2880"/>
          </w:tcPr>
          <w:p>
            <w:r>
              <w:t>依赖每个包的确认与重传</w:t>
            </w:r>
          </w:p>
        </w:tc>
        <w:tc>
          <w:tcPr>
            <w:tcW w:type="dxa" w:w="2880"/>
          </w:tcPr>
          <w:p>
            <w:r>
              <w:t>通常不要求每个接收方都强制确认</w:t>
            </w:r>
          </w:p>
        </w:tc>
      </w:tr>
      <w:tr>
        <w:tc>
          <w:tcPr>
            <w:tcW w:type="dxa" w:w="2880"/>
          </w:tcPr>
          <w:p>
            <w:r>
              <w:t>状态维护</w:t>
            </w:r>
          </w:p>
        </w:tc>
        <w:tc>
          <w:tcPr>
            <w:tcW w:type="dxa" w:w="2880"/>
          </w:tcPr>
          <w:p>
            <w:r>
              <w:t>需要维护序列号和状态机</w:t>
            </w:r>
          </w:p>
        </w:tc>
        <w:tc>
          <w:tcPr>
            <w:tcW w:type="dxa" w:w="2880"/>
          </w:tcPr>
          <w:p>
            <w:r>
              <w:t>发送方不记录接收方状态</w:t>
            </w:r>
          </w:p>
        </w:tc>
      </w:tr>
    </w:tbl>
    <w:p/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21</w:t>
      </w:r>
      <w:r>
        <w:rPr>
          <w:rFonts w:hint="eastAsia"/>
        </w:rPr>
        <w:t>题</w:t>
      </w:r>
      <w:bookmarkStart w:id="0" w:name="_GoBack"/>
      <w:bookmarkEnd w:id="0"/>
    </w:p>
    <w:p>
      <w:r>
        <w:t>经过对题中提供的 IP 分组和 TCP 段首部信息进行详细分析，现将作业要求的各项问题回答如下。</w:t>
      </w:r>
    </w:p>
    <w:p>
      <w:r>
        <w:t>第一，关于分组的发送者、连接过程及填充情况的分析。由主机 H 发送的分组编号为 1、3、4。这是因为这三个分组的源 IP 地址字段均为 c0 a8 00 08H，即 192.168.0.8。完成 TCP 连接建立过程的分组编号为 1、2、3。分组 1 的标志位为 SYN，分组 2 为 SYN 加 ACK，分组 3 为 ACK，这正是典型的三次握手过程。在通过快速以太网传输时进行了填充的分组编号为 3、5。根据 IP 首部的总长度字段可知，这两个分组的长度均为 40 字节，而以太网帧要求的最小有效载荷为 46 字节，因此不足的部分会被填充。</w:t>
      </w:r>
    </w:p>
    <w:tbl>
      <w:tblPr>
        <w:tblStyle w:val="1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分组编号</w:t>
            </w:r>
          </w:p>
        </w:tc>
        <w:tc>
          <w:tcPr>
            <w:tcW w:type="dxa" w:w="1728"/>
          </w:tcPr>
          <w:p>
            <w:r>
              <w:t>发送方</w:t>
            </w:r>
          </w:p>
        </w:tc>
        <w:tc>
          <w:tcPr>
            <w:tcW w:type="dxa" w:w="1728"/>
          </w:tcPr>
          <w:p>
            <w:r>
              <w:t>TCP 标志位</w:t>
            </w:r>
          </w:p>
        </w:tc>
        <w:tc>
          <w:tcPr>
            <w:tcW w:type="dxa" w:w="1728"/>
          </w:tcPr>
          <w:p>
            <w:r>
              <w:t>IP 总长度 (字节)</w:t>
            </w:r>
          </w:p>
        </w:tc>
        <w:tc>
          <w:tcPr>
            <w:tcW w:type="dxa" w:w="1728"/>
          </w:tcPr>
          <w:p>
            <w:r>
              <w:t>是否填充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主机 H</w:t>
            </w:r>
          </w:p>
        </w:tc>
        <w:tc>
          <w:tcPr>
            <w:tcW w:type="dxa" w:w="1728"/>
          </w:tcPr>
          <w:p>
            <w:r>
              <w:t>SYN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服务器 S</w:t>
            </w:r>
          </w:p>
        </w:tc>
        <w:tc>
          <w:tcPr>
            <w:tcW w:type="dxa" w:w="1728"/>
          </w:tcPr>
          <w:p>
            <w:r>
              <w:t>SYN + ACK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主机 H</w:t>
            </w:r>
          </w:p>
        </w:tc>
        <w:tc>
          <w:tcPr>
            <w:tcW w:type="dxa" w:w="1728"/>
          </w:tcPr>
          <w:p>
            <w:r>
              <w:t>ACK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主机 H</w:t>
            </w:r>
          </w:p>
        </w:tc>
        <w:tc>
          <w:tcPr>
            <w:tcW w:type="dxa" w:w="1728"/>
          </w:tcPr>
          <w:p>
            <w:r>
              <w:t>ACK + PSH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服务器 S</w:t>
            </w:r>
          </w:p>
        </w:tc>
        <w:tc>
          <w:tcPr>
            <w:tcW w:type="dxa" w:w="1728"/>
          </w:tcPr>
          <w:p>
            <w:r>
              <w:t>ACK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</w:tbl>
    <w:p/>
    <w:p>
      <w:r>
        <w:t>第二，服务器 S 已经收到的应用层数据字节数为 16 字节。分析过程是查看 TCP 的序号变化。连接建立后，主机 H 发送数据的起始序号即分组 3 中的序号，为 84 6b 41 c6H。根据分组 5 可知，服务器 S 发回的确认号为 84 6b 41 d6H。确认号表示服务器期望收到的下一个字节序号，因此已成功接收的数据量为确认号与起始序号之差，计算得出十六进制差值为 10H，转换成十进制即为 16 字节。</w:t>
      </w:r>
    </w:p>
    <w:p>
      <w:r>
        <w:t>第三，该 IP 分组到达 H 时经过了 15 个路由器。通过题 47-b 表中该分组的标识字段 68 11H 可以确认，它对应题 47-a 表中的分组 5。该分组在服务器 S 发出时的生存时间 TTL 字段为 40H，即十进制的 64。当该分组到达主机 H 被捕获时，其 TTL 字段已变为 31H，即十进制的 49。根据 TTL 在每经过一个路由器时减 1 的规则，两者之差 64 减去 49 等于 15，说明在传输路径中该分组共经过了 15 个路由器。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026CB459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1F4F760D">
      <w:pPr>
        <w:pStyle w:val="5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22:https://gitee.com/vintces/hwproject23</w:t>
      </w:r>
    </w:p>
    <w:p w14:paraId="4670A1A6">
      <w:pPr>
        <w:pStyle w:val="2"/>
        <w:spacing w:before="360" w:after="180"/>
        <w:ind w:left="640" w:hanging="640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  <w:embedRegular r:id="rId1" w:fontKey="{5F46B3B6-AB68-4060-A26D-330CB97E17CA}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2" w:fontKey="{6536DF7B-F7F4-4E9F-A260-2E45853E8F3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6D37E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F18B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2D8D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2A117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F1CCDBA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55CD9F6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C54BA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9191B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TrueTypeFonts/>
  <w:saveSubsetFonts/>
  <w:bordersDoNotSurroundHeader w:val="0"/>
  <w:bordersDoNotSurroundFooter w:val="0"/>
  <w:attachedTemplate r:id="rId1"/>
  <w:documentProtection w:edit="readOnly" w:enforcement="0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940031D"/>
    <w:rsid w:val="0EAF7AB2"/>
    <w:rsid w:val="0FBC7ECB"/>
    <w:rsid w:val="133D0615"/>
    <w:rsid w:val="141C5A41"/>
    <w:rsid w:val="18B60E17"/>
    <w:rsid w:val="1BC931D8"/>
    <w:rsid w:val="27F23AB1"/>
    <w:rsid w:val="2D153C85"/>
    <w:rsid w:val="37BA1AB4"/>
    <w:rsid w:val="4BB76535"/>
    <w:rsid w:val="60EB4F64"/>
    <w:rsid w:val="67437E7B"/>
    <w:rsid w:val="7A287175"/>
    <w:rsid w:val="7A8458D1"/>
    <w:rsid w:val="7D68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5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1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2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2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3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20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3"/>
    <w:link w:val="7"/>
    <w:qFormat/>
    <w:uiPriority w:val="99"/>
    <w:rPr>
      <w:szCs w:val="18"/>
    </w:rPr>
  </w:style>
  <w:style w:type="character" w:customStyle="1" w:styleId="19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2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3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4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5">
    <w:name w:val="标题 2 字符"/>
    <w:basedOn w:val="13"/>
    <w:link w:val="3"/>
    <w:qFormat/>
    <w:uiPriority w:val="9"/>
    <w:rPr>
      <w:rFonts w:cstheme="majorBidi"/>
      <w:b/>
      <w:sz w:val="28"/>
      <w:szCs w:val="32"/>
    </w:rPr>
  </w:style>
  <w:style w:type="character" w:customStyle="1" w:styleId="26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7">
    <w:name w:val="Quote"/>
    <w:basedOn w:val="1"/>
    <w:next w:val="1"/>
    <w:link w:val="28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3"/>
    <w:link w:val="27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Intense Quote"/>
    <w:basedOn w:val="1"/>
    <w:next w:val="1"/>
    <w:link w:val="30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明显引用 字符"/>
    <w:basedOn w:val="13"/>
    <w:link w:val="29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1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2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Pages>2</Pages>
  <Words>287</Words>
  <Characters>816</Characters>
  <Lines>89</Lines>
  <Paragraphs>97</Paragraphs>
  <TotalTime>0</TotalTime>
  <ScaleCrop>false</ScaleCrop>
  <LinksUpToDate>false</LinksUpToDate>
  <CharactersWithSpaces>950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2026-03-05T03:52:00Z</dcterms:created>
  <dc:creator>黄炜</dc:creator>
  <cp:lastModifiedBy>15710668700</cp:lastModifiedBy>
  <cp:lastPrinted>2022-09-05T05:36:00Z</cp:lastPrinted>
  <dcterms:modified xsi:type="dcterms:W3CDTF">2026-04-20T01:38:34Z</dcterms:modified>
  <dc:title>厦门大学作业纸</dc:title>
  <cp:revision>1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0464031236714EBEB5B5B644F4293295_12</vt:lpwstr>
  </property>
</Properties>
</file>