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w:t>
      </w:r>
      <w:r>
        <w:rPr>
          <w:rFonts w:hint="eastAsia"/>
          <w:u w:val="single"/>
          <w:lang w:val="en-US" w:eastAsia="zh-CN"/>
        </w:rPr>
        <w:t>第14课客户和服务模式</w:t>
      </w:r>
      <w:r>
        <w:rPr>
          <w:rFonts w:hint="eastAsia"/>
          <w:u w:val="single"/>
        </w:rPr>
        <w:t xml:space="preserve">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软工24级2班</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89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5"/>
        <w:gridCol w:w="819"/>
        <w:gridCol w:w="819"/>
        <w:gridCol w:w="819"/>
        <w:gridCol w:w="819"/>
        <w:gridCol w:w="819"/>
        <w:gridCol w:w="819"/>
        <w:gridCol w:w="819"/>
        <w:gridCol w:w="819"/>
        <w:gridCol w:w="819"/>
        <w:gridCol w:w="819"/>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819"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819"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819"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819"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819"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819"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819"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819"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819"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EAFAE5A">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A</w:t>
            </w:r>
          </w:p>
        </w:tc>
        <w:tc>
          <w:tcPr>
            <w:tcW w:w="819" w:type="dxa"/>
            <w:vAlign w:val="center"/>
          </w:tcPr>
          <w:p w14:paraId="04C079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C</w:t>
            </w:r>
          </w:p>
        </w:tc>
        <w:tc>
          <w:tcPr>
            <w:tcW w:w="819" w:type="dxa"/>
            <w:vAlign w:val="center"/>
          </w:tcPr>
          <w:p w14:paraId="6702164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C</w:t>
            </w:r>
          </w:p>
        </w:tc>
        <w:tc>
          <w:tcPr>
            <w:tcW w:w="819" w:type="dxa"/>
            <w:vAlign w:val="center"/>
          </w:tcPr>
          <w:p w14:paraId="561DF93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D</w:t>
            </w:r>
          </w:p>
        </w:tc>
        <w:tc>
          <w:tcPr>
            <w:tcW w:w="819" w:type="dxa"/>
            <w:vAlign w:val="center"/>
          </w:tcPr>
          <w:p w14:paraId="56EE6EC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D</w:t>
            </w:r>
          </w:p>
        </w:tc>
        <w:tc>
          <w:tcPr>
            <w:tcW w:w="819" w:type="dxa"/>
            <w:vAlign w:val="center"/>
          </w:tcPr>
          <w:p w14:paraId="141C79D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A</w:t>
            </w:r>
          </w:p>
        </w:tc>
        <w:tc>
          <w:tcPr>
            <w:tcW w:w="819" w:type="dxa"/>
            <w:vAlign w:val="center"/>
          </w:tcPr>
          <w:p w14:paraId="237A499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B</w:t>
            </w:r>
          </w:p>
        </w:tc>
        <w:tc>
          <w:tcPr>
            <w:tcW w:w="819" w:type="dxa"/>
            <w:vAlign w:val="center"/>
          </w:tcPr>
          <w:p w14:paraId="25666A6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C</w:t>
            </w:r>
          </w:p>
        </w:tc>
        <w:tc>
          <w:tcPr>
            <w:tcW w:w="819" w:type="dxa"/>
            <w:vAlign w:val="center"/>
          </w:tcPr>
          <w:p w14:paraId="650C692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C</w:t>
            </w:r>
          </w:p>
        </w:tc>
        <w:tc>
          <w:tcPr>
            <w:tcW w:w="819" w:type="dxa"/>
            <w:vAlign w:val="center"/>
          </w:tcPr>
          <w:p w14:paraId="282BBDF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C</w:t>
            </w: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819"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819"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819"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819"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819"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819"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819"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819"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819"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819"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819" w:type="dxa"/>
            <w:vAlign w:val="center"/>
          </w:tcPr>
          <w:p w14:paraId="0BDF6EF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lang w:val="en-US" w:eastAsia="zh-CN"/>
              </w:rPr>
              <w:t>A</w:t>
            </w:r>
          </w:p>
        </w:tc>
        <w:tc>
          <w:tcPr>
            <w:tcW w:w="819" w:type="dxa"/>
            <w:vAlign w:val="center"/>
          </w:tcPr>
          <w:p w14:paraId="15B06760">
            <w:pPr>
              <w:jc w:val="center"/>
              <w:rPr>
                <w:rFonts w:ascii="Times New Roman" w:hAnsi="Times New Roman" w:eastAsia="宋体" w:cs="Times New Roman"/>
                <w:kern w:val="0"/>
                <w:szCs w:val="20"/>
              </w:rPr>
            </w:pPr>
          </w:p>
        </w:tc>
        <w:tc>
          <w:tcPr>
            <w:tcW w:w="819" w:type="dxa"/>
            <w:vAlign w:val="center"/>
          </w:tcPr>
          <w:p w14:paraId="2B7A9476">
            <w:pPr>
              <w:jc w:val="center"/>
              <w:rPr>
                <w:rFonts w:ascii="Times New Roman" w:hAnsi="Times New Roman" w:eastAsia="宋体" w:cs="Times New Roman"/>
                <w:kern w:val="0"/>
                <w:szCs w:val="20"/>
              </w:rPr>
            </w:pPr>
          </w:p>
        </w:tc>
        <w:tc>
          <w:tcPr>
            <w:tcW w:w="819" w:type="dxa"/>
            <w:vAlign w:val="center"/>
          </w:tcPr>
          <w:p w14:paraId="189E2A64">
            <w:pPr>
              <w:jc w:val="center"/>
              <w:rPr>
                <w:rFonts w:ascii="Times New Roman" w:hAnsi="Times New Roman" w:eastAsia="宋体" w:cs="Times New Roman"/>
                <w:kern w:val="0"/>
                <w:szCs w:val="20"/>
              </w:rPr>
            </w:pPr>
          </w:p>
        </w:tc>
        <w:tc>
          <w:tcPr>
            <w:tcW w:w="819" w:type="dxa"/>
            <w:vAlign w:val="center"/>
          </w:tcPr>
          <w:p w14:paraId="06CD08A9">
            <w:pPr>
              <w:jc w:val="center"/>
              <w:rPr>
                <w:rFonts w:ascii="Times New Roman" w:hAnsi="Times New Roman" w:eastAsia="宋体" w:cs="Times New Roman"/>
                <w:kern w:val="0"/>
                <w:szCs w:val="20"/>
              </w:rPr>
            </w:pPr>
          </w:p>
        </w:tc>
        <w:tc>
          <w:tcPr>
            <w:tcW w:w="819" w:type="dxa"/>
            <w:vAlign w:val="center"/>
          </w:tcPr>
          <w:p w14:paraId="02D1F611">
            <w:pPr>
              <w:jc w:val="center"/>
              <w:rPr>
                <w:rFonts w:ascii="Times New Roman" w:hAnsi="Times New Roman" w:eastAsia="宋体" w:cs="Times New Roman"/>
                <w:kern w:val="0"/>
                <w:szCs w:val="20"/>
              </w:rPr>
            </w:pPr>
          </w:p>
        </w:tc>
        <w:tc>
          <w:tcPr>
            <w:tcW w:w="819" w:type="dxa"/>
            <w:vAlign w:val="center"/>
          </w:tcPr>
          <w:p w14:paraId="4BD9A645">
            <w:pPr>
              <w:jc w:val="center"/>
              <w:rPr>
                <w:rFonts w:ascii="Times New Roman" w:hAnsi="Times New Roman" w:eastAsia="宋体" w:cs="Times New Roman"/>
                <w:kern w:val="0"/>
                <w:szCs w:val="20"/>
              </w:rPr>
            </w:pPr>
          </w:p>
        </w:tc>
        <w:tc>
          <w:tcPr>
            <w:tcW w:w="819" w:type="dxa"/>
            <w:vAlign w:val="center"/>
          </w:tcPr>
          <w:p w14:paraId="77CC7277">
            <w:pPr>
              <w:jc w:val="center"/>
              <w:rPr>
                <w:rFonts w:ascii="Times New Roman" w:hAnsi="Times New Roman" w:eastAsia="宋体" w:cs="Times New Roman"/>
                <w:kern w:val="0"/>
                <w:szCs w:val="20"/>
              </w:rPr>
            </w:pPr>
          </w:p>
        </w:tc>
        <w:tc>
          <w:tcPr>
            <w:tcW w:w="819" w:type="dxa"/>
            <w:vAlign w:val="center"/>
          </w:tcPr>
          <w:p w14:paraId="7950486C">
            <w:pPr>
              <w:jc w:val="center"/>
              <w:rPr>
                <w:rFonts w:ascii="Times New Roman" w:hAnsi="Times New Roman" w:eastAsia="宋体" w:cs="Times New Roman"/>
                <w:kern w:val="0"/>
                <w:szCs w:val="20"/>
              </w:rPr>
            </w:pPr>
          </w:p>
        </w:tc>
        <w:tc>
          <w:tcPr>
            <w:tcW w:w="819" w:type="dxa"/>
            <w:vAlign w:val="center"/>
          </w:tcPr>
          <w:p w14:paraId="17F7478E">
            <w:pPr>
              <w:jc w:val="center"/>
              <w:rPr>
                <w:rFonts w:ascii="Times New Roman" w:hAnsi="Times New Roman" w:eastAsia="宋体" w:cs="Times New Roman"/>
                <w:kern w:val="0"/>
                <w:szCs w:val="20"/>
              </w:rPr>
            </w:pPr>
          </w:p>
        </w:tc>
      </w:tr>
      <w:tr w14:paraId="5B72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05" w:type="dxa"/>
            <w:shd w:val="clear" w:color="auto" w:fill="auto"/>
            <w:vAlign w:val="center"/>
          </w:tcPr>
          <w:p w14:paraId="0B7E737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vAlign w:val="center"/>
          </w:tcPr>
          <w:p w14:paraId="22C0F7C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21</w:t>
            </w:r>
          </w:p>
        </w:tc>
        <w:tc>
          <w:tcPr>
            <w:tcW w:w="819" w:type="dxa"/>
            <w:vAlign w:val="center"/>
          </w:tcPr>
          <w:p w14:paraId="336D36D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22</w:t>
            </w:r>
          </w:p>
        </w:tc>
        <w:tc>
          <w:tcPr>
            <w:tcW w:w="819" w:type="dxa"/>
            <w:vAlign w:val="center"/>
          </w:tcPr>
          <w:p w14:paraId="2F3793FC">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23</w:t>
            </w:r>
          </w:p>
        </w:tc>
        <w:tc>
          <w:tcPr>
            <w:tcW w:w="819" w:type="dxa"/>
            <w:vAlign w:val="center"/>
          </w:tcPr>
          <w:p w14:paraId="07F4C6B3">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24</w:t>
            </w:r>
          </w:p>
        </w:tc>
        <w:tc>
          <w:tcPr>
            <w:tcW w:w="819" w:type="dxa"/>
            <w:vAlign w:val="center"/>
          </w:tcPr>
          <w:p w14:paraId="536F18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25</w:t>
            </w:r>
          </w:p>
        </w:tc>
        <w:tc>
          <w:tcPr>
            <w:tcW w:w="819" w:type="dxa"/>
            <w:vAlign w:val="center"/>
          </w:tcPr>
          <w:p w14:paraId="531C9B4F">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26</w:t>
            </w:r>
          </w:p>
        </w:tc>
        <w:tc>
          <w:tcPr>
            <w:tcW w:w="819" w:type="dxa"/>
            <w:vAlign w:val="center"/>
          </w:tcPr>
          <w:p w14:paraId="18E5D0B9">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27</w:t>
            </w:r>
          </w:p>
        </w:tc>
        <w:tc>
          <w:tcPr>
            <w:tcW w:w="819" w:type="dxa"/>
            <w:vAlign w:val="center"/>
          </w:tcPr>
          <w:p w14:paraId="54411D7E">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28</w:t>
            </w:r>
          </w:p>
        </w:tc>
        <w:tc>
          <w:tcPr>
            <w:tcW w:w="819" w:type="dxa"/>
            <w:vAlign w:val="center"/>
          </w:tcPr>
          <w:p w14:paraId="2949D0E6">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29</w:t>
            </w:r>
          </w:p>
        </w:tc>
        <w:tc>
          <w:tcPr>
            <w:tcW w:w="819" w:type="dxa"/>
            <w:vAlign w:val="center"/>
          </w:tcPr>
          <w:p w14:paraId="5FA167E7">
            <w:pPr>
              <w:jc w:val="center"/>
              <w:rPr>
                <w:rFonts w:hint="default" w:ascii="Times New Roman" w:hAnsi="Times New Roman" w:eastAsia="宋体" w:cs="Times New Roman"/>
                <w:kern w:val="0"/>
                <w:szCs w:val="20"/>
                <w:lang w:val="en-US" w:eastAsia="zh-CN"/>
              </w:rPr>
            </w:pPr>
            <w:r>
              <w:rPr>
                <w:rFonts w:hint="eastAsia" w:ascii="Times New Roman" w:hAnsi="Times New Roman" w:eastAsia="宋体" w:cs="Times New Roman"/>
                <w:kern w:val="0"/>
                <w:szCs w:val="20"/>
                <w:lang w:val="en-US" w:eastAsia="zh-CN"/>
              </w:rPr>
              <w:t>30</w:t>
            </w:r>
          </w:p>
        </w:tc>
      </w:tr>
      <w:tr w14:paraId="31A9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74F58DA6">
            <w:pPr>
              <w:jc w:val="center"/>
              <w:rPr>
                <w:rFonts w:hint="eastAsia" w:ascii="Times New Roman" w:hAnsi="Times New Roman" w:eastAsia="宋体" w:cs="Times New Roman"/>
                <w:kern w:val="0"/>
                <w:szCs w:val="20"/>
                <w:lang w:val="en-US" w:eastAsia="zh-CN"/>
              </w:rPr>
            </w:pPr>
            <w:r>
              <w:rPr>
                <w:rFonts w:hint="eastAsia" w:ascii="Times New Roman" w:hAnsi="Times New Roman" w:eastAsia="宋体" w:cs="Times New Roman"/>
                <w:kern w:val="0"/>
                <w:szCs w:val="20"/>
              </w:rPr>
              <w:t>选项</w:t>
            </w:r>
          </w:p>
        </w:tc>
        <w:tc>
          <w:tcPr>
            <w:tcW w:w="819" w:type="dxa"/>
            <w:shd w:val="clear" w:color="auto" w:fill="auto"/>
            <w:vAlign w:val="center"/>
          </w:tcPr>
          <w:p w14:paraId="18A194D6">
            <w:pPr>
              <w:jc w:val="center"/>
              <w:rPr>
                <w:rFonts w:hint="eastAsia" w:ascii="Times New Roman" w:hAnsi="Times New Roman" w:eastAsia="宋体" w:cs="Times New Roman"/>
                <w:kern w:val="0"/>
                <w:szCs w:val="20"/>
                <w:lang w:val="en-US" w:eastAsia="zh-CN"/>
              </w:rPr>
            </w:pPr>
          </w:p>
        </w:tc>
        <w:tc>
          <w:tcPr>
            <w:tcW w:w="819" w:type="dxa"/>
            <w:shd w:val="clear" w:color="auto" w:fill="auto"/>
            <w:vAlign w:val="center"/>
          </w:tcPr>
          <w:p w14:paraId="23B38321">
            <w:pPr>
              <w:jc w:val="center"/>
              <w:rPr>
                <w:rFonts w:hint="eastAsia" w:ascii="Times New Roman" w:hAnsi="Times New Roman" w:eastAsia="宋体" w:cs="Times New Roman"/>
                <w:kern w:val="0"/>
                <w:szCs w:val="20"/>
                <w:lang w:val="en-US" w:eastAsia="zh-CN"/>
              </w:rPr>
            </w:pPr>
          </w:p>
        </w:tc>
        <w:tc>
          <w:tcPr>
            <w:tcW w:w="819" w:type="dxa"/>
            <w:shd w:val="clear" w:color="auto" w:fill="auto"/>
            <w:vAlign w:val="center"/>
          </w:tcPr>
          <w:p w14:paraId="1F8ECC89">
            <w:pPr>
              <w:jc w:val="center"/>
              <w:rPr>
                <w:rFonts w:hint="eastAsia" w:ascii="Times New Roman" w:hAnsi="Times New Roman" w:eastAsia="宋体" w:cs="Times New Roman"/>
                <w:kern w:val="0"/>
                <w:szCs w:val="20"/>
                <w:lang w:val="en-US" w:eastAsia="zh-CN"/>
              </w:rPr>
            </w:pPr>
          </w:p>
        </w:tc>
        <w:tc>
          <w:tcPr>
            <w:tcW w:w="819" w:type="dxa"/>
            <w:shd w:val="clear" w:color="auto" w:fill="auto"/>
            <w:vAlign w:val="center"/>
          </w:tcPr>
          <w:p w14:paraId="10B4B6E9">
            <w:pPr>
              <w:jc w:val="center"/>
              <w:rPr>
                <w:rFonts w:hint="eastAsia" w:ascii="Times New Roman" w:hAnsi="Times New Roman" w:eastAsia="宋体" w:cs="Times New Roman"/>
                <w:kern w:val="0"/>
                <w:szCs w:val="20"/>
                <w:lang w:val="en-US" w:eastAsia="zh-CN"/>
              </w:rPr>
            </w:pPr>
          </w:p>
        </w:tc>
        <w:tc>
          <w:tcPr>
            <w:tcW w:w="819" w:type="dxa"/>
            <w:shd w:val="clear" w:color="auto" w:fill="auto"/>
            <w:vAlign w:val="center"/>
          </w:tcPr>
          <w:p w14:paraId="73EDF9A6">
            <w:pPr>
              <w:jc w:val="center"/>
              <w:rPr>
                <w:rFonts w:hint="eastAsia" w:ascii="Times New Roman" w:hAnsi="Times New Roman" w:eastAsia="宋体" w:cs="Times New Roman"/>
                <w:kern w:val="0"/>
                <w:szCs w:val="20"/>
                <w:lang w:val="en-US" w:eastAsia="zh-CN"/>
              </w:rPr>
            </w:pPr>
          </w:p>
        </w:tc>
        <w:tc>
          <w:tcPr>
            <w:tcW w:w="819" w:type="dxa"/>
            <w:shd w:val="clear" w:color="auto" w:fill="auto"/>
            <w:vAlign w:val="center"/>
          </w:tcPr>
          <w:p w14:paraId="041D2977">
            <w:pPr>
              <w:jc w:val="center"/>
              <w:rPr>
                <w:rFonts w:hint="eastAsia" w:ascii="Times New Roman" w:hAnsi="Times New Roman" w:eastAsia="宋体" w:cs="Times New Roman"/>
                <w:kern w:val="0"/>
                <w:szCs w:val="20"/>
                <w:lang w:val="en-US" w:eastAsia="zh-CN"/>
              </w:rPr>
            </w:pPr>
          </w:p>
        </w:tc>
        <w:tc>
          <w:tcPr>
            <w:tcW w:w="819" w:type="dxa"/>
            <w:shd w:val="clear" w:color="auto" w:fill="auto"/>
            <w:vAlign w:val="center"/>
          </w:tcPr>
          <w:p w14:paraId="063DF29E">
            <w:pPr>
              <w:jc w:val="center"/>
              <w:rPr>
                <w:rFonts w:hint="eastAsia" w:ascii="Times New Roman" w:hAnsi="Times New Roman" w:eastAsia="宋体" w:cs="Times New Roman"/>
                <w:kern w:val="0"/>
                <w:szCs w:val="20"/>
                <w:lang w:val="en-US" w:eastAsia="zh-CN"/>
              </w:rPr>
            </w:pPr>
          </w:p>
        </w:tc>
        <w:tc>
          <w:tcPr>
            <w:tcW w:w="819" w:type="dxa"/>
            <w:shd w:val="clear" w:color="auto" w:fill="auto"/>
            <w:vAlign w:val="center"/>
          </w:tcPr>
          <w:p w14:paraId="696266DF">
            <w:pPr>
              <w:jc w:val="center"/>
              <w:rPr>
                <w:rFonts w:hint="eastAsia" w:ascii="Times New Roman" w:hAnsi="Times New Roman" w:eastAsia="宋体" w:cs="Times New Roman"/>
                <w:kern w:val="0"/>
                <w:szCs w:val="20"/>
                <w:lang w:val="en-US" w:eastAsia="zh-CN"/>
              </w:rPr>
            </w:pPr>
          </w:p>
        </w:tc>
        <w:tc>
          <w:tcPr>
            <w:tcW w:w="819" w:type="dxa"/>
            <w:shd w:val="clear" w:color="auto" w:fill="auto"/>
            <w:vAlign w:val="center"/>
          </w:tcPr>
          <w:p w14:paraId="17271A98">
            <w:pPr>
              <w:jc w:val="center"/>
              <w:rPr>
                <w:rFonts w:hint="eastAsia" w:ascii="Times New Roman" w:hAnsi="Times New Roman" w:eastAsia="宋体" w:cs="Times New Roman"/>
                <w:kern w:val="0"/>
                <w:szCs w:val="20"/>
                <w:lang w:val="en-US" w:eastAsia="zh-CN"/>
              </w:rPr>
            </w:pPr>
          </w:p>
        </w:tc>
        <w:tc>
          <w:tcPr>
            <w:tcW w:w="819" w:type="dxa"/>
            <w:shd w:val="clear" w:color="auto" w:fill="auto"/>
            <w:vAlign w:val="center"/>
          </w:tcPr>
          <w:p w14:paraId="5BD4C953">
            <w:pPr>
              <w:jc w:val="center"/>
              <w:rPr>
                <w:rFonts w:hint="eastAsia" w:ascii="Times New Roman" w:hAnsi="Times New Roman" w:eastAsia="宋体" w:cs="Times New Roman"/>
                <w:kern w:val="0"/>
                <w:szCs w:val="20"/>
                <w:lang w:val="en-US" w:eastAsia="zh-CN"/>
              </w:rPr>
            </w:pPr>
          </w:p>
        </w:tc>
      </w:tr>
      <w:tr w14:paraId="764E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805" w:type="dxa"/>
            <w:shd w:val="clear" w:color="auto" w:fill="auto"/>
            <w:vAlign w:val="center"/>
          </w:tcPr>
          <w:p w14:paraId="4C85AAA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819" w:type="dxa"/>
            <w:shd w:val="clear" w:color="auto" w:fill="auto"/>
            <w:vAlign w:val="center"/>
          </w:tcPr>
          <w:p w14:paraId="29D09485">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31</w:t>
            </w:r>
          </w:p>
        </w:tc>
        <w:tc>
          <w:tcPr>
            <w:tcW w:w="819" w:type="dxa"/>
            <w:shd w:val="clear" w:color="auto" w:fill="auto"/>
            <w:vAlign w:val="center"/>
          </w:tcPr>
          <w:p w14:paraId="14B2351E">
            <w:pPr>
              <w:jc w:val="center"/>
              <w:rPr>
                <w:rFonts w:hint="default"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32</w:t>
            </w:r>
          </w:p>
        </w:tc>
        <w:tc>
          <w:tcPr>
            <w:tcW w:w="819" w:type="dxa"/>
            <w:shd w:val="clear" w:color="auto" w:fill="auto"/>
            <w:vAlign w:val="center"/>
          </w:tcPr>
          <w:p w14:paraId="21177F5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33</w:t>
            </w:r>
          </w:p>
        </w:tc>
        <w:tc>
          <w:tcPr>
            <w:tcW w:w="819" w:type="dxa"/>
            <w:shd w:val="clear" w:color="auto" w:fill="auto"/>
            <w:vAlign w:val="center"/>
          </w:tcPr>
          <w:p w14:paraId="3D0F0D6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34</w:t>
            </w:r>
          </w:p>
        </w:tc>
        <w:tc>
          <w:tcPr>
            <w:tcW w:w="819" w:type="dxa"/>
            <w:shd w:val="clear" w:color="auto" w:fill="auto"/>
            <w:vAlign w:val="center"/>
          </w:tcPr>
          <w:p w14:paraId="58C6944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35</w:t>
            </w:r>
          </w:p>
        </w:tc>
        <w:tc>
          <w:tcPr>
            <w:tcW w:w="819" w:type="dxa"/>
            <w:shd w:val="clear" w:color="auto" w:fill="auto"/>
            <w:vAlign w:val="center"/>
          </w:tcPr>
          <w:p w14:paraId="7605BA6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36</w:t>
            </w:r>
          </w:p>
        </w:tc>
        <w:tc>
          <w:tcPr>
            <w:tcW w:w="819" w:type="dxa"/>
            <w:shd w:val="clear" w:color="auto" w:fill="auto"/>
            <w:vAlign w:val="center"/>
          </w:tcPr>
          <w:p w14:paraId="2FCC6DF2">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37</w:t>
            </w:r>
          </w:p>
        </w:tc>
        <w:tc>
          <w:tcPr>
            <w:tcW w:w="819" w:type="dxa"/>
            <w:shd w:val="clear" w:color="auto" w:fill="auto"/>
            <w:vAlign w:val="center"/>
          </w:tcPr>
          <w:p w14:paraId="7856C6CF">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38</w:t>
            </w:r>
          </w:p>
        </w:tc>
        <w:tc>
          <w:tcPr>
            <w:tcW w:w="819" w:type="dxa"/>
            <w:shd w:val="clear" w:color="auto" w:fill="auto"/>
            <w:vAlign w:val="center"/>
          </w:tcPr>
          <w:p w14:paraId="316214B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39</w:t>
            </w:r>
          </w:p>
        </w:tc>
        <w:tc>
          <w:tcPr>
            <w:tcW w:w="819" w:type="dxa"/>
            <w:shd w:val="clear" w:color="auto" w:fill="auto"/>
            <w:vAlign w:val="center"/>
          </w:tcPr>
          <w:p w14:paraId="75D817B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40</w:t>
            </w:r>
          </w:p>
        </w:tc>
      </w:tr>
      <w:tr w14:paraId="32E3A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1A393CF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09A64301">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79FC3A61">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5D415304">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5DD05C4F">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2CB4FE6D">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585D3488">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59DAD802">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06847190">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0AF2D00A">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7DE59348">
            <w:pPr>
              <w:jc w:val="center"/>
              <w:rPr>
                <w:rFonts w:hint="eastAsia" w:ascii="Times New Roman" w:hAnsi="Times New Roman" w:eastAsia="宋体" w:cs="Times New Roman"/>
                <w:kern w:val="0"/>
                <w:sz w:val="24"/>
                <w:szCs w:val="20"/>
                <w:lang w:val="en-US" w:eastAsia="zh-CN" w:bidi="ar-SA"/>
              </w:rPr>
            </w:pPr>
          </w:p>
        </w:tc>
      </w:tr>
      <w:tr w14:paraId="71FC6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06A100DC">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题号</w:t>
            </w:r>
          </w:p>
        </w:tc>
        <w:tc>
          <w:tcPr>
            <w:tcW w:w="0" w:type="auto"/>
            <w:shd w:val="clear" w:color="auto" w:fill="auto"/>
            <w:vAlign w:val="center"/>
          </w:tcPr>
          <w:p w14:paraId="27EEE18D">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41</w:t>
            </w:r>
          </w:p>
        </w:tc>
        <w:tc>
          <w:tcPr>
            <w:tcW w:w="0" w:type="auto"/>
            <w:shd w:val="clear" w:color="auto" w:fill="auto"/>
            <w:vAlign w:val="center"/>
          </w:tcPr>
          <w:p w14:paraId="0886F86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 w:val="24"/>
                <w:szCs w:val="20"/>
                <w:lang w:val="en-US" w:eastAsia="zh-CN" w:bidi="ar-SA"/>
              </w:rPr>
              <w:t>42</w:t>
            </w:r>
          </w:p>
        </w:tc>
        <w:tc>
          <w:tcPr>
            <w:tcW w:w="0" w:type="auto"/>
            <w:shd w:val="clear" w:color="auto" w:fill="auto"/>
            <w:vAlign w:val="center"/>
          </w:tcPr>
          <w:p w14:paraId="52307487">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43</w:t>
            </w:r>
          </w:p>
        </w:tc>
        <w:tc>
          <w:tcPr>
            <w:tcW w:w="0" w:type="auto"/>
            <w:shd w:val="clear" w:color="auto" w:fill="auto"/>
            <w:vAlign w:val="center"/>
          </w:tcPr>
          <w:p w14:paraId="6D1AB354">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44</w:t>
            </w:r>
          </w:p>
        </w:tc>
        <w:tc>
          <w:tcPr>
            <w:tcW w:w="0" w:type="auto"/>
            <w:shd w:val="clear" w:color="auto" w:fill="auto"/>
            <w:vAlign w:val="center"/>
          </w:tcPr>
          <w:p w14:paraId="015DFDA1">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45</w:t>
            </w:r>
          </w:p>
        </w:tc>
        <w:tc>
          <w:tcPr>
            <w:tcW w:w="0" w:type="auto"/>
            <w:shd w:val="clear" w:color="auto" w:fill="auto"/>
            <w:vAlign w:val="center"/>
          </w:tcPr>
          <w:p w14:paraId="5487831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46</w:t>
            </w:r>
          </w:p>
        </w:tc>
        <w:tc>
          <w:tcPr>
            <w:tcW w:w="0" w:type="auto"/>
            <w:shd w:val="clear" w:color="auto" w:fill="auto"/>
            <w:vAlign w:val="center"/>
          </w:tcPr>
          <w:p w14:paraId="062457CE">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47</w:t>
            </w:r>
          </w:p>
        </w:tc>
        <w:tc>
          <w:tcPr>
            <w:tcW w:w="0" w:type="auto"/>
            <w:shd w:val="clear" w:color="auto" w:fill="auto"/>
            <w:vAlign w:val="center"/>
          </w:tcPr>
          <w:p w14:paraId="67A17CA9">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48</w:t>
            </w:r>
          </w:p>
        </w:tc>
        <w:tc>
          <w:tcPr>
            <w:tcW w:w="0" w:type="auto"/>
            <w:shd w:val="clear" w:color="auto" w:fill="auto"/>
            <w:vAlign w:val="center"/>
          </w:tcPr>
          <w:p w14:paraId="487E2E46">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49</w:t>
            </w:r>
          </w:p>
        </w:tc>
        <w:tc>
          <w:tcPr>
            <w:tcW w:w="0" w:type="auto"/>
            <w:shd w:val="clear" w:color="auto" w:fill="auto"/>
            <w:vAlign w:val="center"/>
          </w:tcPr>
          <w:p w14:paraId="5C72F2DB">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lang w:val="en-US" w:eastAsia="zh-CN"/>
              </w:rPr>
              <w:t>50</w:t>
            </w:r>
          </w:p>
        </w:tc>
      </w:tr>
      <w:tr w14:paraId="424F2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jc w:val="center"/>
        </w:trPr>
        <w:tc>
          <w:tcPr>
            <w:tcW w:w="0" w:type="auto"/>
            <w:shd w:val="clear" w:color="auto" w:fill="auto"/>
            <w:vAlign w:val="center"/>
          </w:tcPr>
          <w:p w14:paraId="3E67908A">
            <w:pPr>
              <w:jc w:val="center"/>
              <w:rPr>
                <w:rFonts w:hint="eastAsia" w:ascii="Times New Roman" w:hAnsi="Times New Roman" w:eastAsia="宋体" w:cs="Times New Roman"/>
                <w:kern w:val="0"/>
                <w:sz w:val="24"/>
                <w:szCs w:val="20"/>
                <w:lang w:val="en-US" w:eastAsia="zh-CN" w:bidi="ar-SA"/>
              </w:rPr>
            </w:pPr>
            <w:r>
              <w:rPr>
                <w:rFonts w:hint="eastAsia" w:ascii="Times New Roman" w:hAnsi="Times New Roman" w:eastAsia="宋体" w:cs="Times New Roman"/>
                <w:kern w:val="0"/>
                <w:szCs w:val="20"/>
              </w:rPr>
              <w:t>选项</w:t>
            </w:r>
          </w:p>
        </w:tc>
        <w:tc>
          <w:tcPr>
            <w:tcW w:w="0" w:type="auto"/>
            <w:shd w:val="clear" w:color="auto" w:fill="auto"/>
            <w:vAlign w:val="center"/>
          </w:tcPr>
          <w:p w14:paraId="4810EA3E">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44254CEA">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63A275F3">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37946A00">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0EE31C9A">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586FA768">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69AE19BC">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1EAC2C47">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26F881DA">
            <w:pPr>
              <w:jc w:val="center"/>
              <w:rPr>
                <w:rFonts w:hint="eastAsia" w:ascii="Times New Roman" w:hAnsi="Times New Roman" w:eastAsia="宋体" w:cs="Times New Roman"/>
                <w:kern w:val="0"/>
                <w:sz w:val="24"/>
                <w:szCs w:val="20"/>
                <w:lang w:val="en-US" w:eastAsia="zh-CN" w:bidi="ar-SA"/>
              </w:rPr>
            </w:pPr>
          </w:p>
        </w:tc>
        <w:tc>
          <w:tcPr>
            <w:tcW w:w="0" w:type="auto"/>
            <w:shd w:val="clear" w:color="auto" w:fill="auto"/>
            <w:vAlign w:val="center"/>
          </w:tcPr>
          <w:p w14:paraId="5A6C8C09">
            <w:pPr>
              <w:jc w:val="center"/>
              <w:rPr>
                <w:rFonts w:hint="eastAsia" w:ascii="Times New Roman" w:hAnsi="Times New Roman" w:eastAsia="宋体" w:cs="Times New Roman"/>
                <w:kern w:val="0"/>
                <w:sz w:val="24"/>
                <w:szCs w:val="20"/>
                <w:lang w:val="en-US" w:eastAsia="zh-CN" w:bidi="ar-SA"/>
              </w:rPr>
            </w:pPr>
          </w:p>
        </w:tc>
      </w:tr>
    </w:tbl>
    <w:p w14:paraId="5CD912DC">
      <w:pPr>
        <w:pStyle w:val="2"/>
        <w:spacing w:before="360" w:after="180"/>
        <w:ind w:left="640" w:hanging="640"/>
        <w:rPr>
          <w:rFonts w:hint="eastAsia"/>
        </w:rPr>
      </w:pPr>
      <w:r>
        <w:rPr>
          <w:rFonts w:hint="eastAsia"/>
        </w:rPr>
        <w:t>二、简答题</w:t>
      </w:r>
    </w:p>
    <w:p w14:paraId="0D87B408">
      <w:pPr>
        <w:pStyle w:val="5"/>
        <w:ind w:left="0" w:leftChars="0" w:firstLine="0" w:firstLineChars="0"/>
        <w:rPr>
          <w:rFonts w:hint="eastAsia"/>
        </w:rPr>
      </w:pPr>
    </w:p>
    <w:p w14:paraId="165CEDB9">
      <w:pPr>
        <w:pStyle w:val="3"/>
        <w:spacing w:before="360" w:after="180"/>
        <w:ind w:left="562" w:hanging="562"/>
        <w:rPr>
          <w:rFonts w:hint="default" w:eastAsiaTheme="minorEastAsia"/>
          <w:lang w:val="en-US" w:eastAsia="zh-CN"/>
        </w:rPr>
      </w:pPr>
      <w:r>
        <w:rPr>
          <w:rFonts w:hint="eastAsia"/>
        </w:rPr>
        <w:t>第</w:t>
      </w:r>
      <w:r>
        <w:rPr>
          <w:rFonts w:ascii="宋体" w:hAnsi="宋体" w:eastAsia="宋体" w:cs="宋体"/>
          <w:sz w:val="24"/>
          <w:szCs w:val="24"/>
        </w:rPr>
        <w:t>12</w:t>
      </w:r>
      <w:r>
        <w:rPr>
          <w:rFonts w:hint="eastAsia"/>
        </w:rPr>
        <w:t>题</w:t>
      </w:r>
    </w:p>
    <w:p w14:paraId="7347572F">
      <w:r>
        <w:t>标准的 TCP/IP 参考模型通常划分为应用层、传输层、网际层和网络接口层共四个层次。这些分层实现了从底层物理比特流传输到高层应用服务之间的完整逻辑对接，每一层都定义了特定的数据单位、编址方式和核心协议。这里的关键在于通过逐层封装和寻址，将不同物理网络连接起来，实现全球范围内的主机进程通信。</w:t>
      </w:r>
    </w:p>
    <w:p w14:paraId="664C4A64">
      <w:r>
        <w:t>为了更直观地展示各层的具体要素，我将相关的分层名称、传输单位、硬件设备及协议细节归纳如下：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323"/>
        <w:gridCol w:w="1197"/>
        <w:gridCol w:w="1205"/>
        <w:gridCol w:w="1202"/>
        <w:gridCol w:w="1224"/>
        <w:gridCol w:w="1197"/>
      </w:tblGrid>
      <w:tr w14:paraId="210C3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CDDE656">
            <w:r>
              <w:t>分层名称</w:t>
            </w:r>
          </w:p>
        </w:tc>
        <w:tc>
          <w:tcPr>
            <w:tcW w:w="1234" w:type="dxa"/>
          </w:tcPr>
          <w:p w14:paraId="0EDA61DA">
            <w:r>
              <w:t>传输最小单位</w:t>
            </w:r>
          </w:p>
        </w:tc>
        <w:tc>
          <w:tcPr>
            <w:tcW w:w="1234" w:type="dxa"/>
          </w:tcPr>
          <w:p w14:paraId="69A03F8F">
            <w:r>
              <w:t>网络设备名</w:t>
            </w:r>
          </w:p>
        </w:tc>
        <w:tc>
          <w:tcPr>
            <w:tcW w:w="1234" w:type="dxa"/>
          </w:tcPr>
          <w:p w14:paraId="5707B811">
            <w:r>
              <w:t>主要协议</w:t>
            </w:r>
          </w:p>
        </w:tc>
        <w:tc>
          <w:tcPr>
            <w:tcW w:w="1234" w:type="dxa"/>
          </w:tcPr>
          <w:p w14:paraId="20E856DF">
            <w:r>
              <w:t>主要协议编址名称和方案</w:t>
            </w:r>
          </w:p>
        </w:tc>
        <w:tc>
          <w:tcPr>
            <w:tcW w:w="1234" w:type="dxa"/>
          </w:tcPr>
          <w:p w14:paraId="1711412C">
            <w:r>
              <w:t>其它同类协议</w:t>
            </w:r>
          </w:p>
        </w:tc>
        <w:tc>
          <w:tcPr>
            <w:tcW w:w="1234" w:type="dxa"/>
          </w:tcPr>
          <w:p w14:paraId="082622E1">
            <w:r>
              <w:t>主要作用</w:t>
            </w:r>
          </w:p>
        </w:tc>
      </w:tr>
      <w:tr w14:paraId="48F3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8FE1748">
            <w:r>
              <w:t>应用层</w:t>
            </w:r>
          </w:p>
        </w:tc>
        <w:tc>
          <w:tcPr>
            <w:tcW w:w="1234" w:type="dxa"/>
          </w:tcPr>
          <w:p w14:paraId="17A0928C">
            <w:r>
              <w:t>报文 (Message)</w:t>
            </w:r>
          </w:p>
        </w:tc>
        <w:tc>
          <w:tcPr>
            <w:tcW w:w="1234" w:type="dxa"/>
          </w:tcPr>
          <w:p w14:paraId="7E3C55D9">
            <w:r>
              <w:t>主机</w:t>
            </w:r>
          </w:p>
        </w:tc>
        <w:tc>
          <w:tcPr>
            <w:tcW w:w="1234" w:type="dxa"/>
          </w:tcPr>
          <w:p w14:paraId="5D1CB5A2">
            <w:r>
              <w:t>HTTP</w:t>
            </w:r>
          </w:p>
        </w:tc>
        <w:tc>
          <w:tcPr>
            <w:tcW w:w="1234" w:type="dxa"/>
          </w:tcPr>
          <w:p w14:paraId="0734690A">
            <w:r>
              <w:t>域名或应用特定标识</w:t>
            </w:r>
          </w:p>
        </w:tc>
        <w:tc>
          <w:tcPr>
            <w:tcW w:w="1234" w:type="dxa"/>
          </w:tcPr>
          <w:p w14:paraId="4D8D3AEB">
            <w:r>
              <w:t>DNS, FTP, SMTP, DHCP</w:t>
            </w:r>
          </w:p>
        </w:tc>
        <w:tc>
          <w:tcPr>
            <w:tcW w:w="1234" w:type="dxa"/>
          </w:tcPr>
          <w:p w14:paraId="315C39DF">
            <w:r>
              <w:t>直接为用户进程和应用程序提供服务</w:t>
            </w:r>
          </w:p>
        </w:tc>
      </w:tr>
      <w:tr w14:paraId="7E1E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E95B32A">
            <w:r>
              <w:t>传输层</w:t>
            </w:r>
          </w:p>
        </w:tc>
        <w:tc>
          <w:tcPr>
            <w:tcW w:w="1234" w:type="dxa"/>
          </w:tcPr>
          <w:p w14:paraId="170F4FCF">
            <w:r>
              <w:t>段 (Segment) 或 报文 (Datagram)</w:t>
            </w:r>
          </w:p>
        </w:tc>
        <w:tc>
          <w:tcPr>
            <w:tcW w:w="1234" w:type="dxa"/>
          </w:tcPr>
          <w:p w14:paraId="77FFFC43">
            <w:r>
              <w:t>四层交换机、主机</w:t>
            </w:r>
          </w:p>
        </w:tc>
        <w:tc>
          <w:tcPr>
            <w:tcW w:w="1234" w:type="dxa"/>
          </w:tcPr>
          <w:p w14:paraId="24A8B2B2">
            <w:r>
              <w:t>TCP</w:t>
            </w:r>
          </w:p>
        </w:tc>
        <w:tc>
          <w:tcPr>
            <w:tcW w:w="1234" w:type="dxa"/>
          </w:tcPr>
          <w:p w14:paraId="36D5FE1A">
            <w:r>
              <w:t>端口号 (16位，分为熟知、登记与动态端口)</w:t>
            </w:r>
          </w:p>
        </w:tc>
        <w:tc>
          <w:tcPr>
            <w:tcW w:w="1234" w:type="dxa"/>
          </w:tcPr>
          <w:p w14:paraId="473CF8A2">
            <w:r>
              <w:t>UDP</w:t>
            </w:r>
          </w:p>
        </w:tc>
        <w:tc>
          <w:tcPr>
            <w:tcW w:w="1234" w:type="dxa"/>
          </w:tcPr>
          <w:p w14:paraId="40BE9B84">
            <w:r>
              <w:t>提供端到端的逻辑通信和进程间数据传输</w:t>
            </w:r>
          </w:p>
        </w:tc>
      </w:tr>
      <w:tr w14:paraId="260BE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14C9DC0">
            <w:r>
              <w:t>网际层</w:t>
            </w:r>
          </w:p>
        </w:tc>
        <w:tc>
          <w:tcPr>
            <w:tcW w:w="1234" w:type="dxa"/>
          </w:tcPr>
          <w:p w14:paraId="7DEC6D12">
            <w:r>
              <w:t>分组 (Packet) 或 数据报</w:t>
            </w:r>
          </w:p>
        </w:tc>
        <w:tc>
          <w:tcPr>
            <w:tcW w:w="1234" w:type="dxa"/>
          </w:tcPr>
          <w:p w14:paraId="714A867E">
            <w:r>
              <w:t>路由器</w:t>
            </w:r>
          </w:p>
        </w:tc>
        <w:tc>
          <w:tcPr>
            <w:tcW w:w="1234" w:type="dxa"/>
          </w:tcPr>
          <w:p w14:paraId="5A4938DD">
            <w:r>
              <w:t>IP</w:t>
            </w:r>
          </w:p>
        </w:tc>
        <w:tc>
          <w:tcPr>
            <w:tcW w:w="1234" w:type="dxa"/>
          </w:tcPr>
          <w:p w14:paraId="45473E45">
            <w:r>
              <w:t>IP地址 (32位/128位，网络号与主机号组合)</w:t>
            </w:r>
          </w:p>
        </w:tc>
        <w:tc>
          <w:tcPr>
            <w:tcW w:w="1234" w:type="dxa"/>
          </w:tcPr>
          <w:p w14:paraId="08423404">
            <w:r>
              <w:t>ICMP, ARP, IGMP</w:t>
            </w:r>
          </w:p>
        </w:tc>
        <w:tc>
          <w:tcPr>
            <w:tcW w:w="1234" w:type="dxa"/>
          </w:tcPr>
          <w:p w14:paraId="3A9B31AF">
            <w:r>
              <w:t>处理分组寻址、路由选择和跨异构网络转发</w:t>
            </w:r>
          </w:p>
        </w:tc>
      </w:tr>
      <w:tr w14:paraId="4C1FF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80E07FD">
            <w:r>
              <w:t>网络接口层</w:t>
            </w:r>
          </w:p>
        </w:tc>
        <w:tc>
          <w:tcPr>
            <w:tcW w:w="1234" w:type="dxa"/>
          </w:tcPr>
          <w:p w14:paraId="28090FDB">
            <w:r>
              <w:t>帧 (Frame) 或 比特</w:t>
            </w:r>
          </w:p>
        </w:tc>
        <w:tc>
          <w:tcPr>
            <w:tcW w:w="1234" w:type="dxa"/>
          </w:tcPr>
          <w:p w14:paraId="068BB87C">
            <w:r>
              <w:t>网卡、交换机、网桥</w:t>
            </w:r>
          </w:p>
        </w:tc>
        <w:tc>
          <w:tcPr>
            <w:tcW w:w="1234" w:type="dxa"/>
          </w:tcPr>
          <w:p w14:paraId="3DDF466C">
            <w:r>
              <w:t>以太网标准</w:t>
            </w:r>
          </w:p>
        </w:tc>
        <w:tc>
          <w:tcPr>
            <w:tcW w:w="1234" w:type="dxa"/>
          </w:tcPr>
          <w:p w14:paraId="1DFEF546">
            <w:r>
              <w:t>MAC地址 (48位，全球唯一的物理硬件地址)</w:t>
            </w:r>
          </w:p>
        </w:tc>
        <w:tc>
          <w:tcPr>
            <w:tcW w:w="1234" w:type="dxa"/>
          </w:tcPr>
          <w:p w14:paraId="7C179B23">
            <w:r>
              <w:t>Wi-Fi (802.11), PPP</w:t>
            </w:r>
          </w:p>
        </w:tc>
        <w:tc>
          <w:tcPr>
            <w:tcW w:w="1234" w:type="dxa"/>
          </w:tcPr>
          <w:p w14:paraId="46532B1E">
            <w:r>
              <w:t>负责物理链路上相邻节点间的数据帧可靠传输</w:t>
            </w:r>
          </w:p>
        </w:tc>
      </w:tr>
    </w:tbl>
    <w:p w14:paraId="40459C27"/>
    <w:p w14:paraId="65D31A5F">
      <w:pPr>
        <w:pStyle w:val="5"/>
        <w:ind w:left="0" w:leftChars="0" w:firstLine="0" w:firstLineChars="0"/>
        <w:rPr>
          <w:rFonts w:hint="default"/>
          <w:lang w:val="en-US" w:eastAsia="zh-CN"/>
        </w:rPr>
      </w:pPr>
    </w:p>
    <w:p w14:paraId="5DC0FBD4">
      <w:pPr>
        <w:pStyle w:val="3"/>
        <w:spacing w:before="360" w:after="180"/>
        <w:ind w:left="562" w:hanging="562"/>
        <w:rPr>
          <w:rFonts w:hint="default" w:eastAsiaTheme="minorEastAsia"/>
          <w:lang w:val="en-US" w:eastAsia="zh-CN"/>
        </w:rPr>
      </w:pPr>
      <w:r>
        <w:rPr>
          <w:rFonts w:hint="eastAsia"/>
        </w:rPr>
        <w:t>第</w:t>
      </w:r>
      <w:r>
        <w:rPr>
          <w:rFonts w:ascii="宋体" w:hAnsi="宋体" w:eastAsia="宋体" w:cs="宋体"/>
          <w:sz w:val="24"/>
          <w:szCs w:val="24"/>
        </w:rPr>
        <w:t>13</w:t>
      </w:r>
      <w:r>
        <w:rPr>
          <w:rFonts w:hint="eastAsia"/>
        </w:rPr>
        <w:t>题</w:t>
      </w:r>
    </w:p>
    <w:p w14:paraId="35827FCA">
      <w:r>
        <w:t>在 Client-Server 模式下，Socket API 的执行模式根据底层传输协议的不同，主要分为面向连接的 TCP 执行序列和无连接的 UDP 执行序列。</w:t>
      </w:r>
    </w:p>
    <w:p w14:paraId="695E0A6B">
      <w:r>
        <w:t>面向连接的模式通常对应 TCP 协议。在这种模式下，服务器端需要先进入被动等待状态。服务器首先调用 socket 函数创建套接字，接着通过 bind 函数将其与本地 IP 地址和端口号绑定。随后服务器调用 listen 函数开启监听，将套接字设为被动模式。最后通过 accept 函数进入阻塞状态，等待客户端的连接请求。客户端在创建套接字后，主动调用 connect 函数发起三次握手。一旦连接建立，双方就可以使用 send 和 recv 进行可靠的数据传输。任务完成后，双方都需要调用 close 来释放资源并关闭连接。</w:t>
      </w:r>
    </w:p>
    <w:p w14:paraId="71AE2E9D">
      <w:r>
        <w:t>面向无连接的模式对应 UDP 协议。该模式的执行逻辑更为简洁，不需要建立和拆除连接。服务器端在创建套接字并绑定端口后，不需要调用 listen 和 accept 函数，而是直接通过 recvfrom 函数等待接收任何来自网络的数据报。客户端在创建套接字后，也无需进行 connect 握手，而是直接使用 sendto 函数指明服务器的地址来发送报文。在这种模式下，数据以报文的形式独立发送，每个函数调用都需要携带目标或来源的地址信息，最后同样通过 close 结束套接字的使用。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1"/>
        <w:gridCol w:w="2132"/>
        <w:gridCol w:w="2135"/>
      </w:tblGrid>
      <w:tr w14:paraId="12D3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4229114">
            <w:r>
              <w:t>模式类型</w:t>
            </w:r>
          </w:p>
        </w:tc>
        <w:tc>
          <w:tcPr>
            <w:tcW w:w="2160" w:type="dxa"/>
          </w:tcPr>
          <w:p w14:paraId="67A12E23">
            <w:r>
              <w:t>服务器端主要 API 调用链路</w:t>
            </w:r>
          </w:p>
        </w:tc>
        <w:tc>
          <w:tcPr>
            <w:tcW w:w="2160" w:type="dxa"/>
          </w:tcPr>
          <w:p w14:paraId="4A0B21A4">
            <w:r>
              <w:t>客户端主要 API 调用链路</w:t>
            </w:r>
          </w:p>
        </w:tc>
        <w:tc>
          <w:tcPr>
            <w:tcW w:w="2160" w:type="dxa"/>
          </w:tcPr>
          <w:p w14:paraId="524C4E89">
            <w:r>
              <w:t>核心通信函数</w:t>
            </w:r>
          </w:p>
        </w:tc>
      </w:tr>
      <w:tr w14:paraId="0756B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7556EC9">
            <w:r>
              <w:t>面向连接 (TCP)</w:t>
            </w:r>
          </w:p>
        </w:tc>
        <w:tc>
          <w:tcPr>
            <w:tcW w:w="2160" w:type="dxa"/>
          </w:tcPr>
          <w:p w14:paraId="62163909">
            <w:r>
              <w:t>socket, bind, listen, accept</w:t>
            </w:r>
          </w:p>
        </w:tc>
        <w:tc>
          <w:tcPr>
            <w:tcW w:w="2160" w:type="dxa"/>
          </w:tcPr>
          <w:p w14:paraId="303C6042">
            <w:r>
              <w:t>socket, connect</w:t>
            </w:r>
          </w:p>
        </w:tc>
        <w:tc>
          <w:tcPr>
            <w:tcW w:w="2160" w:type="dxa"/>
          </w:tcPr>
          <w:p w14:paraId="61C73F01">
            <w:r>
              <w:t>send, recv</w:t>
            </w:r>
          </w:p>
        </w:tc>
      </w:tr>
      <w:tr w14:paraId="79684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41C3F7">
            <w:r>
              <w:t>面向无连接 (UDP)</w:t>
            </w:r>
          </w:p>
        </w:tc>
        <w:tc>
          <w:tcPr>
            <w:tcW w:w="2160" w:type="dxa"/>
          </w:tcPr>
          <w:p w14:paraId="528B39EC">
            <w:r>
              <w:t>socket, bind</w:t>
            </w:r>
          </w:p>
        </w:tc>
        <w:tc>
          <w:tcPr>
            <w:tcW w:w="2160" w:type="dxa"/>
          </w:tcPr>
          <w:p w14:paraId="4F3750F2">
            <w:r>
              <w:t>socket</w:t>
            </w:r>
          </w:p>
        </w:tc>
        <w:tc>
          <w:tcPr>
            <w:tcW w:w="2160" w:type="dxa"/>
          </w:tcPr>
          <w:p w14:paraId="6ACC2938">
            <w:r>
              <w:t>sendto, recvfrom</w:t>
            </w:r>
          </w:p>
        </w:tc>
      </w:tr>
    </w:tbl>
    <w:p w14:paraId="2C707AA5"/>
    <w:p w14:paraId="271A427E">
      <w:pPr>
        <w:pStyle w:val="5"/>
        <w:ind w:left="0" w:leftChars="0" w:firstLine="0" w:firstLineChars="0"/>
        <w:rPr>
          <w:rFonts w:hint="default"/>
          <w:lang w:val="en-US" w:eastAsia="zh-CN"/>
        </w:rPr>
      </w:pPr>
    </w:p>
    <w:p w14:paraId="5081AF67">
      <w:pPr>
        <w:pStyle w:val="3"/>
        <w:spacing w:before="360" w:after="180"/>
        <w:ind w:left="562" w:hanging="562"/>
        <w:rPr>
          <w:rFonts w:hint="default" w:eastAsiaTheme="minorEastAsia"/>
          <w:lang w:val="en-US" w:eastAsia="zh-CN"/>
        </w:rPr>
      </w:pPr>
      <w:r>
        <w:rPr>
          <w:rFonts w:hint="eastAsia"/>
        </w:rPr>
        <w:t>第</w:t>
      </w:r>
      <w:r>
        <w:rPr>
          <w:rFonts w:ascii="宋体" w:hAnsi="宋体" w:eastAsia="宋体" w:cs="宋体"/>
          <w:sz w:val="24"/>
          <w:szCs w:val="24"/>
        </w:rPr>
        <w:t>14</w:t>
      </w:r>
      <w:r>
        <w:rPr>
          <w:rFonts w:hint="eastAsia"/>
        </w:rPr>
        <w:t>题</w:t>
      </w:r>
    </w:p>
    <w:p w14:paraId="61DEE8E1">
      <w:r>
        <w:t>无连接的情况不需要调用 listen 和 accept 环节，主要是因为其底层协议（如 UDP）的特性决定了它在数据传输前不需要建立连接。这里的关键在于 listen 函数的主要目的是为了使套接字变为监听状态，用于专门捕捉新到来的连接请求；而 accept 函数则是为了从已完成连接的队列中提取并获取新的连接套接字。对于无连接通信而言，发送方和接收方之间并不存在握手建立虚电路的过程，服务器端在绑定端口后，就可以直接通过套接字接收来自任何对端的数据报文。因此，在无连接的 Socket 编程流程中，直接省略了维护连接状态的侦听和接受步骤，从而实现了更快速但也相对不可靠的数据交换。</w:t>
      </w:r>
    </w:p>
    <w:p w14:paraId="3CD67843">
      <w:pPr>
        <w:pStyle w:val="5"/>
        <w:ind w:left="0" w:leftChars="0" w:firstLine="0" w:firstLineChars="0"/>
        <w:rPr>
          <w:rFonts w:hint="default"/>
          <w:lang w:val="en-US" w:eastAsia="zh-CN"/>
        </w:rPr>
      </w:pPr>
    </w:p>
    <w:p w14:paraId="1D5CF3BC">
      <w:pPr>
        <w:pStyle w:val="3"/>
        <w:spacing w:before="360" w:after="180"/>
        <w:ind w:left="562" w:hanging="562"/>
        <w:rPr>
          <w:rFonts w:hint="default" w:eastAsiaTheme="minorEastAsia"/>
          <w:lang w:val="en-US" w:eastAsia="zh-CN"/>
        </w:rPr>
      </w:pPr>
      <w:r>
        <w:rPr>
          <w:rFonts w:hint="eastAsia"/>
        </w:rPr>
        <w:t>第</w:t>
      </w:r>
      <w:r>
        <w:rPr>
          <w:rFonts w:ascii="宋体" w:hAnsi="宋体" w:eastAsia="宋体" w:cs="宋体"/>
          <w:sz w:val="24"/>
          <w:szCs w:val="24"/>
        </w:rPr>
        <w:t>15</w:t>
      </w:r>
      <w:r>
        <w:rPr>
          <w:rFonts w:hint="eastAsia"/>
        </w:rPr>
        <w:t>题</w:t>
      </w:r>
    </w:p>
    <w:p w14:paraId="492FB1CE">
      <w:r>
        <w:t>不是所有通信都基于 Socket API。虽然 Socket 是目前网络应用开发中最常用的编程接口，几乎涵盖了基于 TCP/IP 协议栈的所有互联网通信，但在计算机系统的其他层面，仍广泛存在不依赖 Socket 的通信方式。这里的关键在于 Socket 主要被设计为应用层与传输层之间的标准化接口，而对于底层的硬件操作或特定的本地进程交互，通常会采用更直接、高效的专用 API。典型的反例包括以下几类。首先是本地硬件通信，例如在嵌入式开发中常用的 RS-232 串口通信，它直接调用操作系统的串口驱动接口，并不经过 TCP/IP 协议栈或套接字层。其次是操作系统的本地进程间通信，如共享内存和命名管道，这些机制主要通过内核管理的内存空间或特定文件系统实现数据交换，而不通过 Socket 提供的五元组连接模式。此外，像 PCIe 总线通信、USB 设备交互等底层硬件协议，其数据传输逻辑完全独立于网络套接字模型。即使在网络通信领域，除了标准的 POSIX Socket API，还存在如 ACE Socket 等其他封装形式或专有的底层网络编程接口。</w:t>
      </w:r>
    </w:p>
    <w:p w14:paraId="14756651">
      <w:pPr>
        <w:pStyle w:val="5"/>
        <w:ind w:left="0" w:leftChars="0" w:firstLine="0" w:firstLineChars="0"/>
        <w:rPr>
          <w:rFonts w:hint="default"/>
          <w:lang w:val="en-US" w:eastAsia="zh-CN"/>
        </w:rPr>
      </w:pPr>
      <w:bookmarkStart w:id="0" w:name="_GoBack"/>
      <w:bookmarkEnd w:id="0"/>
    </w:p>
    <w:p w14:paraId="026CB459">
      <w:pPr>
        <w:pStyle w:val="2"/>
        <w:spacing w:before="360" w:after="180"/>
        <w:ind w:left="640" w:hanging="640"/>
        <w:rPr>
          <w:rFonts w:hint="eastAsia"/>
        </w:rPr>
      </w:pPr>
      <w:r>
        <w:rPr>
          <w:rFonts w:hint="eastAsia"/>
        </w:rPr>
        <w:t>三、编程题</w:t>
      </w:r>
    </w:p>
    <w:p w14:paraId="1F4F760D">
      <w:pPr>
        <w:pStyle w:val="5"/>
        <w:ind w:left="0" w:leftChars="0" w:firstLine="0" w:firstLineChars="0"/>
        <w:rPr>
          <w:rFonts w:hint="default" w:eastAsiaTheme="minorEastAsia"/>
          <w:lang w:val="en-US" w:eastAsia="zh-CN"/>
        </w:rPr>
      </w:pPr>
      <w:r>
        <w:rPr>
          <w:rFonts w:hint="eastAsia"/>
          <w:lang w:val="en-US" w:eastAsia="zh-CN"/>
        </w:rPr>
        <w:t>16:https://gitee.com/vintces/hwproject27</w:t>
      </w:r>
      <w:r>
        <w:rPr>
          <w:rFonts w:hint="eastAsia"/>
          <w:lang w:val="en-US" w:eastAsia="zh-CN"/>
        </w:rPr>
        <w:br w:type="textWrapping"/>
      </w:r>
      <w:r>
        <w:rPr>
          <w:rFonts w:hint="eastAsia"/>
          <w:lang w:val="en-US" w:eastAsia="zh-CN"/>
        </w:rPr>
        <w:t>17:https://gitee.com/vintces/hwproject28</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embedRegular r:id="rId1" w:fontKey="{F90F47BE-C2F4-43BC-BEBF-9BF744399D33}"/>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embedRegular r:id="rId2" w:fontKey="{8D584060-6446-41D1-9CA0-200272383AB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TrueTypeFonts/>
  <w:saveSubsetFonts/>
  <w:bordersDoNotSurroundHeader w:val="0"/>
  <w:bordersDoNotSurroundFooter w:val="0"/>
  <w:attachedTemplate r:id="rId1"/>
  <w:documentProtection w:edit="readOnly" w:enforcement="0"/>
  <w:defaultTabStop w:val="420"/>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0940031D"/>
    <w:rsid w:val="0EAF7AB2"/>
    <w:rsid w:val="0FBC7ECB"/>
    <w:rsid w:val="133D0615"/>
    <w:rsid w:val="141C5A41"/>
    <w:rsid w:val="18B60E17"/>
    <w:rsid w:val="1BC931D8"/>
    <w:rsid w:val="27F23AB1"/>
    <w:rsid w:val="2D153C85"/>
    <w:rsid w:val="37BA1AB4"/>
    <w:rsid w:val="4BB76535"/>
    <w:rsid w:val="60EB4F64"/>
    <w:rsid w:val="67437E7B"/>
    <w:rsid w:val="68D3033E"/>
    <w:rsid w:val="7A287175"/>
    <w:rsid w:val="7A8458D1"/>
    <w:rsid w:val="7D6863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4"/>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5"/>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1"/>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2"/>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2"/>
    <w:qFormat/>
    <w:uiPriority w:val="34"/>
    <w:pPr>
      <w:spacing w:before="180" w:beforeLines="50" w:after="180" w:afterLines="50" w:line="360" w:lineRule="auto"/>
      <w:ind w:firstLine="480" w:firstLineChars="200"/>
    </w:pPr>
    <w:rPr>
      <w:szCs w:val="28"/>
    </w:rPr>
  </w:style>
  <w:style w:type="paragraph" w:styleId="7">
    <w:name w:val="footer"/>
    <w:basedOn w:val="1"/>
    <w:link w:val="18"/>
    <w:unhideWhenUsed/>
    <w:qFormat/>
    <w:uiPriority w:val="99"/>
    <w:pPr>
      <w:tabs>
        <w:tab w:val="center" w:pos="4153"/>
        <w:tab w:val="right" w:pos="8306"/>
      </w:tabs>
      <w:snapToGrid w:val="0"/>
      <w:jc w:val="center"/>
    </w:pPr>
    <w:rPr>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3"/>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20"/>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qFormat/>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character" w:customStyle="1" w:styleId="17">
    <w:name w:val="页眉 字符"/>
    <w:basedOn w:val="13"/>
    <w:link w:val="8"/>
    <w:qFormat/>
    <w:uiPriority w:val="99"/>
    <w:rPr>
      <w:sz w:val="18"/>
      <w:szCs w:val="18"/>
    </w:rPr>
  </w:style>
  <w:style w:type="character" w:customStyle="1" w:styleId="18">
    <w:name w:val="页脚 字符"/>
    <w:basedOn w:val="13"/>
    <w:link w:val="7"/>
    <w:qFormat/>
    <w:uiPriority w:val="99"/>
    <w:rPr>
      <w:szCs w:val="18"/>
    </w:rPr>
  </w:style>
  <w:style w:type="character" w:customStyle="1" w:styleId="19">
    <w:name w:val="Unresolved Mention"/>
    <w:basedOn w:val="13"/>
    <w:semiHidden/>
    <w:unhideWhenUsed/>
    <w:qFormat/>
    <w:uiPriority w:val="99"/>
    <w:rPr>
      <w:color w:val="605E5C"/>
      <w:shd w:val="clear" w:color="auto" w:fill="E1DFDD"/>
    </w:rPr>
  </w:style>
  <w:style w:type="character" w:customStyle="1" w:styleId="20">
    <w:name w:val="标题 字符"/>
    <w:basedOn w:val="13"/>
    <w:link w:val="10"/>
    <w:qFormat/>
    <w:uiPriority w:val="10"/>
    <w:rPr>
      <w:rFonts w:asciiTheme="majorHAnsi" w:hAnsiTheme="majorHAnsi" w:eastAsiaTheme="majorEastAsia"/>
      <w:spacing w:val="10"/>
      <w:sz w:val="36"/>
      <w:szCs w:val="36"/>
    </w:rPr>
  </w:style>
  <w:style w:type="paragraph" w:styleId="21">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2">
    <w:name w:val="列表段落 字符"/>
    <w:basedOn w:val="13"/>
    <w:link w:val="5"/>
    <w:qFormat/>
    <w:uiPriority w:val="34"/>
    <w:rPr>
      <w:sz w:val="24"/>
      <w:szCs w:val="28"/>
    </w:rPr>
  </w:style>
  <w:style w:type="character" w:customStyle="1" w:styleId="23">
    <w:name w:val="副标题 字符"/>
    <w:basedOn w:val="13"/>
    <w:link w:val="9"/>
    <w:qFormat/>
    <w:uiPriority w:val="11"/>
    <w:rPr>
      <w:rFonts w:eastAsia="方正公文黑体" w:asciiTheme="majorHAnsi" w:hAnsiTheme="majorHAnsi"/>
      <w:bCs/>
      <w:kern w:val="28"/>
      <w:sz w:val="32"/>
      <w:szCs w:val="32"/>
    </w:rPr>
  </w:style>
  <w:style w:type="character" w:customStyle="1" w:styleId="24">
    <w:name w:val="标题 1 字符"/>
    <w:basedOn w:val="13"/>
    <w:link w:val="2"/>
    <w:qFormat/>
    <w:uiPriority w:val="9"/>
    <w:rPr>
      <w:rFonts w:asciiTheme="majorHAnsi" w:hAnsiTheme="majorHAnsi" w:eastAsiaTheme="majorEastAsia"/>
      <w:bCs/>
      <w:sz w:val="32"/>
      <w:szCs w:val="32"/>
    </w:rPr>
  </w:style>
  <w:style w:type="character" w:customStyle="1" w:styleId="25">
    <w:name w:val="标题 2 字符"/>
    <w:basedOn w:val="13"/>
    <w:link w:val="3"/>
    <w:qFormat/>
    <w:uiPriority w:val="9"/>
    <w:rPr>
      <w:rFonts w:cstheme="majorBidi"/>
      <w:b/>
      <w:sz w:val="28"/>
      <w:szCs w:val="32"/>
    </w:rPr>
  </w:style>
  <w:style w:type="character" w:customStyle="1" w:styleId="26">
    <w:name w:val="Intense Emphasis"/>
    <w:basedOn w:val="14"/>
    <w:qFormat/>
    <w:uiPriority w:val="21"/>
    <w:rPr>
      <w:rFonts w:eastAsia="方正公文黑体" w:asciiTheme="majorHAnsi" w:hAnsiTheme="majorHAnsi"/>
      <w:iCs w:val="0"/>
      <w:color w:val="auto"/>
    </w:rPr>
  </w:style>
  <w:style w:type="paragraph" w:styleId="27">
    <w:name w:val="Quote"/>
    <w:basedOn w:val="1"/>
    <w:next w:val="1"/>
    <w:link w:val="28"/>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8">
    <w:name w:val="引用 字符"/>
    <w:basedOn w:val="13"/>
    <w:link w:val="27"/>
    <w:qFormat/>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9">
    <w:name w:val="Intense Quote"/>
    <w:basedOn w:val="1"/>
    <w:next w:val="1"/>
    <w:link w:val="30"/>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30">
    <w:name w:val="明显引用 字符"/>
    <w:basedOn w:val="13"/>
    <w:link w:val="29"/>
    <w:qFormat/>
    <w:uiPriority w:val="30"/>
    <w:rPr>
      <w:rFonts w:eastAsia="方正公文楷体"/>
      <w:iCs/>
      <w:color w:val="4472C4" w:themeColor="accent1"/>
      <w:sz w:val="28"/>
      <w14:textFill>
        <w14:solidFill>
          <w14:schemeClr w14:val="accent1"/>
        </w14:solidFill>
      </w14:textFill>
    </w:rPr>
  </w:style>
  <w:style w:type="character" w:customStyle="1" w:styleId="31">
    <w:name w:val="标题 3 字符"/>
    <w:basedOn w:val="13"/>
    <w:link w:val="4"/>
    <w:qFormat/>
    <w:uiPriority w:val="9"/>
    <w:rPr>
      <w:rFonts w:asciiTheme="majorHAnsi" w:hAnsiTheme="majorHAnsi" w:eastAsiaTheme="majorEastAsia" w:cstheme="majorBidi"/>
      <w:b/>
      <w:bCs/>
      <w:kern w:val="32"/>
      <w:sz w:val="28"/>
      <w:szCs w:val="32"/>
    </w:rPr>
  </w:style>
  <w:style w:type="character" w:customStyle="1" w:styleId="32">
    <w:name w:val="标题 4 字符"/>
    <w:basedOn w:val="13"/>
    <w:link w:val="6"/>
    <w:qFormat/>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5</Pages>
  <Words>1891</Words>
  <Characters>2445</Characters>
  <Lines>89</Lines>
  <Paragraphs>97</Paragraphs>
  <TotalTime>0</TotalTime>
  <ScaleCrop>false</ScaleCrop>
  <LinksUpToDate>false</LinksUpToDate>
  <CharactersWithSpaces>2615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2026-05-10T05:20:15Z</dcterms:modified>
  <dc:title>厦门大学作业纸</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eyJoZGlkIjoiN2Q2N2NlYTU2MDYyNzk2MTkzMjc4NGM0OGI3ZDBkMjQiLCJ1c2VySWQiOiI5MjA0MjU3NzAifQ==</vt:lpwstr>
  </property>
  <property fmtid="{D5CDD505-2E9C-101B-9397-08002B2CF9AE}" pid="3" name="KSOProductBuildVer">
    <vt:lpwstr>2052-12.1.0.25865</vt:lpwstr>
  </property>
  <property fmtid="{D5CDD505-2E9C-101B-9397-08002B2CF9AE}" pid="4" name="ICV">
    <vt:lpwstr>0464031236714EBEB5B5B644F4293295_12</vt:lpwstr>
  </property>
</Properties>
</file>