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1"/>
        <w:spacing w:before="360" w:after="0" w:afterLines="0" w:line="240" w:lineRule="auto"/>
        <w:rPr>
          <w:rFonts w:hint="eastAsia"/>
        </w:rPr>
      </w:pPr>
      <w:r>
        <w:rPr>
          <w:rFonts w:hint="eastAsia"/>
        </w:rPr>
        <w:t>计算机网络</w:t>
      </w:r>
      <w:r>
        <w:rPr>
          <w:rFonts w:hint="eastAsia"/>
          <w:u w:val="single"/>
        </w:rPr>
        <w:t xml:space="preserve"> 第</w:t>
      </w:r>
      <w:r>
        <w:rPr>
          <w:rFonts w:hint="eastAsia"/>
          <w:u w:val="single"/>
          <w:lang w:val="en-US" w:eastAsia="zh-CN"/>
        </w:rPr>
        <w:t>3</w:t>
      </w:r>
      <w:r>
        <w:rPr>
          <w:rFonts w:hint="eastAsia"/>
          <w:u w:val="single"/>
        </w:rPr>
        <w:t>课　</w:t>
      </w:r>
      <w:r>
        <w:rPr>
          <w:rFonts w:hint="eastAsia"/>
          <w:u w:val="single"/>
          <w:lang w:val="en-US" w:eastAsia="zh-CN"/>
        </w:rPr>
        <w:t>远程通信</w:t>
      </w:r>
      <w:bookmarkStart w:id="0" w:name="_GoBack"/>
      <w:bookmarkEnd w:id="0"/>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软工24级</w:t>
      </w:r>
      <w:r>
        <w:rPr>
          <w:rFonts w:hint="eastAsia" w:asciiTheme="minorHAnsi" w:hAnsiTheme="minorHAnsi" w:eastAsiaTheme="minorEastAsia"/>
          <w:sz w:val="28"/>
          <w:szCs w:val="28"/>
          <w:u w:val="single"/>
          <w:lang w:val="en-US" w:eastAsia="zh-CN"/>
        </w:rPr>
        <w:t>2</w:t>
      </w:r>
      <w:r>
        <w:rPr>
          <w:rFonts w:hint="eastAsia" w:asciiTheme="minorHAnsi" w:hAnsiTheme="minorHAnsi" w:eastAsiaTheme="minorEastAsia"/>
          <w:sz w:val="28"/>
          <w:szCs w:val="28"/>
          <w:u w:val="single"/>
        </w:rPr>
        <w:t xml:space="preserve">班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3"/>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80"/>
        <w:gridCol w:w="680"/>
        <w:gridCol w:w="680"/>
        <w:gridCol w:w="680"/>
        <w:gridCol w:w="680"/>
        <w:gridCol w:w="680"/>
        <w:gridCol w:w="680"/>
        <w:gridCol w:w="680"/>
        <w:gridCol w:w="680"/>
        <w:gridCol w:w="680"/>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680"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680"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680"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680"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680"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680"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680"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680"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680"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04C07982">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6702164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561DF93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56EE6EC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141C79D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237A499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25666A65">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650C692D">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282BBDF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680"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680"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680"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680"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680"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680"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680"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680"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680"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BDF6EF5">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15B0676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2B7A947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189E2A64">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06CD08A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02D1F61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4BD9A645">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 A  B </w:t>
            </w:r>
          </w:p>
        </w:tc>
        <w:tc>
          <w:tcPr>
            <w:tcW w:w="680" w:type="dxa"/>
            <w:vAlign w:val="center"/>
          </w:tcPr>
          <w:p w14:paraId="77CC727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 D</w:t>
            </w:r>
          </w:p>
        </w:tc>
        <w:tc>
          <w:tcPr>
            <w:tcW w:w="680" w:type="dxa"/>
            <w:vAlign w:val="center"/>
          </w:tcPr>
          <w:p w14:paraId="7950486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 A</w:t>
            </w:r>
          </w:p>
        </w:tc>
        <w:tc>
          <w:tcPr>
            <w:tcW w:w="680" w:type="dxa"/>
            <w:vAlign w:val="center"/>
          </w:tcPr>
          <w:p w14:paraId="17F7478E">
            <w:pPr>
              <w:jc w:val="center"/>
              <w:rPr>
                <w:rFonts w:ascii="Times New Roman" w:hAnsi="Times New Roman" w:eastAsia="宋体" w:cs="Times New Roman"/>
                <w:kern w:val="0"/>
                <w:szCs w:val="20"/>
              </w:rPr>
            </w:pPr>
          </w:p>
        </w:tc>
      </w:tr>
    </w:tbl>
    <w:p w14:paraId="5CD912DC">
      <w:pPr>
        <w:pStyle w:val="2"/>
        <w:spacing w:before="360" w:after="180"/>
        <w:ind w:left="640" w:hanging="640"/>
        <w:rPr>
          <w:rFonts w:hint="eastAsia"/>
        </w:rPr>
      </w:pPr>
      <w:r>
        <w:rPr>
          <w:rFonts w:hint="eastAsia"/>
        </w:rPr>
        <w:t>二、简答题</w:t>
      </w:r>
    </w:p>
    <w:p w14:paraId="618AB71C">
      <w:pPr>
        <w:pStyle w:val="3"/>
        <w:spacing w:before="360" w:after="180"/>
        <w:ind w:left="562" w:hanging="562"/>
      </w:pPr>
      <w:r>
        <w:rPr>
          <w:rFonts w:hint="eastAsia"/>
        </w:rPr>
        <w:t>第</w:t>
      </w:r>
      <w:r>
        <w:rPr>
          <w:rFonts w:hint="eastAsia"/>
          <w:lang w:val="en-US" w:eastAsia="zh-CN"/>
        </w:rPr>
        <w:t>20</w:t>
      </w:r>
      <w:r>
        <w:rPr>
          <w:rFonts w:hint="eastAsia"/>
        </w:rPr>
        <w:t>题</w:t>
      </w:r>
    </w:p>
    <w:p w14:paraId="3698D6E3">
      <w:pPr>
        <w:pStyle w:val="5"/>
        <w:rPr>
          <w:rFonts w:ascii="宋体" w:hAnsi="宋体" w:eastAsia="宋体" w:cs="宋体"/>
          <w:sz w:val="24"/>
          <w:szCs w:val="24"/>
        </w:rPr>
      </w:pPr>
      <w:r>
        <w:rPr>
          <w:rFonts w:ascii="宋体" w:hAnsi="宋体" w:eastAsia="宋体" w:cs="宋体"/>
          <w:sz w:val="24"/>
          <w:szCs w:val="24"/>
        </w:rPr>
        <w:t>调制是将基带数字信号或低频模拟信号转换成适合在信道中传输的高频载波信号的过程。</w:t>
      </w:r>
    </w:p>
    <w:p w14:paraId="7AFF5587">
      <w:pPr>
        <w:pStyle w:val="5"/>
        <w:rPr>
          <w:rFonts w:ascii="宋体" w:hAnsi="宋体" w:eastAsia="宋体" w:cs="宋体"/>
          <w:sz w:val="24"/>
          <w:szCs w:val="24"/>
        </w:rPr>
      </w:pPr>
      <w:r>
        <w:rPr>
          <w:rFonts w:ascii="宋体" w:hAnsi="宋体" w:eastAsia="宋体" w:cs="宋体"/>
          <w:sz w:val="24"/>
          <w:szCs w:val="24"/>
        </w:rPr>
        <w:t xml:space="preserve">解调则是调制的逆过程，即将接收到的载波信号还原成原始的基带信号。 </w:t>
      </w:r>
    </w:p>
    <w:p w14:paraId="1C36C77C">
      <w:pPr>
        <w:pStyle w:val="5"/>
        <w:rPr>
          <w:rFonts w:ascii="宋体" w:hAnsi="宋体" w:eastAsia="宋体" w:cs="宋体"/>
          <w:sz w:val="24"/>
          <w:szCs w:val="24"/>
        </w:rPr>
      </w:pPr>
      <w:r>
        <w:rPr>
          <w:rFonts w:ascii="宋体" w:hAnsi="宋体" w:eastAsia="宋体" w:cs="宋体"/>
          <w:sz w:val="24"/>
          <w:szCs w:val="24"/>
        </w:rPr>
        <w:t xml:space="preserve">基本的调制方法主要有三种： </w:t>
      </w:r>
    </w:p>
    <w:p w14:paraId="5C24C4C0">
      <w:pPr>
        <w:pStyle w:val="5"/>
        <w:rPr>
          <w:rFonts w:ascii="宋体" w:hAnsi="宋体" w:eastAsia="宋体" w:cs="宋体"/>
          <w:sz w:val="24"/>
          <w:szCs w:val="24"/>
        </w:rPr>
      </w:pPr>
      <w:r>
        <w:rPr>
          <w:rFonts w:ascii="宋体" w:hAnsi="宋体" w:eastAsia="宋体" w:cs="宋体"/>
          <w:sz w:val="24"/>
          <w:szCs w:val="24"/>
        </w:rPr>
        <w:t xml:space="preserve">调幅：通过改变载波的振幅来传输信息。 </w:t>
      </w:r>
    </w:p>
    <w:p w14:paraId="40553D3B">
      <w:pPr>
        <w:pStyle w:val="5"/>
        <w:rPr>
          <w:rFonts w:ascii="宋体" w:hAnsi="宋体" w:eastAsia="宋体" w:cs="宋体"/>
          <w:sz w:val="24"/>
          <w:szCs w:val="24"/>
        </w:rPr>
      </w:pPr>
      <w:r>
        <w:rPr>
          <w:rFonts w:ascii="宋体" w:hAnsi="宋体" w:eastAsia="宋体" w:cs="宋体"/>
          <w:sz w:val="24"/>
          <w:szCs w:val="24"/>
        </w:rPr>
        <w:t>调频：通过改变载波的频率来传输信息。</w:t>
      </w:r>
    </w:p>
    <w:p w14:paraId="219F96E6">
      <w:pPr>
        <w:pStyle w:val="5"/>
        <w:rPr>
          <w:rFonts w:hint="eastAsia"/>
        </w:rPr>
      </w:pPr>
      <w:r>
        <w:rPr>
          <w:rFonts w:ascii="宋体" w:hAnsi="宋体" w:eastAsia="宋体" w:cs="宋体"/>
          <w:sz w:val="24"/>
          <w:szCs w:val="24"/>
        </w:rPr>
        <w:t>调相：通过改变载波的相位来传输信息。 在数字通信中，这些方法对应为幅移键控、频移键控和相移键控。</w:t>
      </w:r>
    </w:p>
    <w:p w14:paraId="06D706D9">
      <w:pPr>
        <w:pStyle w:val="3"/>
        <w:spacing w:before="360" w:after="180"/>
        <w:ind w:left="562" w:hanging="562"/>
      </w:pPr>
      <w:r>
        <w:rPr>
          <w:rFonts w:hint="eastAsia"/>
        </w:rPr>
        <w:t>第</w:t>
      </w:r>
      <w:r>
        <w:rPr>
          <w:rFonts w:hint="eastAsia"/>
          <w:lang w:val="en-US" w:eastAsia="zh-CN"/>
        </w:rPr>
        <w:t>21</w:t>
      </w:r>
      <w:r>
        <w:rPr>
          <w:rFonts w:hint="eastAsia"/>
        </w:rPr>
        <w:t>题</w:t>
      </w:r>
    </w:p>
    <w:p w14:paraId="0FAA90DD">
      <w:pPr>
        <w:pStyle w:val="5"/>
        <w:rPr>
          <w:rFonts w:ascii="宋体" w:hAnsi="宋体" w:eastAsia="宋体" w:cs="宋体"/>
          <w:sz w:val="24"/>
          <w:szCs w:val="24"/>
        </w:rPr>
      </w:pPr>
      <w:r>
        <w:rPr>
          <w:rFonts w:hint="eastAsia"/>
        </w:rPr>
        <w:t>这</w:t>
      </w:r>
      <w:r>
        <w:rPr>
          <w:rFonts w:ascii="宋体" w:hAnsi="宋体" w:eastAsia="宋体" w:cs="宋体"/>
          <w:sz w:val="24"/>
          <w:szCs w:val="24"/>
        </w:rPr>
        <w:t>载波复用技术主要包括：</w:t>
      </w:r>
    </w:p>
    <w:p w14:paraId="31B6868C">
      <w:pPr>
        <w:pStyle w:val="5"/>
        <w:rPr>
          <w:rFonts w:ascii="宋体" w:hAnsi="宋体" w:eastAsia="宋体" w:cs="宋体"/>
          <w:sz w:val="24"/>
          <w:szCs w:val="24"/>
        </w:rPr>
      </w:pPr>
      <w:r>
        <w:rPr>
          <w:rFonts w:ascii="宋体" w:hAnsi="宋体" w:eastAsia="宋体" w:cs="宋体"/>
          <w:sz w:val="24"/>
          <w:szCs w:val="24"/>
        </w:rPr>
        <w:t>频分复用、时分复用、码分复用以及在光通信中常用的波分复用。</w:t>
      </w:r>
    </w:p>
    <w:p w14:paraId="68CB94DD">
      <w:pPr>
        <w:pStyle w:val="5"/>
      </w:pPr>
      <w:r>
        <w:rPr>
          <w:rFonts w:ascii="宋体" w:hAnsi="宋体" w:eastAsia="宋体" w:cs="宋体"/>
          <w:sz w:val="24"/>
          <w:szCs w:val="24"/>
        </w:rPr>
        <w:t>频分复用并不只能配合载波调频使用。它可以与调幅、调频或调相等多种调制方式配合使用。</w:t>
      </w:r>
    </w:p>
    <w:p w14:paraId="21025AED">
      <w:pPr>
        <w:pStyle w:val="3"/>
        <w:spacing w:before="360" w:after="180"/>
        <w:ind w:left="562" w:hanging="562"/>
      </w:pPr>
      <w:r>
        <w:rPr>
          <w:rFonts w:hint="eastAsia"/>
        </w:rPr>
        <w:t>第</w:t>
      </w:r>
      <w:r>
        <w:rPr>
          <w:rFonts w:hint="eastAsia"/>
          <w:lang w:val="en-US" w:eastAsia="zh-CN"/>
        </w:rPr>
        <w:t>22</w:t>
      </w:r>
      <w:r>
        <w:rPr>
          <w:rFonts w:hint="eastAsia"/>
        </w:rPr>
        <w:t>题</w:t>
      </w:r>
    </w:p>
    <w:p w14:paraId="6515BD61">
      <w:pPr>
        <w:pStyle w:val="10"/>
        <w:keepNext w:val="0"/>
        <w:keepLines w:val="0"/>
        <w:widowControl/>
        <w:suppressLineNumbers w:val="0"/>
        <w:ind w:firstLine="420" w:firstLineChars="0"/>
      </w:pPr>
      <w:r>
        <w:t>我们首先需要使用香农定理来计算信噪比。公式为：C = W × log2(1 + S/N)。其中 C 是最大信息传输速率，W 是带宽，S/N 是信噪比。</w:t>
      </w:r>
    </w:p>
    <w:p w14:paraId="5D566D47">
      <w:pPr>
        <w:pStyle w:val="10"/>
        <w:keepNext w:val="0"/>
        <w:keepLines w:val="0"/>
        <w:widowControl/>
        <w:suppressLineNumbers w:val="0"/>
        <w:ind w:firstLine="420" w:firstLineChars="0"/>
      </w:pPr>
      <w:r>
        <w:t>第一部分计算： 已知 C = 144 Mbps，W = 20 MHz。 代入公式得到：144 = 20 × log2(1 + S/N) 144 ÷ 20 = 7.2 log2(1 + S/N) = 7.2 1 + S/N = 2的7.2次方 ≈ 147.033 S/N ≈ 146.033 转换为分贝（dB）的计算公式为：10 × log10(S/N) 10 × log10(146.033) ≈ 10 × 2.164 ≈ 21.64。</w:t>
      </w:r>
    </w:p>
    <w:p w14:paraId="4743DBD9">
      <w:pPr>
        <w:pStyle w:val="10"/>
        <w:keepNext w:val="0"/>
        <w:keepLines w:val="0"/>
        <w:widowControl/>
        <w:suppressLineNumbers w:val="0"/>
        <w:ind w:firstLine="420" w:firstLineChars="0"/>
      </w:pPr>
      <w:r>
        <w:t xml:space="preserve">关于误码率的计算： 20MB的文件大小转换为位（bit）是：20 × 1024 × 1024 × 8 = 167,772,160 bit。 但在计算机网络题目中，若按标准度量制计算：20MB = 20 × 8 = 160 Mb。 要在1秒内传完 160Mb 的数据，所需的最低速率是 160 Mbps。 然而，该信道的最大物理能力仅为 144 Mbps。 </w:t>
      </w:r>
    </w:p>
    <w:p w14:paraId="762BF5DC">
      <w:pPr>
        <w:pStyle w:val="10"/>
        <w:keepNext w:val="0"/>
        <w:keepLines w:val="0"/>
        <w:widowControl/>
        <w:suppressLineNumbers w:val="0"/>
        <w:ind w:firstLine="420" w:firstLineChars="0"/>
      </w:pPr>
      <w:r>
        <w:t xml:space="preserve">这意味着有 160 - 144 = 16 Mb 的数据无法正常通过物理信道。若强制通过编程手段发送，超出的部分会产生错误。 误码率 = 错误位数 ÷ 总位数 = 16 Mbps ÷ 160 Mbps = 0.1，即 10%。 </w:t>
      </w:r>
    </w:p>
    <w:p w14:paraId="1AAEE2C9">
      <w:pPr>
        <w:pStyle w:val="10"/>
        <w:keepNext w:val="0"/>
        <w:keepLines w:val="0"/>
        <w:widowControl/>
        <w:suppressLineNumbers w:val="0"/>
        <w:ind w:firstLine="420" w:firstLineChars="0"/>
      </w:pPr>
      <w:r>
        <w:rPr>
          <w:rFonts w:hint="eastAsia"/>
          <w:lang w:val="en-US" w:eastAsia="zh-CN"/>
        </w:rPr>
        <w:t>也就是说实际上</w:t>
      </w:r>
      <w:r>
        <w:t>溢出的数据在接收端表现为随机噪声（50%概率对，50%概率错），则最小误码率为 10% × 0.5 = 5.00%。</w:t>
      </w:r>
    </w:p>
    <w:p w14:paraId="54F735EE">
      <w:pPr>
        <w:pStyle w:val="10"/>
        <w:keepNext w:val="0"/>
        <w:keepLines w:val="0"/>
        <w:widowControl/>
        <w:suppressLineNumbers w:val="0"/>
        <w:ind w:firstLine="420" w:firstLineChars="0"/>
      </w:pPr>
      <w:r>
        <w:t>第二部分计算： 已知 C = 300 Mbps，W = 40 MHz。 代入公式得到：300 = 40 × log2(1 + S/N) 300 ÷ 40 = 7.5 log2(1 + S/N) = 7.5 1 + S/N = 2的7.5次方 ≈ 181.019 S/N ≈ 180.019 转换为分贝（dB）：10 × log10(180.019) ≈ 22.55</w:t>
      </w:r>
      <w:r>
        <w:rPr>
          <w:rFonts w:hint="eastAsia"/>
          <w:lang w:val="en-US" w:eastAsia="zh-CN"/>
        </w:rPr>
        <w:t>3</w:t>
      </w:r>
      <w:r>
        <w:t>dB。</w:t>
      </w:r>
    </w:p>
    <w:p w14:paraId="30E6C849">
      <w:pPr>
        <w:pStyle w:val="10"/>
        <w:keepNext w:val="0"/>
        <w:keepLines w:val="0"/>
        <w:widowControl/>
        <w:suppressLineNumbers w:val="0"/>
        <w:ind w:firstLine="420" w:firstLineChars="0"/>
      </w:pPr>
      <w:r>
        <w:t>关于误码率： 此时信道的最大传输速率为 300 Mbps。我们需要传输的文件速率要求仅为 160 Mbps。 因为 300 Mbps &gt; 160 Mbps，说明该信道的物理性能足以支撑这个传输需求。在理想状态下，误码率至少可以达到 0。</w:t>
      </w:r>
    </w:p>
    <w:p w14:paraId="3E2FA5F5">
      <w:pPr>
        <w:pStyle w:val="3"/>
        <w:spacing w:before="360" w:after="180"/>
        <w:ind w:left="562" w:hanging="562"/>
      </w:pPr>
      <w:r>
        <w:rPr>
          <w:rFonts w:hint="eastAsia"/>
        </w:rPr>
        <w:t>第</w:t>
      </w:r>
      <w:r>
        <w:rPr>
          <w:rFonts w:hint="eastAsia"/>
          <w:lang w:val="en-US" w:eastAsia="zh-CN"/>
        </w:rPr>
        <w:t>23</w:t>
      </w:r>
      <w:r>
        <w:rPr>
          <w:rFonts w:hint="eastAsia"/>
        </w:rPr>
        <w:t>题</w:t>
      </w:r>
    </w:p>
    <w:p w14:paraId="459D925C">
      <w:pPr>
        <w:pStyle w:val="5"/>
        <w:rPr>
          <w:rFonts w:ascii="宋体" w:hAnsi="宋体" w:eastAsia="宋体" w:cs="宋体"/>
          <w:sz w:val="24"/>
          <w:szCs w:val="24"/>
        </w:rPr>
      </w:pPr>
      <w:r>
        <w:rPr>
          <w:rFonts w:ascii="宋体" w:hAnsi="宋体" w:eastAsia="宋体" w:cs="宋体"/>
          <w:sz w:val="24"/>
          <w:szCs w:val="24"/>
        </w:rPr>
        <w:t xml:space="preserve">在理想的二进制幅移键控条件下，每秒能够编码 </w:t>
      </w:r>
      <w:r>
        <w:rPr>
          <w:rFonts w:hint="eastAsia" w:ascii="宋体" w:hAnsi="宋体" w:eastAsia="宋体" w:cs="宋体"/>
          <w:sz w:val="24"/>
          <w:szCs w:val="24"/>
          <w:lang w:val="en-US" w:eastAsia="zh-CN"/>
        </w:rPr>
        <w:t xml:space="preserve">4000 </w:t>
      </w:r>
      <w:r>
        <w:rPr>
          <w:rFonts w:ascii="宋体" w:hAnsi="宋体" w:eastAsia="宋体" w:cs="宋体"/>
          <w:sz w:val="24"/>
          <w:szCs w:val="24"/>
        </w:rPr>
        <w:t xml:space="preserve">bit。 </w:t>
      </w:r>
    </w:p>
    <w:p w14:paraId="40D8B0F0">
      <w:pPr>
        <w:pStyle w:val="5"/>
      </w:pPr>
      <w:r>
        <w:rPr>
          <w:rFonts w:ascii="宋体" w:hAnsi="宋体" w:eastAsia="宋体" w:cs="宋体"/>
          <w:sz w:val="24"/>
          <w:szCs w:val="24"/>
        </w:rPr>
        <w:t xml:space="preserve">原因：根据奈奎斯特准则，一个带宽为 W 的无噪声低通信道，其最高码元传输速率为 W。在本题中，载波频率为 4000Hz，若以此频率作为调制基准，其等效带宽与频率相关。在数字通信中，调制的采样速率或状态变换速率受限于载波的循环周期。如果每个正弦波周期代表一个码元（例如有波峰代表1，无波峰代表0），且根据采样定理，为了无失真恢复信号，每秒最高可实现的码元速率为 </w:t>
      </w:r>
      <w:r>
        <w:rPr>
          <w:rFonts w:hint="eastAsia" w:ascii="宋体" w:hAnsi="宋体" w:eastAsia="宋体" w:cs="宋体"/>
          <w:sz w:val="24"/>
          <w:szCs w:val="24"/>
          <w:lang w:val="en-US" w:eastAsia="zh-CN"/>
        </w:rPr>
        <w:t>1</w:t>
      </w:r>
      <w:r>
        <w:rPr>
          <w:rFonts w:ascii="宋体" w:hAnsi="宋体" w:eastAsia="宋体" w:cs="宋体"/>
          <w:sz w:val="24"/>
          <w:szCs w:val="24"/>
        </w:rPr>
        <w:t xml:space="preserve"> × 4000 = 8000 Baud（波特）。在二元调制下，1 Baud 等于 1 bit，因此速率为 </w:t>
      </w:r>
      <w:r>
        <w:rPr>
          <w:rFonts w:hint="eastAsia" w:ascii="宋体" w:hAnsi="宋体" w:eastAsia="宋体" w:cs="宋体"/>
          <w:sz w:val="24"/>
          <w:szCs w:val="24"/>
          <w:lang w:val="en-US" w:eastAsia="zh-CN"/>
        </w:rPr>
        <w:t xml:space="preserve">4000 </w:t>
      </w:r>
      <w:r>
        <w:rPr>
          <w:rFonts w:ascii="宋体" w:hAnsi="宋体" w:eastAsia="宋体" w:cs="宋体"/>
          <w:sz w:val="24"/>
          <w:szCs w:val="24"/>
        </w:rPr>
        <w:t>bit/s。</w:t>
      </w:r>
    </w:p>
    <w:p w14:paraId="298BC84A">
      <w:pPr>
        <w:pStyle w:val="3"/>
        <w:spacing w:before="360" w:after="180"/>
        <w:ind w:left="562" w:hanging="562"/>
      </w:pPr>
      <w:r>
        <w:rPr>
          <w:rFonts w:hint="eastAsia"/>
        </w:rPr>
        <w:t>第</w:t>
      </w:r>
      <w:r>
        <w:rPr>
          <w:rFonts w:hint="eastAsia"/>
          <w:lang w:val="en-US" w:eastAsia="zh-CN"/>
        </w:rPr>
        <w:t>24</w:t>
      </w:r>
      <w:r>
        <w:rPr>
          <w:rFonts w:hint="eastAsia"/>
        </w:rPr>
        <w:t>题</w:t>
      </w:r>
    </w:p>
    <w:p w14:paraId="5DB7B111">
      <w:pPr>
        <w:pStyle w:val="5"/>
        <w:rPr>
          <w:rFonts w:ascii="宋体" w:hAnsi="宋体" w:eastAsia="宋体" w:cs="宋体"/>
          <w:sz w:val="24"/>
          <w:szCs w:val="24"/>
        </w:rPr>
      </w:pPr>
      <w:r>
        <w:rPr>
          <w:rFonts w:ascii="宋体" w:hAnsi="宋体" w:eastAsia="宋体" w:cs="宋体"/>
          <w:sz w:val="24"/>
          <w:szCs w:val="24"/>
        </w:rPr>
        <w:t>同一地区各无线电台必须使用唯一的载波频率，主要是为了防止频谱重叠导致的信号干扰。</w:t>
      </w:r>
    </w:p>
    <w:p w14:paraId="65EB31E9">
      <w:pPr>
        <w:pStyle w:val="5"/>
        <w:rPr>
          <w:rFonts w:hint="eastAsia"/>
        </w:rPr>
      </w:pPr>
      <w:r>
        <w:rPr>
          <w:rFonts w:ascii="宋体" w:hAnsi="宋体" w:eastAsia="宋体" w:cs="宋体"/>
          <w:sz w:val="24"/>
          <w:szCs w:val="24"/>
        </w:rPr>
        <w:t>如果两个或多个电台在同一覆盖范围内使用相同的频率发射信号，接收端的硬件滤波器在调谐到该频率时，会同时接收到所有来自该频率的能量。这些不同的信号会在空间中叠加，产生同频干扰。对于模拟信号，这会导致严重的杂音、声音重叠或完全失真；对于数字信号，这会产生大量的冲突和误码，导致接收端完全无法解码出原始信息。因此，通过分配唯一的“频段车道”，各电台才能互不干扰地同时工作。</w:t>
      </w:r>
    </w:p>
    <w:p w14:paraId="026CB459">
      <w:pPr>
        <w:pStyle w:val="2"/>
        <w:spacing w:before="360" w:after="180"/>
        <w:ind w:left="640" w:hanging="640"/>
        <w:rPr>
          <w:rFonts w:hint="eastAsia"/>
        </w:rPr>
      </w:pPr>
      <w:r>
        <w:rPr>
          <w:rFonts w:hint="eastAsia"/>
        </w:rPr>
        <w:t>三、编程题</w:t>
      </w:r>
    </w:p>
    <w:p w14:paraId="1F4F760D">
      <w:pPr>
        <w:pStyle w:val="5"/>
        <w:rPr>
          <w:rFonts w:hint="eastAsia"/>
          <w:lang w:val="en-US" w:eastAsia="zh-CN"/>
        </w:rPr>
      </w:pPr>
      <w:r>
        <w:rPr>
          <w:rFonts w:hint="eastAsia"/>
          <w:lang w:val="en-US" w:eastAsia="zh-CN"/>
        </w:rPr>
        <w:t>25.https://gitee.com/vintces/hwproject3</w:t>
      </w:r>
    </w:p>
    <w:p w14:paraId="7EFC22FF">
      <w:pPr>
        <w:pStyle w:val="5"/>
        <w:rPr>
          <w:rFonts w:hint="default"/>
          <w:lang w:val="en-US" w:eastAsia="zh-CN"/>
        </w:rPr>
      </w:pPr>
      <w:r>
        <w:rPr>
          <w:rFonts w:hint="eastAsia"/>
          <w:lang w:val="en-US" w:eastAsia="zh-CN"/>
        </w:rPr>
        <w:t>26.https://gitee.com/vintces/hwproject4</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19E5991"/>
    <w:rsid w:val="055811D5"/>
    <w:rsid w:val="09C13E54"/>
    <w:rsid w:val="0EE75A62"/>
    <w:rsid w:val="166C6378"/>
    <w:rsid w:val="17D425DA"/>
    <w:rsid w:val="1FE733C2"/>
    <w:rsid w:val="21B92D63"/>
    <w:rsid w:val="2D153C85"/>
    <w:rsid w:val="2D414267"/>
    <w:rsid w:val="40E30D4F"/>
    <w:rsid w:val="46EE513F"/>
    <w:rsid w:val="46FF63EA"/>
    <w:rsid w:val="4D6555E7"/>
    <w:rsid w:val="52B7176B"/>
    <w:rsid w:val="53013CA7"/>
    <w:rsid w:val="575A28F2"/>
    <w:rsid w:val="59654FF6"/>
    <w:rsid w:val="69EE156A"/>
    <w:rsid w:val="6ABF3EEC"/>
    <w:rsid w:val="7A8458D1"/>
    <w:rsid w:val="7CF1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1">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3">
    <w:name w:val="Table Grid"/>
    <w:basedOn w:val="12"/>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mphasis"/>
    <w:basedOn w:val="14"/>
    <w:qFormat/>
    <w:uiPriority w:val="20"/>
    <w:rPr>
      <w:rFonts w:eastAsia="方正公文楷体" w:asciiTheme="minorHAnsi" w:hAnsiTheme="minorHAnsi"/>
      <w:iCs/>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页眉 字符"/>
    <w:basedOn w:val="14"/>
    <w:link w:val="8"/>
    <w:qFormat/>
    <w:uiPriority w:val="99"/>
    <w:rPr>
      <w:sz w:val="18"/>
      <w:szCs w:val="18"/>
    </w:rPr>
  </w:style>
  <w:style w:type="character" w:customStyle="1" w:styleId="18">
    <w:name w:val="页脚 字符"/>
    <w:basedOn w:val="14"/>
    <w:link w:val="7"/>
    <w:qFormat/>
    <w:uiPriority w:val="99"/>
    <w:rPr>
      <w:szCs w:val="18"/>
    </w:rPr>
  </w:style>
  <w:style w:type="character" w:customStyle="1" w:styleId="19">
    <w:name w:val="Unresolved Mention"/>
    <w:basedOn w:val="14"/>
    <w:semiHidden/>
    <w:unhideWhenUsed/>
    <w:qFormat/>
    <w:uiPriority w:val="99"/>
    <w:rPr>
      <w:color w:val="605E5C"/>
      <w:shd w:val="clear" w:color="auto" w:fill="E1DFDD"/>
    </w:rPr>
  </w:style>
  <w:style w:type="character" w:customStyle="1" w:styleId="20">
    <w:name w:val="标题 字符"/>
    <w:basedOn w:val="14"/>
    <w:link w:val="11"/>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4"/>
    <w:link w:val="5"/>
    <w:qFormat/>
    <w:uiPriority w:val="34"/>
    <w:rPr>
      <w:sz w:val="24"/>
      <w:szCs w:val="28"/>
    </w:rPr>
  </w:style>
  <w:style w:type="character" w:customStyle="1" w:styleId="23">
    <w:name w:val="副标题 字符"/>
    <w:basedOn w:val="14"/>
    <w:link w:val="9"/>
    <w:qFormat/>
    <w:uiPriority w:val="11"/>
    <w:rPr>
      <w:rFonts w:eastAsia="方正公文黑体" w:asciiTheme="majorHAnsi" w:hAnsiTheme="majorHAnsi"/>
      <w:bCs/>
      <w:kern w:val="28"/>
      <w:sz w:val="32"/>
      <w:szCs w:val="32"/>
    </w:rPr>
  </w:style>
  <w:style w:type="character" w:customStyle="1" w:styleId="24">
    <w:name w:val="标题 1 字符"/>
    <w:basedOn w:val="14"/>
    <w:link w:val="2"/>
    <w:qFormat/>
    <w:uiPriority w:val="9"/>
    <w:rPr>
      <w:rFonts w:asciiTheme="majorHAnsi" w:hAnsiTheme="majorHAnsi" w:eastAsiaTheme="majorEastAsia"/>
      <w:bCs/>
      <w:sz w:val="32"/>
      <w:szCs w:val="32"/>
    </w:rPr>
  </w:style>
  <w:style w:type="character" w:customStyle="1" w:styleId="25">
    <w:name w:val="标题 2 字符"/>
    <w:basedOn w:val="14"/>
    <w:link w:val="3"/>
    <w:qFormat/>
    <w:uiPriority w:val="9"/>
    <w:rPr>
      <w:rFonts w:cstheme="majorBidi"/>
      <w:b/>
      <w:sz w:val="28"/>
      <w:szCs w:val="32"/>
    </w:rPr>
  </w:style>
  <w:style w:type="character" w:customStyle="1" w:styleId="26">
    <w:name w:val="Intense Emphasis"/>
    <w:basedOn w:val="15"/>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4"/>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4"/>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4"/>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4"/>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4</Pages>
  <Words>1338</Words>
  <Characters>1741</Characters>
  <Lines>89</Lines>
  <Paragraphs>97</Paragraphs>
  <TotalTime>71</TotalTime>
  <ScaleCrop>false</ScaleCrop>
  <LinksUpToDate>false</LinksUpToDate>
  <CharactersWithSpaces>1944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2026-03-22T06:50:40Z</dcterms:modified>
  <dc:title>厦门大学作业纸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