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0"/>
        <w:spacing w:before="360" w:after="0" w:afterLines="0" w:line="240" w:lineRule="auto"/>
        <w:rPr>
          <w:rFonts w:hint="eastAsia"/>
        </w:rPr>
      </w:pPr>
      <w:r>
        <w:rPr>
          <w:rFonts w:hint="eastAsia"/>
        </w:rPr>
        <w:t>计算机网络</w:t>
      </w:r>
      <w:r>
        <w:rPr>
          <w:rFonts w:hint="eastAsia"/>
          <w:u w:val="single"/>
        </w:rPr>
        <w:t xml:space="preserve"> </w:t>
      </w:r>
      <w:r>
        <w:rPr>
          <w:rFonts w:hint="eastAsia"/>
          <w:u w:val="single"/>
          <w:lang w:val="en-US" w:eastAsia="zh-CN"/>
        </w:rPr>
        <w:t xml:space="preserve">第 6 课 局域网扩展设备和无线网络</w:t>
      </w:r>
      <w:r>
        <w:rPr>
          <w:rFonts w:hint="eastAsia"/>
          <w:u w:val="single"/>
        </w:rPr>
        <w:t xml:space="preserve">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软工24级2班</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2"/>
        <w:tblW w:w="89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19"/>
        <w:gridCol w:w="819"/>
        <w:gridCol w:w="819"/>
        <w:gridCol w:w="819"/>
        <w:gridCol w:w="819"/>
        <w:gridCol w:w="819"/>
        <w:gridCol w:w="819"/>
        <w:gridCol w:w="819"/>
        <w:gridCol w:w="819"/>
        <w:gridCol w:w="819"/>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819"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819"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819"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819"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819"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819"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819"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819"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819"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EAFAE5A">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vAlign w:val="center"/>
          </w:tcPr>
          <w:p w14:paraId="04C079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6702164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561DF93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56EE6EC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141C79D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237A499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25666A6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650C692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282BBDF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819"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819"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819"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819"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819"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819"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819"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819"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819"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BDF6EF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15B0676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2B7A94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189E2A6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06CD08A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02D1F61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4BD9A64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77CC7277">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7950486C">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17F7478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r>
      <w:tr w14:paraId="5B72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shd w:val="clear" w:color="auto" w:fill="auto"/>
            <w:vAlign w:val="center"/>
          </w:tcPr>
          <w:p w14:paraId="0B7E737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vAlign w:val="center"/>
          </w:tcPr>
          <w:p w14:paraId="22C0F7C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21</w:t>
            </w:r>
          </w:p>
        </w:tc>
        <w:tc>
          <w:tcPr>
            <w:tcW w:w="819" w:type="dxa"/>
            <w:vAlign w:val="center"/>
          </w:tcPr>
          <w:p w14:paraId="336D36D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22</w:t>
            </w:r>
          </w:p>
        </w:tc>
        <w:tc>
          <w:tcPr>
            <w:tcW w:w="819" w:type="dxa"/>
            <w:vAlign w:val="center"/>
          </w:tcPr>
          <w:p w14:paraId="2F3793FC">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23</w:t>
            </w:r>
          </w:p>
        </w:tc>
        <w:tc>
          <w:tcPr>
            <w:tcW w:w="819" w:type="dxa"/>
            <w:vAlign w:val="center"/>
          </w:tcPr>
          <w:p w14:paraId="07F4C6B3">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24</w:t>
            </w:r>
          </w:p>
        </w:tc>
        <w:tc>
          <w:tcPr>
            <w:tcW w:w="819" w:type="dxa"/>
            <w:vAlign w:val="center"/>
          </w:tcPr>
          <w:p w14:paraId="536F18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25</w:t>
            </w:r>
          </w:p>
        </w:tc>
        <w:tc>
          <w:tcPr>
            <w:tcW w:w="819" w:type="dxa"/>
            <w:vAlign w:val="center"/>
          </w:tcPr>
          <w:p w14:paraId="531C9B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26</w:t>
            </w:r>
          </w:p>
        </w:tc>
        <w:tc>
          <w:tcPr>
            <w:tcW w:w="819" w:type="dxa"/>
            <w:vAlign w:val="center"/>
          </w:tcPr>
          <w:p w14:paraId="18E5D0B9">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27</w:t>
            </w:r>
          </w:p>
        </w:tc>
        <w:tc>
          <w:tcPr>
            <w:tcW w:w="819" w:type="dxa"/>
            <w:vAlign w:val="center"/>
          </w:tcPr>
          <w:p w14:paraId="54411D7E">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28</w:t>
            </w:r>
          </w:p>
        </w:tc>
        <w:tc>
          <w:tcPr>
            <w:tcW w:w="819" w:type="dxa"/>
            <w:vAlign w:val="center"/>
          </w:tcPr>
          <w:p w14:paraId="2949D0E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29</w:t>
            </w:r>
          </w:p>
        </w:tc>
        <w:tc>
          <w:tcPr>
            <w:tcW w:w="819" w:type="dxa"/>
            <w:vAlign w:val="center"/>
          </w:tcPr>
          <w:p w14:paraId="5FA167E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30</w:t>
            </w:r>
          </w:p>
        </w:tc>
      </w:tr>
      <w:tr w14:paraId="31A9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74F58D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rPr>
              <w:t>选项</w:t>
            </w:r>
          </w:p>
        </w:tc>
        <w:tc>
          <w:tcPr>
            <w:tcW w:w="819" w:type="dxa"/>
            <w:shd w:val="clear" w:color="auto" w:fill="auto"/>
            <w:vAlign w:val="center"/>
          </w:tcPr>
          <w:p w14:paraId="18A194D6">
            <w:pPr>
              <w:jc w:val="center"/>
              <w:rPr>
                <w:rFonts w:hint="eastAsia" w:ascii="Times New Roman" w:hAnsi="Times New Roman" w:eastAsia="宋体" w:cs="Times New Roman"/>
                <w:kern w:val="0"/>
                <w:szCs w:val="20"/>
                <w:lang w:val="en-US" w:eastAsia="zh-CN"/>
              </w:rPr>
            </w:pPr>
            <w:bookmarkStart w:id="0" w:name="_GoBack"/>
            <w:r>
              <w:rPr>
                <w:rFonts w:hint="eastAsia" w:ascii="Times New Roman" w:hAnsi="Times New Roman" w:eastAsia="宋体" w:cs="Times New Roman"/>
                <w:kern w:val="0"/>
                <w:szCs w:val="20"/>
                <w:lang w:val="en-US" w:eastAsia="zh-CN"/>
              </w:rPr>
              <w:t xml:space="preserve">A</w:t>
            </w:r>
            <w:bookmarkEnd w:id="0"/>
          </w:p>
        </w:tc>
        <w:tc>
          <w:tcPr>
            <w:tcW w:w="819" w:type="dxa"/>
            <w:shd w:val="clear" w:color="auto" w:fill="auto"/>
            <w:vAlign w:val="center"/>
          </w:tcPr>
          <w:p w14:paraId="23B38321">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shd w:val="clear" w:color="auto" w:fill="auto"/>
            <w:vAlign w:val="center"/>
          </w:tcPr>
          <w:p w14:paraId="1F8ECC8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shd w:val="clear" w:color="auto" w:fill="auto"/>
            <w:vAlign w:val="center"/>
          </w:tcPr>
          <w:p w14:paraId="10B4B6E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D</w:t>
            </w:r>
          </w:p>
        </w:tc>
        <w:tc>
          <w:tcPr>
            <w:tcW w:w="819" w:type="dxa"/>
            <w:shd w:val="clear" w:color="auto" w:fill="auto"/>
            <w:vAlign w:val="center"/>
          </w:tcPr>
          <w:p w14:paraId="73EDF9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shd w:val="clear" w:color="auto" w:fill="auto"/>
            <w:vAlign w:val="center"/>
          </w:tcPr>
          <w:p w14:paraId="041D2977">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shd w:val="clear" w:color="auto" w:fill="auto"/>
            <w:vAlign w:val="center"/>
          </w:tcPr>
          <w:p w14:paraId="063DF29E">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A</w:t>
            </w:r>
          </w:p>
        </w:tc>
        <w:tc>
          <w:tcPr>
            <w:tcW w:w="819" w:type="dxa"/>
            <w:shd w:val="clear" w:color="auto" w:fill="auto"/>
            <w:vAlign w:val="center"/>
          </w:tcPr>
          <w:p w14:paraId="696266DF">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shd w:val="clear" w:color="auto" w:fill="auto"/>
            <w:vAlign w:val="center"/>
          </w:tcPr>
          <w:p w14:paraId="17271A98">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A</w:t>
            </w:r>
          </w:p>
        </w:tc>
        <w:tc>
          <w:tcPr>
            <w:tcW w:w="819" w:type="dxa"/>
            <w:shd w:val="clear" w:color="auto" w:fill="auto"/>
            <w:vAlign w:val="center"/>
          </w:tcPr>
          <w:p w14:paraId="5BD4C95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r>
    </w:tbl>
    <w:p w14:paraId="5CD912DC">
      <w:pPr>
        <w:pStyle w:val="2"/>
        <w:spacing w:before="360" w:after="180"/>
        <w:ind w:left="640" w:hanging="640"/>
        <w:rPr>
          <w:rFonts w:hint="eastAsia"/>
        </w:rPr>
      </w:pPr>
      <w:r>
        <w:rPr>
          <w:rFonts w:hint="eastAsia"/>
        </w:rPr>
        <w:t>二、简答题</w:t>
      </w:r>
    </w:p>
    <w:p w14:paraId="0D87B408">
      <w:pPr>
        <w:pStyle w:val="5"/>
        <w:ind w:left="0" w:leftChars="0" w:firstLine="0" w:firstLineChars="0"/>
        <w:rPr>
          <w:rFonts w:hint="eastAsia"/>
        </w:rPr>
      </w:pPr>
      <w:r>
        <w:rPr>
          <w:rStyle w:val="16"/>
          <w:rFonts w:ascii="宋体" w:hAnsi="宋体" w:eastAsia="宋体" w:cs="宋体"/>
          <w:sz w:val="24"/>
          <w:szCs w:val="24"/>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30</w:t>
      </w:r>
      <w:r>
        <w:rPr>
          <w:rFonts w:hint="eastAsia"/>
        </w:rPr>
        <w:t>题</w:t>
      </w:r>
      <w:r>
        <w:rPr>
          <w:rFonts w:hint="eastAsia"/>
          <w:lang w:val="en-US" w:eastAsia="zh-CN"/>
        </w:rPr>
        <w:t xml:space="preserve">: 判断题：10Gbps 以太网只使用光纤，只有全双工方式。</w:t>
      </w:r>
    </w:p>
    <w:p w14:paraId="5DD9C6FB">
      <w:pPr>
        <w:pStyle w:val="5"/>
        <w:rPr>
          <w:rFonts w:hint="eastAsia"/>
          <w:lang w:val="en-US" w:eastAsia="zh-CN"/>
        </w:rPr>
      </w:pPr>
      <w:r>
        <w:rPr>
          <w:rFonts w:hint="eastAsia"/>
          <w:lang w:val="en-US" w:eastAsia="zh-CN"/>
        </w:rPr>
        <w:t xml:space="preserve">判断为错误。虽然万兆以太网已经彻底放弃半双工模式且只能工作在全双工方式下，但在物理传输介质方面，它并非仅局限于光纤，同样支持使用高级别的双绞线铜缆在一定距离内进行高速数据传输。</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31</w:t>
      </w:r>
      <w:r>
        <w:rPr>
          <w:rFonts w:hint="eastAsia"/>
        </w:rPr>
        <w:t>题</w:t>
      </w:r>
      <w:r>
        <w:rPr>
          <w:rFonts w:hint="eastAsia"/>
          <w:lang w:val="en-US" w:eastAsia="zh-CN"/>
        </w:rPr>
        <w:t xml:space="preserve">: 判断题：网桥的网卡运行于混杂模式。</w:t>
      </w:r>
    </w:p>
    <w:p w14:paraId="5DD9C6FB">
      <w:pPr>
        <w:pStyle w:val="5"/>
        <w:rPr>
          <w:rFonts w:hint="eastAsia"/>
          <w:lang w:val="en-US" w:eastAsia="zh-CN"/>
        </w:rPr>
      </w:pPr>
      <w:r>
        <w:rPr>
          <w:rFonts w:hint="eastAsia"/>
          <w:lang w:val="en-US" w:eastAsia="zh-CN"/>
        </w:rPr>
        <w:t xml:space="preserve">判断为正确。网桥的作用是连接多个物理网段并根据数据链路层地址进行转发决策。为了监控网络并决定所有流通数据帧的去留，网桥的网络接口卡必须设置为混杂模式，从而接收并处理本网段上出现的所有数据帧，而非仅接收目的地址为自己的帧。</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32</w:t>
      </w:r>
      <w:r>
        <w:rPr>
          <w:rFonts w:hint="eastAsia"/>
        </w:rPr>
        <w:t>题</w:t>
      </w:r>
      <w:r>
        <w:rPr>
          <w:rFonts w:hint="eastAsia"/>
          <w:lang w:val="en-US" w:eastAsia="zh-CN"/>
        </w:rPr>
        <w:t xml:space="preserve">: 请简述中继器、网桥和交换机的作用与区别。</w:t>
      </w:r>
    </w:p>
    <w:p w14:paraId="5DD9C6FB">
      <w:pPr>
        <w:pStyle w:val="5"/>
        <w:rPr>
          <w:rFonts w:hint="eastAsia"/>
          <w:lang w:val="en-US" w:eastAsia="zh-CN"/>
        </w:rPr>
      </w:pPr>
      <w:r>
        <w:rPr>
          <w:rFonts w:hint="eastAsia"/>
          <w:lang w:val="en-US" w:eastAsia="zh-CN"/>
        </w:rPr>
        <w:t xml:space="preserve">中继器工作于物理层，其主要作用是对衰减的电信号进行放大与再生，用于延长网络的物理连接距离，由于无法识别数据帧结构，因此不能划分冲突域。网桥工作于数据链路层，通过软件维护的物理地址表连接不同网段并进行帧的过滤与选择性转发，能够隔离冲突域但端口数量较少。交换机同样工作于数据链路层，本质上可视为多端口的网桥，其内部依靠专用硬件芯片实现极高速的数据转发，每个端口均构成一个独立的冲突域，具备极强的隔离和并发数据交换能力。</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33</w:t>
      </w:r>
      <w:r>
        <w:rPr>
          <w:rFonts w:hint="eastAsia"/>
        </w:rPr>
        <w:t>题</w:t>
      </w:r>
      <w:r>
        <w:rPr>
          <w:rFonts w:hint="eastAsia"/>
          <w:lang w:val="en-US" w:eastAsia="zh-CN"/>
        </w:rPr>
        <w:t xml:space="preserve">: 什么是传统以太网组网中的“五四三二一”原则？</w:t>
      </w:r>
    </w:p>
    <w:p w14:paraId="5DD9C6FB">
      <w:pPr>
        <w:pStyle w:val="5"/>
        <w:rPr>
          <w:rFonts w:hint="eastAsia"/>
          <w:lang w:val="en-US" w:eastAsia="zh-CN"/>
        </w:rPr>
      </w:pPr>
      <w:r>
        <w:rPr>
          <w:rFonts w:hint="eastAsia"/>
          <w:lang w:val="en-US" w:eastAsia="zh-CN"/>
        </w:rPr>
        <w:t xml:space="preserve">五四三二一原则是早期构建共享式以太网时为保障冲突检测机制正常工作而规定的拓扑设计规则。具体含义为整个以太网最多只能由五个物理网段组成。这些物理网段之间最多允许使用四个中继器或集线器进行互连。在全部五个网段中，最多只允许三个网段挂接计算机节点。其余两个网段仅作为点对点链路用于延长物理传输距离，禁止直接接入任何计算机设备。上述所有网络设备与物理网段在逻辑上共同构成一个巨大的单一冲突域。</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34</w:t>
      </w:r>
      <w:r>
        <w:rPr>
          <w:rFonts w:hint="eastAsia"/>
        </w:rPr>
        <w:t>题</w:t>
      </w:r>
      <w:r>
        <w:rPr>
          <w:rFonts w:hint="eastAsia"/>
          <w:lang w:val="en-US" w:eastAsia="zh-CN"/>
        </w:rPr>
        <w:t xml:space="preserve">: 试比较传统以太网和交换机连接的以太网，其带宽高低，并分析原因。</w:t>
      </w:r>
    </w:p>
    <w:p w14:paraId="5DD9C6FB">
      <w:pPr>
        <w:pStyle w:val="5"/>
        <w:rPr>
          <w:rFonts w:hint="eastAsia"/>
          <w:lang w:val="en-US" w:eastAsia="zh-CN"/>
        </w:rPr>
      </w:pPr>
      <w:r>
        <w:rPr>
          <w:rFonts w:hint="eastAsia"/>
          <w:lang w:val="en-US" w:eastAsia="zh-CN"/>
        </w:rPr>
        <w:t xml:space="preserve">交换机连接的以太网其实际总带宽远远高于传统共享式以太网。原因在于传统以太网采用共享介质和半双工通信机制，所有主机处于同一个冲突域中，任何时刻仅允许一台主机发送数据，网络总带宽被所有节点平分，且因冲突退避算法导致网络利用率极低。相比之下，交换式以太网采用独占带宽与全双工通信机制，交换机内部的高速交换矩阵能够在多对通信端口间同时建立并行的数据传输通道。每台主机均可独享所属端口的全额物理带宽，彻底消除了网络冲突，使整个网络的理论总吞吐量能够达到各端口带宽的累加总和。</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35</w:t>
      </w:r>
      <w:r>
        <w:rPr>
          <w:rFonts w:hint="eastAsia"/>
        </w:rPr>
        <w:t>题</w:t>
      </w:r>
      <w:r>
        <w:rPr>
          <w:rFonts w:hint="eastAsia"/>
          <w:lang w:val="en-US" w:eastAsia="zh-CN"/>
        </w:rPr>
        <w:t xml:space="preserve">: 请描述交换机的内部结构。</w:t>
      </w:r>
    </w:p>
    <w:p w14:paraId="5DD9C6FB">
      <w:pPr>
        <w:pStyle w:val="5"/>
        <w:rPr>
          <w:rFonts w:hint="eastAsia"/>
          <w:lang w:val="en-US" w:eastAsia="zh-CN"/>
        </w:rPr>
      </w:pPr>
      <w:r>
        <w:rPr>
          <w:rFonts w:hint="eastAsia"/>
          <w:lang w:val="en-US" w:eastAsia="zh-CN"/>
        </w:rPr>
        <w:t xml:space="preserve">交换机的内部结构主要由四个核心功能模块构成。首先是网络接口模块，主要负责与外部网络设备的物理连接、光电信号转换以及数据链路层数据帧的封装与解封装。其次是交换矩阵模块，作为交换机的核心数据通道，负责在各个输入与输出端口之间建立极高速且无阻塞的并行转发路径。第三是转发表引擎与数据缓冲区，内部包含用于记录物理地址与端口映射关系的高速存储器以便快速寻址，同时利用数据缓冲区在网络发生拥塞时暂存未及发送的数据帧。最后是控制处理器与专用集成电路，微处理器负责整体的配置管理与高层协议运行，而底层的数据帧匹配、查表与转发操作则完全交由固化的硬件专用集成电路以线速级别独立完成。</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36</w:t>
      </w:r>
      <w:r>
        <w:rPr>
          <w:rFonts w:hint="eastAsia"/>
        </w:rPr>
        <w:t>题</w:t>
      </w:r>
      <w:r>
        <w:rPr>
          <w:rFonts w:hint="eastAsia"/>
          <w:lang w:val="en-US" w:eastAsia="zh-CN"/>
        </w:rPr>
        <w:t xml:space="preserve">: 请简述无线网络为何无法采用 CSMA/CD 机制进行通信。</w:t>
      </w:r>
    </w:p>
    <w:p w14:paraId="5DD9C6FB">
      <w:pPr>
        <w:pStyle w:val="5"/>
        <w:rPr>
          <w:rFonts w:hint="eastAsia"/>
          <w:lang w:val="en-US" w:eastAsia="zh-CN"/>
        </w:rPr>
      </w:pPr>
      <w:r>
        <w:rPr>
          <w:rFonts w:hint="eastAsia"/>
          <w:lang w:val="en-US" w:eastAsia="zh-CN"/>
        </w:rPr>
        <w:t xml:space="preserve">无线局域网无法采用带有冲突检测的机制主要受限于两方面的客观现实。一方面是硬件收发的物理限制，由于无线电波在空气中传播时衰减极为严重，发送端在发送数据的同时若试图监听信道，其自身发射的强大近端信号会完全掩盖远端传来的微弱冲突信号，导致网络接口卡在硬件层面上极难实现全双工的同步收发与精准冲突检测。另一方面是隐蔽站问题，受限于无线信号的有效覆盖范围，分别位于基站两侧且相距较远的两个节点可能无法互相感知，它们会误以为无线信道处于空闲状态并同时向同一基站发送数据。此时常规的冲突检测与载波监听机制将完全失效，因此无线网络普遍采用冲突避免机制配合控制帧来保障数据传输的可靠性。</w:t>
      </w:r>
    </w:p>
    <w:p w14:paraId="65D31A5F">
      <w:pPr>
        <w:pStyle w:val="5"/>
        <w:ind w:left="0" w:leftChars="0" w:firstLine="0" w:firstLineChars="0"/>
        <w:rPr>
          <w:rFonts w:hint="default"/>
          <w:lang w:val="en-US" w:eastAsia="zh-CN"/>
        </w:rPr>
      </w:pPr>
      <w:r>
        <w:rPr>
          <w:rFonts w:hint="eastAsia"/>
          <w:lang w:val="en-US" w:eastAsia="zh-CN"/>
        </w:rPr>
        <w:t xml:space="preserve"/>
      </w:r>
    </w:p>
    <w:p w14:paraId="026CB459">
      <w:pPr>
        <w:pStyle w:val="2"/>
        <w:spacing w:before="360" w:after="180"/>
        <w:ind w:left="640" w:hanging="640"/>
        <w:rPr>
          <w:rFonts w:hint="eastAsia"/>
        </w:rPr>
      </w:pPr>
      <w:r>
        <w:rPr>
          <w:rFonts w:hint="eastAsia"/>
        </w:rPr>
        <w:t>三、编程题</w:t>
      </w:r>
    </w:p>
    <w:p w14:paraId="1F4F760D">
      <w:pPr>
        <w:pStyle w:val="5"/>
        <w:ind w:left="0" w:leftChars="0" w:firstLine="0" w:firstLineChars="0"/>
        <w:rPr>
          <w:rFonts w:hint="default" w:eastAsiaTheme="minorEastAsia"/>
          <w:lang w:val="en-US" w:eastAsia="zh-CN"/>
        </w:rPr>
      </w:pPr>
      <w:r>
        <w:rPr>
          <w:rFonts w:hint="eastAsia"/>
          <w:lang w:val="en-US" w:eastAsia="zh-CN"/>
        </w:rPr>
        <w:t xml:space="preserve">37:https://gitee.com/vintces/hwproject9</w:t>
        <w:br/>
        <w:t xml:space="preserve">38:https://gitee.com/vintces/hwproject10</w:t>
      </w:r>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attachedTemplate r:id="rId1"/>
  <w:documentProtection w:edit="readOnly" w:enforcement="0"/>
  <w:defaultTabStop w:val="420"/>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0940031D"/>
    <w:rsid w:val="0EAF7AB2"/>
    <w:rsid w:val="0FBC7ECB"/>
    <w:rsid w:val="18B60E17"/>
    <w:rsid w:val="1BC931D8"/>
    <w:rsid w:val="27F23AB1"/>
    <w:rsid w:val="2D153C85"/>
    <w:rsid w:val="37BA1AB4"/>
    <w:rsid w:val="60EB4F64"/>
    <w:rsid w:val="7A287175"/>
    <w:rsid w:val="7A8458D1"/>
    <w:rsid w:val="7D686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4"/>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5"/>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1"/>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2"/>
    <w:qFormat/>
    <w:uiPriority w:val="9"/>
    <w:pPr>
      <w:ind w:left="1984" w:hanging="400" w:hangingChars="400"/>
      <w:outlineLvl w:val="3"/>
    </w:pPr>
    <w:rPr>
      <w:rFonts w:eastAsiaTheme="minorEastAsia"/>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2"/>
    <w:qFormat/>
    <w:uiPriority w:val="34"/>
    <w:pPr>
      <w:spacing w:before="180" w:beforeLines="50" w:after="180" w:afterLines="50" w:line="360" w:lineRule="auto"/>
      <w:ind w:firstLine="480" w:firstLineChars="200"/>
    </w:pPr>
    <w:rPr>
      <w:szCs w:val="28"/>
    </w:rPr>
  </w:style>
  <w:style w:type="paragraph" w:styleId="7">
    <w:name w:val="footer"/>
    <w:basedOn w:val="1"/>
    <w:link w:val="18"/>
    <w:unhideWhenUsed/>
    <w:qFormat/>
    <w:uiPriority w:val="99"/>
    <w:pPr>
      <w:tabs>
        <w:tab w:val="center" w:pos="4153"/>
        <w:tab w:val="right" w:pos="8306"/>
      </w:tabs>
      <w:snapToGrid w:val="0"/>
      <w:jc w:val="center"/>
    </w:pPr>
    <w:rPr>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20"/>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qFormat/>
    <w:uiPriority w:val="99"/>
    <w:rPr>
      <w:rFonts w:ascii="Courier New" w:hAnsi="Courier New"/>
      <w:sz w:val="20"/>
    </w:rPr>
  </w:style>
  <w:style w:type="character" w:customStyle="1" w:styleId="17">
    <w:name w:val="页眉 字符"/>
    <w:basedOn w:val="13"/>
    <w:link w:val="8"/>
    <w:qFormat/>
    <w:uiPriority w:val="99"/>
    <w:rPr>
      <w:sz w:val="18"/>
      <w:szCs w:val="18"/>
    </w:rPr>
  </w:style>
  <w:style w:type="character" w:customStyle="1" w:styleId="18">
    <w:name w:val="页脚 字符"/>
    <w:basedOn w:val="13"/>
    <w:link w:val="7"/>
    <w:qFormat/>
    <w:uiPriority w:val="99"/>
    <w:rPr>
      <w:szCs w:val="18"/>
    </w:rPr>
  </w:style>
  <w:style w:type="character" w:customStyle="1" w:styleId="19">
    <w:name w:val="Unresolved Mention"/>
    <w:basedOn w:val="13"/>
    <w:semiHidden/>
    <w:unhideWhenUsed/>
    <w:qFormat/>
    <w:uiPriority w:val="99"/>
    <w:rPr>
      <w:color w:val="605E5C"/>
      <w:shd w:val="clear" w:color="auto" w:fill="E1DFDD"/>
    </w:rPr>
  </w:style>
  <w:style w:type="character" w:customStyle="1" w:styleId="20">
    <w:name w:val="标题 字符"/>
    <w:basedOn w:val="13"/>
    <w:link w:val="10"/>
    <w:qFormat/>
    <w:uiPriority w:val="10"/>
    <w:rPr>
      <w:rFonts w:asciiTheme="majorHAnsi" w:hAnsiTheme="majorHAnsi" w:eastAsiaTheme="majorEastAsia"/>
      <w:spacing w:val="10"/>
      <w:sz w:val="36"/>
      <w:szCs w:val="36"/>
    </w:rPr>
  </w:style>
  <w:style w:type="paragraph" w:styleId="21">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2">
    <w:name w:val="列表段落 字符"/>
    <w:basedOn w:val="13"/>
    <w:link w:val="5"/>
    <w:qFormat/>
    <w:uiPriority w:val="34"/>
    <w:rPr>
      <w:sz w:val="24"/>
      <w:szCs w:val="28"/>
    </w:rPr>
  </w:style>
  <w:style w:type="character" w:customStyle="1" w:styleId="23">
    <w:name w:val="副标题 字符"/>
    <w:basedOn w:val="13"/>
    <w:link w:val="9"/>
    <w:qFormat/>
    <w:uiPriority w:val="11"/>
    <w:rPr>
      <w:rFonts w:eastAsia="方正公文黑体" w:asciiTheme="majorHAnsi" w:hAnsiTheme="majorHAnsi"/>
      <w:bCs/>
      <w:kern w:val="28"/>
      <w:sz w:val="32"/>
      <w:szCs w:val="32"/>
    </w:rPr>
  </w:style>
  <w:style w:type="character" w:customStyle="1" w:styleId="24">
    <w:name w:val="标题 1 字符"/>
    <w:basedOn w:val="13"/>
    <w:link w:val="2"/>
    <w:qFormat/>
    <w:uiPriority w:val="9"/>
    <w:rPr>
      <w:rFonts w:asciiTheme="majorHAnsi" w:hAnsiTheme="majorHAnsi" w:eastAsiaTheme="majorEastAsia"/>
      <w:bCs/>
      <w:sz w:val="32"/>
      <w:szCs w:val="32"/>
    </w:rPr>
  </w:style>
  <w:style w:type="character" w:customStyle="1" w:styleId="25">
    <w:name w:val="标题 2 字符"/>
    <w:basedOn w:val="13"/>
    <w:link w:val="3"/>
    <w:qFormat/>
    <w:uiPriority w:val="9"/>
    <w:rPr>
      <w:rFonts w:cstheme="majorBidi"/>
      <w:b/>
      <w:sz w:val="28"/>
      <w:szCs w:val="32"/>
    </w:rPr>
  </w:style>
  <w:style w:type="character" w:customStyle="1" w:styleId="26">
    <w:name w:val="Intense Emphasis"/>
    <w:basedOn w:val="14"/>
    <w:qFormat/>
    <w:uiPriority w:val="21"/>
    <w:rPr>
      <w:rFonts w:eastAsia="方正公文黑体" w:asciiTheme="majorHAnsi" w:hAnsiTheme="majorHAnsi"/>
      <w:iCs w:val="0"/>
      <w:color w:val="auto"/>
    </w:rPr>
  </w:style>
  <w:style w:type="paragraph" w:styleId="27">
    <w:name w:val="Quote"/>
    <w:basedOn w:val="1"/>
    <w:next w:val="1"/>
    <w:link w:val="28"/>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8">
    <w:name w:val="引用 字符"/>
    <w:basedOn w:val="13"/>
    <w:link w:val="27"/>
    <w:qFormat/>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9">
    <w:name w:val="Intense Quote"/>
    <w:basedOn w:val="1"/>
    <w:next w:val="1"/>
    <w:link w:val="30"/>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30">
    <w:name w:val="明显引用 字符"/>
    <w:basedOn w:val="13"/>
    <w:link w:val="29"/>
    <w:qFormat/>
    <w:uiPriority w:val="30"/>
    <w:rPr>
      <w:rFonts w:eastAsia="方正公文楷体"/>
      <w:iCs/>
      <w:color w:val="4472C4" w:themeColor="accent1"/>
      <w:sz w:val="28"/>
      <w14:textFill>
        <w14:solidFill>
          <w14:schemeClr w14:val="accent1"/>
        </w14:solidFill>
      </w14:textFill>
    </w:rPr>
  </w:style>
  <w:style w:type="character" w:customStyle="1" w:styleId="31">
    <w:name w:val="标题 3 字符"/>
    <w:basedOn w:val="13"/>
    <w:link w:val="4"/>
    <w:qFormat/>
    <w:uiPriority w:val="9"/>
    <w:rPr>
      <w:rFonts w:asciiTheme="majorHAnsi" w:hAnsiTheme="majorHAnsi" w:eastAsiaTheme="majorEastAsia" w:cstheme="majorBidi"/>
      <w:b/>
      <w:bCs/>
      <w:kern w:val="32"/>
      <w:sz w:val="28"/>
      <w:szCs w:val="32"/>
    </w:rPr>
  </w:style>
  <w:style w:type="character" w:customStyle="1" w:styleId="32">
    <w:name w:val="标题 4 字符"/>
    <w:basedOn w:val="13"/>
    <w:link w:val="6"/>
    <w:qFormat/>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2</Pages>
  <Words>199</Words>
  <Characters>547</Characters>
  <Lines>89</Lines>
  <Paragraphs>97</Paragraphs>
  <TotalTime>1</TotalTime>
  <ScaleCrop>false</ScaleCrop>
  <LinksUpToDate>false</LinksUpToDate>
  <CharactersWithSpaces>641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2026-04-01T13:57:34Z</dcterms:modified>
  <dc:title>厦门大学作业纸</dc:title>
  <cp:revision>1</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2052-12.1.0.25225</vt:lpwstr>
  </property>
  <property fmtid="{D5CDD505-2E9C-101B-9397-08002B2CF9AE}" pid="4" name="ICV">
    <vt:lpwstr>0464031236714EBEB5B5B644F4293295_12</vt:lpwstr>
  </property>
</Properties>
</file>