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 9 课 IP 支撑协议和 IPv6</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r>
      <w:tr w14:paraId="764E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4C85AAA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shd w:val="clear" w:color="auto" w:fill="auto"/>
            <w:vAlign w:val="center"/>
          </w:tcPr>
          <w:p w14:paraId="29D09485">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31</w:t>
            </w:r>
          </w:p>
        </w:tc>
        <w:tc>
          <w:tcPr>
            <w:tcW w:w="819" w:type="dxa"/>
            <w:shd w:val="clear" w:color="auto" w:fill="auto"/>
            <w:vAlign w:val="center"/>
          </w:tcPr>
          <w:p w14:paraId="14B2351E">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32</w:t>
            </w:r>
          </w:p>
        </w:tc>
        <w:tc>
          <w:tcPr>
            <w:tcW w:w="819" w:type="dxa"/>
            <w:shd w:val="clear" w:color="auto" w:fill="auto"/>
            <w:vAlign w:val="center"/>
          </w:tcPr>
          <w:p w14:paraId="21177F5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33</w:t>
            </w:r>
          </w:p>
        </w:tc>
        <w:tc>
          <w:tcPr>
            <w:tcW w:w="819" w:type="dxa"/>
            <w:shd w:val="clear" w:color="auto" w:fill="auto"/>
            <w:vAlign w:val="center"/>
          </w:tcPr>
          <w:p w14:paraId="3D0F0D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34</w:t>
            </w:r>
          </w:p>
        </w:tc>
        <w:tc>
          <w:tcPr>
            <w:tcW w:w="819" w:type="dxa"/>
            <w:shd w:val="clear" w:color="auto" w:fill="auto"/>
            <w:vAlign w:val="center"/>
          </w:tcPr>
          <w:p w14:paraId="58C6944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35</w:t>
            </w:r>
          </w:p>
        </w:tc>
        <w:tc>
          <w:tcPr>
            <w:tcW w:w="819" w:type="dxa"/>
            <w:shd w:val="clear" w:color="auto" w:fill="auto"/>
            <w:vAlign w:val="center"/>
          </w:tcPr>
          <w:p w14:paraId="7605BA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36</w:t>
            </w:r>
          </w:p>
        </w:tc>
        <w:tc>
          <w:tcPr>
            <w:tcW w:w="819" w:type="dxa"/>
            <w:shd w:val="clear" w:color="auto" w:fill="auto"/>
            <w:vAlign w:val="center"/>
          </w:tcPr>
          <w:p w14:paraId="2FCC6DF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37</w:t>
            </w:r>
          </w:p>
        </w:tc>
        <w:tc>
          <w:tcPr>
            <w:tcW w:w="819" w:type="dxa"/>
            <w:shd w:val="clear" w:color="auto" w:fill="auto"/>
            <w:vAlign w:val="center"/>
          </w:tcPr>
          <w:p w14:paraId="7856C6C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38</w:t>
            </w:r>
          </w:p>
        </w:tc>
        <w:tc>
          <w:tcPr>
            <w:tcW w:w="819" w:type="dxa"/>
            <w:shd w:val="clear" w:color="auto" w:fill="auto"/>
            <w:vAlign w:val="center"/>
          </w:tcPr>
          <w:p w14:paraId="316214B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39</w:t>
            </w:r>
          </w:p>
        </w:tc>
        <w:tc>
          <w:tcPr>
            <w:tcW w:w="819" w:type="dxa"/>
            <w:shd w:val="clear" w:color="auto" w:fill="auto"/>
            <w:vAlign w:val="center"/>
          </w:tcPr>
          <w:p w14:paraId="75D817B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40</w:t>
            </w:r>
          </w:p>
        </w:tc>
      </w:tr>
      <w:tr w14:paraId="32E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1A393CF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09A6430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w:t>
            </w:r>
          </w:p>
        </w:tc>
        <w:tc>
          <w:tcPr>
            <w:tcW w:w="0" w:type="auto"/>
            <w:shd w:val="clear" w:color="auto" w:fill="auto"/>
            <w:vAlign w:val="center"/>
          </w:tcPr>
          <w:p w14:paraId="79FC3A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DC</w:t>
            </w:r>
          </w:p>
        </w:tc>
        <w:tc>
          <w:tcPr>
            <w:tcW w:w="0" w:type="auto"/>
            <w:shd w:val="clear" w:color="auto" w:fill="auto"/>
            <w:vAlign w:val="center"/>
          </w:tcPr>
          <w:p w14:paraId="5D41530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5DD05C4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B</w:t>
            </w:r>
          </w:p>
        </w:tc>
        <w:tc>
          <w:tcPr>
            <w:tcW w:w="0" w:type="auto"/>
            <w:shd w:val="clear" w:color="auto" w:fill="auto"/>
            <w:vAlign w:val="center"/>
          </w:tcPr>
          <w:p w14:paraId="2CB4FE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A</w:t>
            </w:r>
          </w:p>
        </w:tc>
        <w:tc>
          <w:tcPr>
            <w:tcW w:w="0" w:type="auto"/>
            <w:shd w:val="clear" w:color="auto" w:fill="auto"/>
            <w:vAlign w:val="center"/>
          </w:tcPr>
          <w:p w14:paraId="585D348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A</w:t>
            </w:r>
          </w:p>
        </w:tc>
        <w:tc>
          <w:tcPr>
            <w:tcW w:w="0" w:type="auto"/>
            <w:shd w:val="clear" w:color="auto" w:fill="auto"/>
            <w:vAlign w:val="center"/>
          </w:tcPr>
          <w:p w14:paraId="59DAD80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684719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AF2D00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7DE5934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r w14:paraId="71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06A100D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0" w:type="auto"/>
            <w:shd w:val="clear" w:color="auto" w:fill="auto"/>
            <w:vAlign w:val="center"/>
          </w:tcPr>
          <w:p w14:paraId="27EEE18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41</w:t>
            </w:r>
          </w:p>
        </w:tc>
        <w:tc>
          <w:tcPr>
            <w:tcW w:w="0" w:type="auto"/>
            <w:shd w:val="clear" w:color="auto" w:fill="auto"/>
            <w:vAlign w:val="center"/>
          </w:tcPr>
          <w:p w14:paraId="0886F86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42</w:t>
            </w:r>
          </w:p>
        </w:tc>
        <w:tc>
          <w:tcPr>
            <w:tcW w:w="0" w:type="auto"/>
            <w:shd w:val="clear" w:color="auto" w:fill="auto"/>
            <w:vAlign w:val="center"/>
          </w:tcPr>
          <w:p w14:paraId="5230748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43</w:t>
            </w:r>
          </w:p>
        </w:tc>
        <w:tc>
          <w:tcPr>
            <w:tcW w:w="0" w:type="auto"/>
            <w:shd w:val="clear" w:color="auto" w:fill="auto"/>
            <w:vAlign w:val="center"/>
          </w:tcPr>
          <w:p w14:paraId="6D1AB35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44</w:t>
            </w:r>
          </w:p>
        </w:tc>
        <w:tc>
          <w:tcPr>
            <w:tcW w:w="0" w:type="auto"/>
            <w:shd w:val="clear" w:color="auto" w:fill="auto"/>
            <w:vAlign w:val="center"/>
          </w:tcPr>
          <w:p w14:paraId="015DFDA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45</w:t>
            </w:r>
          </w:p>
        </w:tc>
        <w:tc>
          <w:tcPr>
            <w:tcW w:w="0" w:type="auto"/>
            <w:shd w:val="clear" w:color="auto" w:fill="auto"/>
            <w:vAlign w:val="center"/>
          </w:tcPr>
          <w:p w14:paraId="5487831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46</w:t>
            </w:r>
          </w:p>
        </w:tc>
        <w:tc>
          <w:tcPr>
            <w:tcW w:w="0" w:type="auto"/>
            <w:shd w:val="clear" w:color="auto" w:fill="auto"/>
            <w:vAlign w:val="center"/>
          </w:tcPr>
          <w:p w14:paraId="062457C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47</w:t>
            </w:r>
          </w:p>
        </w:tc>
        <w:tc>
          <w:tcPr>
            <w:tcW w:w="0" w:type="auto"/>
            <w:shd w:val="clear" w:color="auto" w:fill="auto"/>
            <w:vAlign w:val="center"/>
          </w:tcPr>
          <w:p w14:paraId="67A17CA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48</w:t>
            </w:r>
          </w:p>
        </w:tc>
        <w:tc>
          <w:tcPr>
            <w:tcW w:w="0" w:type="auto"/>
            <w:shd w:val="clear" w:color="auto" w:fill="auto"/>
            <w:vAlign w:val="center"/>
          </w:tcPr>
          <w:p w14:paraId="487E2E46">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49</w:t>
            </w:r>
          </w:p>
        </w:tc>
        <w:tc>
          <w:tcPr>
            <w:tcW w:w="0" w:type="auto"/>
            <w:shd w:val="clear" w:color="auto" w:fill="auto"/>
            <w:vAlign w:val="center"/>
          </w:tcPr>
          <w:p w14:paraId="5C72F2D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50</w:t>
            </w:r>
          </w:p>
        </w:tc>
      </w:tr>
      <w:tr w14:paraId="424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3E67908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4810EA3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44254CE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3A275F3">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37946A0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EE31C9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86FA76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9AE19B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1EAC2C4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26F881D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A6C8C0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37</w:t>
      </w:r>
      <w:r>
        <w:rPr>
          <w:rFonts w:hint="eastAsia"/>
        </w:rPr>
        <w:t>题</w:t>
      </w:r>
      <w:r>
        <w:rPr>
          <w:rFonts w:hint="eastAsia"/>
          <w:lang w:val="en-US" w:eastAsia="zh-CN"/>
        </w:rPr>
        <w:t xml:space="preserve">: 请简要说明 TraceRoute 和 PING 的原理。</w:t>
      </w:r>
    </w:p>
    <w:p>
      <w:r>
        <w:t>结论先说：PING 主要用于测试网络可达性与测量往返时延。TraceRoute 主要用于探测数据包到达目标主机所经过的全部路由节点。</w:t>
      </w:r>
    </w:p>
    <w:p>
      <w:r>
        <w:t>执行 PING 命令时，源主机会向目标主机发送 ICMP 回声请求报文。目标主机收到该报文后会立刻返回一个回声应答报文。我们通过这一简单的交互过程就可以判断目标设备是否在线，并根据报文收发的时间差计算出网络延迟。执行 TraceRoute 命令时，源主机会向目标连续发送探测报文。它会将报文的生存时间字段初始值设置为一。当报文到达路径上的第一台路由器时，生存时间减为零。此时该路由器会丢弃报文，并向源主机发送 ICMP 超时差错报文。随后源主机会逐次递增生存时间字段并发送新的探测报文。通过收集沿途各个路由器返回的差错报文，我们就能完整记录下数据包经过的每一跳设备地址。</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工具名称</w:t>
            </w:r>
          </w:p>
        </w:tc>
        <w:tc>
          <w:tcPr>
            <w:tcW w:type="dxa" w:w="2160"/>
          </w:tcPr>
          <w:p>
            <w:r>
              <w:t>核心网络功能</w:t>
            </w:r>
          </w:p>
        </w:tc>
        <w:tc>
          <w:tcPr>
            <w:tcW w:type="dxa" w:w="2160"/>
          </w:tcPr>
          <w:p>
            <w:r>
              <w:t>使用的协议与报文类型</w:t>
            </w:r>
          </w:p>
        </w:tc>
        <w:tc>
          <w:tcPr>
            <w:tcW w:type="dxa" w:w="2160"/>
          </w:tcPr>
          <w:p>
            <w:r>
              <w:t>关键探测机制</w:t>
            </w:r>
          </w:p>
        </w:tc>
      </w:tr>
      <w:tr>
        <w:tc>
          <w:tcPr>
            <w:tcW w:type="dxa" w:w="2160"/>
          </w:tcPr>
          <w:p>
            <w:r>
              <w:t>PING</w:t>
            </w:r>
          </w:p>
        </w:tc>
        <w:tc>
          <w:tcPr>
            <w:tcW w:type="dxa" w:w="2160"/>
          </w:tcPr>
          <w:p>
            <w:r>
              <w:t>测试目标设备连通性与端到端延迟</w:t>
            </w:r>
          </w:p>
        </w:tc>
        <w:tc>
          <w:tcPr>
            <w:tcW w:type="dxa" w:w="2160"/>
          </w:tcPr>
          <w:p>
            <w:r>
              <w:t>ICMP 的回声请求与回声应答</w:t>
            </w:r>
          </w:p>
        </w:tc>
        <w:tc>
          <w:tcPr>
            <w:tcW w:type="dxa" w:w="2160"/>
          </w:tcPr>
          <w:p>
            <w:r>
              <w:t>直接向目标发送探测报文并被动等待目标主机的应答</w:t>
            </w:r>
          </w:p>
        </w:tc>
      </w:tr>
      <w:tr>
        <w:tc>
          <w:tcPr>
            <w:tcW w:type="dxa" w:w="2160"/>
          </w:tcPr>
          <w:p>
            <w:r>
              <w:t>TraceRoute</w:t>
            </w:r>
          </w:p>
        </w:tc>
        <w:tc>
          <w:tcPr>
            <w:tcW w:type="dxa" w:w="2160"/>
          </w:tcPr>
          <w:p>
            <w:r>
              <w:t>发现到达目标途中经过的所有路由器</w:t>
            </w:r>
          </w:p>
        </w:tc>
        <w:tc>
          <w:tcPr>
            <w:tcW w:type="dxa" w:w="2160"/>
          </w:tcPr>
          <w:p>
            <w:r>
              <w:t>ICMP 超时差错报文与请求报文</w:t>
            </w:r>
          </w:p>
        </w:tc>
        <w:tc>
          <w:tcPr>
            <w:tcW w:type="dxa" w:w="2160"/>
          </w:tcPr>
          <w:p>
            <w:r>
              <w:t>逐次递增发送报文的生存时间字段并收集沿途设备抛出的报错</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38</w:t>
      </w:r>
      <w:r>
        <w:rPr>
          <w:rFonts w:hint="eastAsia"/>
        </w:rPr>
        <w:t>题</w:t>
      </w:r>
      <w:r>
        <w:rPr>
          <w:rFonts w:hint="eastAsia"/>
          <w:lang w:val="en-US" w:eastAsia="zh-CN"/>
        </w:rPr>
        <w:t xml:space="preserve">: 考虑如何利用 ICMP 协议对一个网络上的时延性能进行监控？</w:t>
      </w:r>
    </w:p>
    <w:p>
      <w:r>
        <w:t>可以通过周期性发送网际控制报文协议的回送请求或时间戳请求报文，来实现对网络时延性能的实时监控。</w:t>
      </w:r>
    </w:p>
    <w:p>
      <w:r>
        <w:t>监控端可以设定固定的时间间隔，向被监控目标设备发送测试报文。系统需要记录每个报文发出的具体时间戳，并在收到对应的回送应答时记录接收时间。这两个时间点的差值，就是当前网络路径的往返时延。通过在后台持续收集这些时延数据，监控系统可以精确计算出特定时间段内时延的最大值、最小值和平均值。此外，观察这些时延数据的波动情况，还能直观反映出网络的抖动状态。如果监控过程中出现多次连续的请求超时未响应，就可以直接判断该网络链路可能存在严重拥塞，或者发生了物理层面的中断故障。</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39</w:t>
      </w:r>
      <w:r>
        <w:rPr>
          <w:rFonts w:hint="eastAsia"/>
        </w:rPr>
        <w:t>题</w:t>
      </w:r>
      <w:r>
        <w:rPr>
          <w:rFonts w:hint="eastAsia"/>
          <w:lang w:val="en-US" w:eastAsia="zh-CN"/>
        </w:rPr>
        <w:t xml:space="preserve">: 学院的实验楼有上百台主机，而可分配的外网 IP 地址数量远远不足。请回答后续相关连带问题。</w:t>
      </w:r>
    </w:p>
    <w:p>
      <w:r>
        <w:t>为了解决机房上百台主机共用极少量外网地址的问题，我们可以在局域网出口处部署网络地址转换技术来实现互联网接入。</w:t>
      </w:r>
    </w:p>
    <w:p>
      <w:r>
        <w:t>由于全球公网地址资源非常有限，不可能为学院机房的每一台终端都分配一个独立的公网地址。网络地址转换技术允许整个局域网内部使用私有地址空间进行部署。当内部主机需要访问外部网络时，出口路由器或防火墙会将数据包源位置的私有地址，临时替换为合法可用的公网地址。当有多台内部主机同时上网时，出口设备还会结合端口多路复用技术，利用不同的外部端口号来区分不同主机的网络会话。通过这种方式，就能完美实现上百台内网主机共享少数几个外网地址正常通信。</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40</w:t>
      </w:r>
      <w:r>
        <w:rPr>
          <w:rFonts w:hint="eastAsia"/>
        </w:rPr>
        <w:t>题</w:t>
      </w:r>
      <w:r>
        <w:rPr>
          <w:rFonts w:hint="eastAsia"/>
          <w:lang w:val="en-US" w:eastAsia="zh-CN"/>
        </w:rPr>
        <w:t xml:space="preserve">: （1） 如何使这些主机连接到 Internet？并通过图示说明机房某台主机（IP 地址为 172.10.5.192，子网掩码为 255.255.255.0，在搜索引擎查询“ip ”得到 59.77.7.12）访问厦大网站（210.34.0.12）时的 MAC 地址、IP 地址和端口号转换过程。</w:t>
      </w:r>
    </w:p>
    <w:p>
      <w:r>
        <w:t>实验楼主机需要通过网络地址与端口转换技术（NAPT）来实现互联网连接。这个过程涉及到数据包在局域网内部传输和经过出口路由器转换两个不同阶段。</w:t>
      </w:r>
    </w:p>
    <w:p>
      <w:r>
        <w:t>当内网主机主动访问外部网站时，在局域网内部发出的以太网帧，其源物理地址是主机自身的网卡地址，目的物理地址是默认网关的地址。此时数据包内的源网络层地址为主机的私有地址，目的地址为外部网站地址。当该数据包到达机房的出口路由器后，路由器会对其网络层和传输层首部进行改写。源网络层地址会被替换为公网地址，源端口号也会被替换为路由器新分配的端口号。当外部网站返回响应数据包到达路由器时，路由器会查询内部的映射转换表，将目的地址和目的端口重新改回主机的私有地址和原始端口，进而转发给内网主机。为了清晰展示这一转换细节，下面列出数据包在发出时和被路由器转换后的关键参数对照。</w:t>
      </w:r>
    </w:p>
    <w:tbl>
      <w:tblPr>
        <w:tblStyle w:val="12"/>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传输阶段</w:t>
            </w:r>
          </w:p>
        </w:tc>
        <w:tc>
          <w:tcPr>
            <w:tcW w:type="dxa" w:w="1234"/>
          </w:tcPr>
          <w:p>
            <w:r>
              <w:t>源 IP 地址</w:t>
            </w:r>
          </w:p>
        </w:tc>
        <w:tc>
          <w:tcPr>
            <w:tcW w:type="dxa" w:w="1234"/>
          </w:tcPr>
          <w:p>
            <w:r>
              <w:t>目的 IP 地址</w:t>
            </w:r>
          </w:p>
        </w:tc>
        <w:tc>
          <w:tcPr>
            <w:tcW w:type="dxa" w:w="1234"/>
          </w:tcPr>
          <w:p>
            <w:r>
              <w:t>源端口号</w:t>
            </w:r>
          </w:p>
        </w:tc>
        <w:tc>
          <w:tcPr>
            <w:tcW w:type="dxa" w:w="1234"/>
          </w:tcPr>
          <w:p>
            <w:r>
              <w:t>目的端口号</w:t>
            </w:r>
          </w:p>
        </w:tc>
        <w:tc>
          <w:tcPr>
            <w:tcW w:type="dxa" w:w="1234"/>
          </w:tcPr>
          <w:p>
            <w:r>
              <w:t>源 MAC 地址</w:t>
            </w:r>
          </w:p>
        </w:tc>
        <w:tc>
          <w:tcPr>
            <w:tcW w:type="dxa" w:w="1234"/>
          </w:tcPr>
          <w:p>
            <w:r>
              <w:t>目的 MAC 地址</w:t>
            </w:r>
          </w:p>
        </w:tc>
      </w:tr>
      <w:tr>
        <w:tc>
          <w:tcPr>
            <w:tcW w:type="dxa" w:w="1234"/>
          </w:tcPr>
          <w:p>
            <w:r>
              <w:t>发送前（内网）</w:t>
            </w:r>
          </w:p>
        </w:tc>
        <w:tc>
          <w:tcPr>
            <w:tcW w:type="dxa" w:w="1234"/>
          </w:tcPr>
          <w:p>
            <w:r>
              <w:t>172.10.5.192</w:t>
            </w:r>
          </w:p>
        </w:tc>
        <w:tc>
          <w:tcPr>
            <w:tcW w:type="dxa" w:w="1234"/>
          </w:tcPr>
          <w:p>
            <w:r>
              <w:t>210.34.0.12</w:t>
            </w:r>
          </w:p>
        </w:tc>
        <w:tc>
          <w:tcPr>
            <w:tcW w:type="dxa" w:w="1234"/>
          </w:tcPr>
          <w:p>
            <w:r>
              <w:t>主机随机生成的内网端口</w:t>
            </w:r>
          </w:p>
        </w:tc>
        <w:tc>
          <w:tcPr>
            <w:tcW w:type="dxa" w:w="1234"/>
          </w:tcPr>
          <w:p>
            <w:r>
              <w:t>80</w:t>
            </w:r>
          </w:p>
        </w:tc>
        <w:tc>
          <w:tcPr>
            <w:tcW w:type="dxa" w:w="1234"/>
          </w:tcPr>
          <w:p>
            <w:r>
              <w:t>主机自身的物理地址</w:t>
            </w:r>
          </w:p>
        </w:tc>
        <w:tc>
          <w:tcPr>
            <w:tcW w:type="dxa" w:w="1234"/>
          </w:tcPr>
          <w:p>
            <w:r>
              <w:t>默认网关的物理地址</w:t>
            </w:r>
          </w:p>
        </w:tc>
      </w:tr>
      <w:tr>
        <w:tc>
          <w:tcPr>
            <w:tcW w:type="dxa" w:w="1234"/>
          </w:tcPr>
          <w:p>
            <w:r>
              <w:t>转换后（公网）</w:t>
            </w:r>
          </w:p>
        </w:tc>
        <w:tc>
          <w:tcPr>
            <w:tcW w:type="dxa" w:w="1234"/>
          </w:tcPr>
          <w:p>
            <w:r>
              <w:t>59.77.7.12</w:t>
            </w:r>
          </w:p>
        </w:tc>
        <w:tc>
          <w:tcPr>
            <w:tcW w:type="dxa" w:w="1234"/>
          </w:tcPr>
          <w:p>
            <w:r>
              <w:t>210.34.0.12</w:t>
            </w:r>
          </w:p>
        </w:tc>
        <w:tc>
          <w:tcPr>
            <w:tcW w:type="dxa" w:w="1234"/>
          </w:tcPr>
          <w:p>
            <w:r>
              <w:t>路由器动态分配的公网端口</w:t>
            </w:r>
          </w:p>
        </w:tc>
        <w:tc>
          <w:tcPr>
            <w:tcW w:type="dxa" w:w="1234"/>
          </w:tcPr>
          <w:p>
            <w:r>
              <w:t>80</w:t>
            </w:r>
          </w:p>
        </w:tc>
        <w:tc>
          <w:tcPr>
            <w:tcW w:type="dxa" w:w="1234"/>
          </w:tcPr>
          <w:p>
            <w:r>
              <w:t>路由器外网接口物理地址</w:t>
            </w:r>
          </w:p>
        </w:tc>
        <w:tc>
          <w:tcPr>
            <w:tcW w:type="dxa" w:w="1234"/>
          </w:tcPr>
          <w:p>
            <w:r>
              <w:t>外网下一跳路由器的物理地址</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41</w:t>
      </w:r>
      <w:r>
        <w:rPr>
          <w:rFonts w:hint="eastAsia"/>
        </w:rPr>
        <w:t>题</w:t>
      </w:r>
      <w:r>
        <w:rPr>
          <w:rFonts w:hint="eastAsia"/>
          <w:lang w:val="en-US" w:eastAsia="zh-CN"/>
        </w:rPr>
        <w:t xml:space="preserve">: （2） 实验楼主机是否能通过 ARP 询问厦大网站的 MAC 地址？并说明原因。</w:t>
      </w:r>
    </w:p>
    <w:p>
      <w:r>
        <w:t>实验楼主机不能通过地址解析协议直接询问厦大网站真实的物理地址。</w:t>
      </w:r>
    </w:p>
    <w:p>
      <w:r>
        <w:t>地址解析协议的通信范围被严格限制在本地局域网的广播域之内。由于该协议使用链路层广播帧进行发送，而路由器在默认情况下会直接丢弃广播包，因此这种解析请求无法穿透网关被转发到其他网络。当主机判断出需要访问的外部服务器与自己不在同一个子网时，它就明白不需要直接获取目标主机的物理地址。此时，主机只需通过地址解析协议查询到本机默认网关的物理地址，并将数据包封装后发送给网关。后续所有跨越复杂网段的路由选择和数据转发工作，都将由各级路由器接力完成，主机无需干预远端链路的二层封装机制。</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42</w:t>
      </w:r>
      <w:r>
        <w:rPr>
          <w:rFonts w:hint="eastAsia"/>
        </w:rPr>
        <w:t>题</w:t>
      </w:r>
      <w:r>
        <w:rPr>
          <w:rFonts w:hint="eastAsia"/>
          <w:lang w:val="en-US" w:eastAsia="zh-CN"/>
        </w:rPr>
        <w:t xml:space="preserve">: （3） 当主机 172.10.5.192 （ MAC 地址：d0:76:e7:10:2f:1d ）询问 172.10.5.129（MAC 地址：d0:76:e7:93:6a:52）对应的 MAC 地址时，应如何填写其以太网帧的源地址与目的地址？主机 172.10.5.129 应答时，如何应填写以太网帧的源地址与目的地址？</w:t>
      </w:r>
    </w:p>
    <w:p>
      <w:r>
        <w:t>在同网段内部进行物理地址解析时，请求方需要发送链路层广播帧以确保全网接收，而应答方则利用已知的源地址发送精确的单播应答帧。</w:t>
      </w:r>
    </w:p>
    <w:p>
      <w:r>
        <w:t>当发起询问的主机准备发送解析请求时，它只知道目标的网络层地址，尚不清楚对应的物理地址。因此，该主机发出的以太网请求帧中，源地址必须填写自身的物理地址。为了让局域网内所有网卡都能接收并向上层协议栈递交该请求，以太网目的地址需要填写为六个字节全为十六进制埃夫的广播地址。当目标主机接收到广播请求并准备予以回复时，它已经从收到的请求报文中提取并记录了询问方的真实物理地址。所以，目标主机发出的以太网应答帧属于单播报文，其源地址应填写自身的物理地址，目的地址则直接填写刚刚记录的询问方物理地址。</w:t>
      </w:r>
    </w:p>
    <w:tbl>
      <w:tblPr>
        <w:tblStyle w:val="12"/>
        <w:tblW w:type="auto" w:w="0"/>
        <w:tblLook w:firstColumn="1" w:firstRow="1" w:lastColumn="0" w:lastRow="0" w:noHBand="0" w:noVBand="1" w:val="04A0"/>
      </w:tblPr>
      <w:tblGrid>
        <w:gridCol w:w="2880"/>
        <w:gridCol w:w="2880"/>
        <w:gridCol w:w="2880"/>
      </w:tblGrid>
      <w:tr>
        <w:tc>
          <w:tcPr>
            <w:tcW w:type="dxa" w:w="2880"/>
          </w:tcPr>
          <w:p>
            <w:r>
              <w:t>报文类型</w:t>
            </w:r>
          </w:p>
        </w:tc>
        <w:tc>
          <w:tcPr>
            <w:tcW w:type="dxa" w:w="2880"/>
          </w:tcPr>
          <w:p>
            <w:r>
              <w:t>以太网帧源 MAC 地址</w:t>
            </w:r>
          </w:p>
        </w:tc>
        <w:tc>
          <w:tcPr>
            <w:tcW w:type="dxa" w:w="2880"/>
          </w:tcPr>
          <w:p>
            <w:r>
              <w:t>以太网帧目的 MAC 地址</w:t>
            </w:r>
          </w:p>
        </w:tc>
      </w:tr>
      <w:tr>
        <w:tc>
          <w:tcPr>
            <w:tcW w:type="dxa" w:w="2880"/>
          </w:tcPr>
          <w:p>
            <w:r>
              <w:t>ARP 请求帧</w:t>
            </w:r>
          </w:p>
        </w:tc>
        <w:tc>
          <w:tcPr>
            <w:tcW w:type="dxa" w:w="2880"/>
          </w:tcPr>
          <w:p>
            <w:r>
              <w:t>d0:76:e7:10:2f:1d</w:t>
            </w:r>
          </w:p>
        </w:tc>
        <w:tc>
          <w:tcPr>
            <w:tcW w:type="dxa" w:w="2880"/>
          </w:tcPr>
          <w:p>
            <w:r>
              <w:t>ff:ff:ff:ff:ff:ff</w:t>
            </w:r>
          </w:p>
        </w:tc>
      </w:tr>
      <w:tr>
        <w:tc>
          <w:tcPr>
            <w:tcW w:type="dxa" w:w="2880"/>
          </w:tcPr>
          <w:p>
            <w:r>
              <w:t>ARP 应答帧</w:t>
            </w:r>
          </w:p>
        </w:tc>
        <w:tc>
          <w:tcPr>
            <w:tcW w:type="dxa" w:w="2880"/>
          </w:tcPr>
          <w:p>
            <w:r>
              <w:t>d0:76:e7:93:6a:52</w:t>
            </w:r>
          </w:p>
        </w:tc>
        <w:tc>
          <w:tcPr>
            <w:tcW w:type="dxa" w:w="2880"/>
          </w:tcPr>
          <w:p>
            <w:r>
              <w:t>d0:76:e7:10:2f:1d</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43</w:t>
      </w:r>
      <w:r>
        <w:rPr>
          <w:rFonts w:hint="eastAsia"/>
        </w:rPr>
        <w:t>题</w:t>
      </w:r>
      <w:r>
        <w:rPr>
          <w:rFonts w:hint="eastAsia"/>
          <w:lang w:val="en-US" w:eastAsia="zh-CN"/>
        </w:rPr>
        <w:t xml:space="preserve">: 什么是 ARP 缓存？ARP 如何使用其缓存？</w:t>
      </w:r>
    </w:p>
    <w:p>
      <w:r>
        <w:t>地址解析协议的缓存是主机在本地系统内存中维护的一张映射表，专门用于存储近期通信过的网络层地址与链路层物理地址之间的对应关系。</w:t>
      </w:r>
    </w:p>
    <w:p>
      <w:r>
        <w:t>每次主机准备向下层递交数据包进行封装时，都会优先查询这层缓存。如果缓存表中已经存在目标网络地址对应的物理地址表项，主机就会直接读取该记录，并用于封装成以太网帧。这种直接命中的机制极大地减少了局域网内的广播报文数量，并显著加快了数据包的发送速度。只有当主机在缓存中找不到匹配的记录时，它才会向局域网广播发送地址解析请求。当收到目标设备的明确应答后，主机会立即将新获取到的地址映射关系存入缓存，以备后续连续的数据传输使用。同时，这些缓存表项通常都带有老化时间机制。如果在一段时间内某条记录未被再次使用，系统就会自动将其清除，从而保证本地映射表不会过度膨胀，并能及时反映网络拓扑的动态变化。</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44</w:t>
      </w:r>
      <w:r>
        <w:rPr>
          <w:rFonts w:hint="eastAsia"/>
        </w:rPr>
        <w:t>题</w:t>
      </w:r>
      <w:r>
        <w:rPr>
          <w:rFonts w:hint="eastAsia"/>
          <w:lang w:val="en-US" w:eastAsia="zh-CN"/>
        </w:rPr>
        <w:t xml:space="preserve">: 某网络拓扑中，路由器内网接口（111.123.15.1）、DHCP服务器（111.123.15.2）、WWW服务器（111.123.15.3）与主机1采用静态IP。请回答：（1）DHCP服务器分配IP的最大范围及DHCP Discover报文的源/目的IP；（2）主机2访问Internet时发出的第一个以太网帧目的MAC；（3）若主机1网关配错为111.123.15.2，是否能访问WWW服务器和Internet并说明理由。</w:t>
      </w:r>
    </w:p>
    <w:p>
      <w:r>
        <w:t>动态主机配置协议的地址分配范围受限于网络掩码和已被静态占用的地址。主机首次进行跨网段通信必须利用地址解析协议获取网关的物理地址，一旦默认网关配置错误，主机将彻底失去访问外部互联网的能力。</w:t>
      </w:r>
    </w:p>
    <w:p>
      <w:r>
        <w:t>关于第一个问题，由于该网段的前三个可用地址已经被路由器内网接口、配置服务器和网页服务器静态占用。考虑到主机一也占用了第四个地址，加上广播地址和网络地址不能分配，因此服务器可为主机动态分配的合法范围是从末位数字为五到末位数字为二百五十四的地址。客户端在初始阶段还没有合法地址，因此发送发现报文时，源网络层地址必须全为零，目的网络层地址则是全网受限广播地址。关于第二个问题，主机二访问互联网时，会发现目标地址不在当前子网内。由于此时本机的解析缓存为空，它发出的第一个以太网帧是广播形式的地址解析请求，目的是为了寻找网关的物理地址。当成功获取网关地址后，真正封装发往互联网数据包的以太网帧，其目的物理地址必须填写为路由器内网接口的物理地址。关于第三个问题，主机一可以正常访问网页服务器。因为它们处于完全相同的子网内，数据包通过以太网交换机就可以直接完成二层转发，根本不需要经过默认网关。但是主机一无法访问互联网。因为它把默认网关错误地配置成了配置服务器的地址。当它尝试向外网发送数据包时，本地协议栈会将这些跨网段数据交付给配置服务器，而该服务器不具备路由转发功能，从而导致数据包被丢弃，网络通信失败。</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45</w:t>
      </w:r>
      <w:r>
        <w:rPr>
          <w:rFonts w:hint="eastAsia"/>
        </w:rPr>
        <w:t>题</w:t>
      </w:r>
      <w:r>
        <w:rPr>
          <w:rFonts w:hint="eastAsia"/>
          <w:lang w:val="en-US" w:eastAsia="zh-CN"/>
        </w:rPr>
        <w:t xml:space="preserve">: DHCP 配置综合分析：【问题1】简述 DHCP 工作原理中的四个阶段（A. Dhcpdiscover, B. Dhcpoffer, C. Dhcprequest, D. Dhcpack）；【问题2】说明 DHCP 的三种分配方式（手动、限定租期、无限租期）；【问题3】在 Windows Server 2022 界面中配置排除地址与租约期限；【问题4】使用 ipconfig 命令（/release, /renew, /all）管理地址租约。</w:t>
      </w:r>
    </w:p>
    <w:p>
      <w:r>
        <w:t>结论先说：这道题目中的 DHCP 协议通过四次交互完成 IP 地址的获取，并在服务器端支持自动和动态等分配方式。我们在配置服务器时需要准确划定地址池和排除范围，客户端则利用系统内置命令来管理自身的租约状态。</w:t>
      </w:r>
    </w:p>
    <w:p>
      <w:r>
        <w:t>在工作原理方面，客户端初次接入网络时会发送广播发现报文以寻找可用的 DHCP 服务器。服务器收到后会回复提供报文，并在其中附带一个可用的 IP 地址。客户端随后发出请求报文，明确告知网络它决定使用该地址。最后服务器返回确认报文，此时地址租约正式生效。在地址分配方式上，自动分配是指为客户端分配一个永久无限期的地址。动态分配则是赋予客户端一个带有明确有效期的地址。在配置地址池时，由于可用网段被划分成了前后两段，我们需要将整个网段的首尾边界作为起止地址填入。中间未被列出的连续地址段应当被完整填入排除范围之中。Windows 客户端系统默认的租约时长通常为八天。但是从控制台截图显示的生效和过期时间来看，本次实际获得的租约有效期恰好相差一个小时，也就是三千六百秒。在日常管理中，我们可以使用系统的释放命令主动交还地址。当我们需要延长租期或者获取新地址时，可以使用更新命令重新申请。查看命令则能够向我们展示网卡和租约的所有详细配置信息。</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填空编号</w:t>
            </w:r>
          </w:p>
        </w:tc>
        <w:tc>
          <w:tcPr>
            <w:tcW w:type="dxa" w:w="2160"/>
          </w:tcPr>
          <w:p>
            <w:r>
              <w:t>考察知识模块</w:t>
            </w:r>
          </w:p>
        </w:tc>
        <w:tc>
          <w:tcPr>
            <w:tcW w:type="dxa" w:w="2160"/>
          </w:tcPr>
          <w:p>
            <w:r>
              <w:t>答案选项或填空值</w:t>
            </w:r>
          </w:p>
        </w:tc>
        <w:tc>
          <w:tcPr>
            <w:tcW w:type="dxa" w:w="2160"/>
          </w:tcPr>
          <w:p>
            <w:r>
              <w:t>详细含义解释</w:t>
            </w:r>
          </w:p>
        </w:tc>
      </w:tr>
      <w:tr>
        <w:tc>
          <w:tcPr>
            <w:tcW w:type="dxa" w:w="2160"/>
          </w:tcPr>
          <w:p>
            <w:r>
              <w:t>(1)</w:t>
            </w:r>
          </w:p>
        </w:tc>
        <w:tc>
          <w:tcPr>
            <w:tcW w:type="dxa" w:w="2160"/>
          </w:tcPr>
          <w:p>
            <w:r>
              <w:t>DHCP 交互阶段</w:t>
            </w:r>
          </w:p>
        </w:tc>
        <w:tc>
          <w:tcPr>
            <w:tcW w:type="dxa" w:w="2160"/>
          </w:tcPr>
          <w:p>
            <w:r>
              <w:t>A</w:t>
            </w:r>
          </w:p>
        </w:tc>
        <w:tc>
          <w:tcPr>
            <w:tcW w:type="dxa" w:w="2160"/>
          </w:tcPr>
          <w:p>
            <w:r>
              <w:t>客户端发送广播发现报文寻找可用的服务器</w:t>
            </w:r>
          </w:p>
        </w:tc>
      </w:tr>
      <w:tr>
        <w:tc>
          <w:tcPr>
            <w:tcW w:type="dxa" w:w="2160"/>
          </w:tcPr>
          <w:p>
            <w:r>
              <w:t>(2)</w:t>
            </w:r>
          </w:p>
        </w:tc>
        <w:tc>
          <w:tcPr>
            <w:tcW w:type="dxa" w:w="2160"/>
          </w:tcPr>
          <w:p>
            <w:r>
              <w:t>DHCP 交互阶段</w:t>
            </w:r>
          </w:p>
        </w:tc>
        <w:tc>
          <w:tcPr>
            <w:tcW w:type="dxa" w:w="2160"/>
          </w:tcPr>
          <w:p>
            <w:r>
              <w:t>B</w:t>
            </w:r>
          </w:p>
        </w:tc>
        <w:tc>
          <w:tcPr>
            <w:tcW w:type="dxa" w:w="2160"/>
          </w:tcPr>
          <w:p>
            <w:r>
              <w:t>服务器回复提供报文并附带尝试分配的地址</w:t>
            </w:r>
          </w:p>
        </w:tc>
      </w:tr>
      <w:tr>
        <w:tc>
          <w:tcPr>
            <w:tcW w:type="dxa" w:w="2160"/>
          </w:tcPr>
          <w:p>
            <w:r>
              <w:t>(3)</w:t>
            </w:r>
          </w:p>
        </w:tc>
        <w:tc>
          <w:tcPr>
            <w:tcW w:type="dxa" w:w="2160"/>
          </w:tcPr>
          <w:p>
            <w:r>
              <w:t>DHCP 交互阶段</w:t>
            </w:r>
          </w:p>
        </w:tc>
        <w:tc>
          <w:tcPr>
            <w:tcW w:type="dxa" w:w="2160"/>
          </w:tcPr>
          <w:p>
            <w:r>
              <w:t>C</w:t>
            </w:r>
          </w:p>
        </w:tc>
        <w:tc>
          <w:tcPr>
            <w:tcW w:type="dxa" w:w="2160"/>
          </w:tcPr>
          <w:p>
            <w:r>
              <w:t>客户端广播请求报文以正式确认选用该地址</w:t>
            </w:r>
          </w:p>
        </w:tc>
      </w:tr>
      <w:tr>
        <w:tc>
          <w:tcPr>
            <w:tcW w:type="dxa" w:w="2160"/>
          </w:tcPr>
          <w:p>
            <w:r>
              <w:t>(4)</w:t>
            </w:r>
          </w:p>
        </w:tc>
        <w:tc>
          <w:tcPr>
            <w:tcW w:type="dxa" w:w="2160"/>
          </w:tcPr>
          <w:p>
            <w:r>
              <w:t>DHCP 交互阶段</w:t>
            </w:r>
          </w:p>
        </w:tc>
        <w:tc>
          <w:tcPr>
            <w:tcW w:type="dxa" w:w="2160"/>
          </w:tcPr>
          <w:p>
            <w:r>
              <w:t>D</w:t>
            </w:r>
          </w:p>
        </w:tc>
        <w:tc>
          <w:tcPr>
            <w:tcW w:type="dxa" w:w="2160"/>
          </w:tcPr>
          <w:p>
            <w:r>
              <w:t>服务器回复确认报文使得该次地址租约生效</w:t>
            </w:r>
          </w:p>
        </w:tc>
      </w:tr>
      <w:tr>
        <w:tc>
          <w:tcPr>
            <w:tcW w:type="dxa" w:w="2160"/>
          </w:tcPr>
          <w:p>
            <w:r>
              <w:t>(5)</w:t>
            </w:r>
          </w:p>
        </w:tc>
        <w:tc>
          <w:tcPr>
            <w:tcW w:type="dxa" w:w="2160"/>
          </w:tcPr>
          <w:p>
            <w:r>
              <w:t>地址分配方式</w:t>
            </w:r>
          </w:p>
        </w:tc>
        <w:tc>
          <w:tcPr>
            <w:tcW w:type="dxa" w:w="2160"/>
          </w:tcPr>
          <w:p>
            <w:r>
              <w:t>自动分配</w:t>
            </w:r>
          </w:p>
        </w:tc>
        <w:tc>
          <w:tcPr>
            <w:tcW w:type="dxa" w:w="2160"/>
          </w:tcPr>
          <w:p>
            <w:r>
              <w:t>客户端获得租期无限长的静态绑定网络地址</w:t>
            </w:r>
          </w:p>
        </w:tc>
      </w:tr>
      <w:tr>
        <w:tc>
          <w:tcPr>
            <w:tcW w:type="dxa" w:w="2160"/>
          </w:tcPr>
          <w:p>
            <w:r>
              <w:t>(6)</w:t>
            </w:r>
          </w:p>
        </w:tc>
        <w:tc>
          <w:tcPr>
            <w:tcW w:type="dxa" w:w="2160"/>
          </w:tcPr>
          <w:p>
            <w:r>
              <w:t>地址分配方式</w:t>
            </w:r>
          </w:p>
        </w:tc>
        <w:tc>
          <w:tcPr>
            <w:tcW w:type="dxa" w:w="2160"/>
          </w:tcPr>
          <w:p>
            <w:r>
              <w:t>动态分配</w:t>
            </w:r>
          </w:p>
        </w:tc>
        <w:tc>
          <w:tcPr>
            <w:tcW w:type="dxa" w:w="2160"/>
          </w:tcPr>
          <w:p>
            <w:r>
              <w:t>客户端获得具有固定有效期的动态网络地址</w:t>
            </w:r>
          </w:p>
        </w:tc>
      </w:tr>
      <w:tr>
        <w:tc>
          <w:tcPr>
            <w:tcW w:type="dxa" w:w="2160"/>
          </w:tcPr>
          <w:p>
            <w:r>
              <w:t>(7)</w:t>
            </w:r>
          </w:p>
        </w:tc>
        <w:tc>
          <w:tcPr>
            <w:tcW w:type="dxa" w:w="2160"/>
          </w:tcPr>
          <w:p>
            <w:r>
              <w:t>地址池起始地址</w:t>
            </w:r>
          </w:p>
        </w:tc>
        <w:tc>
          <w:tcPr>
            <w:tcW w:type="dxa" w:w="2160"/>
          </w:tcPr>
          <w:p>
            <w:r>
              <w:t>192.168.81.10</w:t>
            </w:r>
          </w:p>
        </w:tc>
        <w:tc>
          <w:tcPr>
            <w:tcW w:type="dxa" w:w="2160"/>
          </w:tcPr>
          <w:p>
            <w:r>
              <w:t>整个可用子网网段的起始分配边界</w:t>
            </w:r>
          </w:p>
        </w:tc>
      </w:tr>
      <w:tr>
        <w:tc>
          <w:tcPr>
            <w:tcW w:type="dxa" w:w="2160"/>
          </w:tcPr>
          <w:p>
            <w:r>
              <w:t>(8)</w:t>
            </w:r>
          </w:p>
        </w:tc>
        <w:tc>
          <w:tcPr>
            <w:tcW w:type="dxa" w:w="2160"/>
          </w:tcPr>
          <w:p>
            <w:r>
              <w:t>地址池结束地址</w:t>
            </w:r>
          </w:p>
        </w:tc>
        <w:tc>
          <w:tcPr>
            <w:tcW w:type="dxa" w:w="2160"/>
          </w:tcPr>
          <w:p>
            <w:r>
              <w:t>192.168.81.240</w:t>
            </w:r>
          </w:p>
        </w:tc>
        <w:tc>
          <w:tcPr>
            <w:tcW w:type="dxa" w:w="2160"/>
          </w:tcPr>
          <w:p>
            <w:r>
              <w:t>整个可用子网网段的结束分配边界</w:t>
            </w:r>
          </w:p>
        </w:tc>
      </w:tr>
      <w:tr>
        <w:tc>
          <w:tcPr>
            <w:tcW w:type="dxa" w:w="2160"/>
          </w:tcPr>
          <w:p>
            <w:r>
              <w:t>(9)</w:t>
            </w:r>
          </w:p>
        </w:tc>
        <w:tc>
          <w:tcPr>
            <w:tcW w:type="dxa" w:w="2160"/>
          </w:tcPr>
          <w:p>
            <w:r>
              <w:t>排除范围起始地址</w:t>
            </w:r>
          </w:p>
        </w:tc>
        <w:tc>
          <w:tcPr>
            <w:tcW w:type="dxa" w:w="2160"/>
          </w:tcPr>
          <w:p>
            <w:r>
              <w:t>192.168.81.101</w:t>
            </w:r>
          </w:p>
        </w:tc>
        <w:tc>
          <w:tcPr>
            <w:tcW w:type="dxa" w:w="2160"/>
          </w:tcPr>
          <w:p>
            <w:r>
              <w:t>不参与分配且需要被系统保留的地址段起点</w:t>
            </w:r>
          </w:p>
        </w:tc>
      </w:tr>
      <w:tr>
        <w:tc>
          <w:tcPr>
            <w:tcW w:type="dxa" w:w="2160"/>
          </w:tcPr>
          <w:p>
            <w:r>
              <w:t>(10)</w:t>
            </w:r>
          </w:p>
        </w:tc>
        <w:tc>
          <w:tcPr>
            <w:tcW w:type="dxa" w:w="2160"/>
          </w:tcPr>
          <w:p>
            <w:r>
              <w:t>排除范围结束地址</w:t>
            </w:r>
          </w:p>
        </w:tc>
        <w:tc>
          <w:tcPr>
            <w:tcW w:type="dxa" w:w="2160"/>
          </w:tcPr>
          <w:p>
            <w:r>
              <w:t>192.168.81.109</w:t>
            </w:r>
          </w:p>
        </w:tc>
        <w:tc>
          <w:tcPr>
            <w:tcW w:type="dxa" w:w="2160"/>
          </w:tcPr>
          <w:p>
            <w:r>
              <w:t>不参与分配且需要被系统保留的地址段终点</w:t>
            </w:r>
          </w:p>
        </w:tc>
      </w:tr>
      <w:tr>
        <w:tc>
          <w:tcPr>
            <w:tcW w:type="dxa" w:w="2160"/>
          </w:tcPr>
          <w:p>
            <w:r>
              <w:t>(11)</w:t>
            </w:r>
          </w:p>
        </w:tc>
        <w:tc>
          <w:tcPr>
            <w:tcW w:type="dxa" w:w="2160"/>
          </w:tcPr>
          <w:p>
            <w:r>
              <w:t>默认租约期限</w:t>
            </w:r>
          </w:p>
        </w:tc>
        <w:tc>
          <w:tcPr>
            <w:tcW w:type="dxa" w:w="2160"/>
          </w:tcPr>
          <w:p>
            <w:r>
              <w:t>8</w:t>
            </w:r>
          </w:p>
        </w:tc>
        <w:tc>
          <w:tcPr>
            <w:tcW w:type="dxa" w:w="2160"/>
          </w:tcPr>
          <w:p>
            <w:r>
              <w:t>操作系统客户端默认设定的租约有效天数</w:t>
            </w:r>
          </w:p>
        </w:tc>
      </w:tr>
      <w:tr>
        <w:tc>
          <w:tcPr>
            <w:tcW w:type="dxa" w:w="2160"/>
          </w:tcPr>
          <w:p>
            <w:r>
              <w:t>(12)</w:t>
            </w:r>
          </w:p>
        </w:tc>
        <w:tc>
          <w:tcPr>
            <w:tcW w:type="dxa" w:w="2160"/>
          </w:tcPr>
          <w:p>
            <w:r>
              <w:t>实际租约期限</w:t>
            </w:r>
          </w:p>
        </w:tc>
        <w:tc>
          <w:tcPr>
            <w:tcW w:type="dxa" w:w="2160"/>
          </w:tcPr>
          <w:p>
            <w:r>
              <w:t>3600</w:t>
            </w:r>
          </w:p>
        </w:tc>
        <w:tc>
          <w:tcPr>
            <w:tcW w:type="dxa" w:w="2160"/>
          </w:tcPr>
          <w:p>
            <w:r>
              <w:t>截图显示租约起止时间相差一小时即三千六百秒</w:t>
            </w:r>
          </w:p>
        </w:tc>
      </w:tr>
      <w:tr>
        <w:tc>
          <w:tcPr>
            <w:tcW w:type="dxa" w:w="2160"/>
          </w:tcPr>
          <w:p>
            <w:r>
              <w:t>(13)</w:t>
            </w:r>
          </w:p>
        </w:tc>
        <w:tc>
          <w:tcPr>
            <w:tcW w:type="dxa" w:w="2160"/>
          </w:tcPr>
          <w:p>
            <w:r>
              <w:t>客户端管理命令</w:t>
            </w:r>
          </w:p>
        </w:tc>
        <w:tc>
          <w:tcPr>
            <w:tcW w:type="dxa" w:w="2160"/>
          </w:tcPr>
          <w:p>
            <w:r>
              <w:t>C</w:t>
            </w:r>
          </w:p>
        </w:tc>
        <w:tc>
          <w:tcPr>
            <w:tcW w:type="dxa" w:w="2160"/>
          </w:tcPr>
          <w:p>
            <w:r>
              <w:t>使用 release 参数主动释放当前占用的地址</w:t>
            </w:r>
          </w:p>
        </w:tc>
      </w:tr>
      <w:tr>
        <w:tc>
          <w:tcPr>
            <w:tcW w:type="dxa" w:w="2160"/>
          </w:tcPr>
          <w:p>
            <w:r>
              <w:t>(14)</w:t>
            </w:r>
          </w:p>
        </w:tc>
        <w:tc>
          <w:tcPr>
            <w:tcW w:type="dxa" w:w="2160"/>
          </w:tcPr>
          <w:p>
            <w:r>
              <w:t>客户端管理命令</w:t>
            </w:r>
          </w:p>
        </w:tc>
        <w:tc>
          <w:tcPr>
            <w:tcW w:type="dxa" w:w="2160"/>
          </w:tcPr>
          <w:p>
            <w:r>
              <w:t>B</w:t>
            </w:r>
          </w:p>
        </w:tc>
        <w:tc>
          <w:tcPr>
            <w:tcW w:type="dxa" w:w="2160"/>
          </w:tcPr>
          <w:p>
            <w:r>
              <w:t>使用 renew 参数向服务器重新申请或更新租约</w:t>
            </w:r>
          </w:p>
        </w:tc>
      </w:tr>
      <w:tr>
        <w:tc>
          <w:tcPr>
            <w:tcW w:type="dxa" w:w="2160"/>
          </w:tcPr>
          <w:p>
            <w:r>
              <w:t>(15)</w:t>
            </w:r>
          </w:p>
        </w:tc>
        <w:tc>
          <w:tcPr>
            <w:tcW w:type="dxa" w:w="2160"/>
          </w:tcPr>
          <w:p>
            <w:r>
              <w:t>客户端管理命令</w:t>
            </w:r>
          </w:p>
        </w:tc>
        <w:tc>
          <w:tcPr>
            <w:tcW w:type="dxa" w:w="2160"/>
          </w:tcPr>
          <w:p>
            <w:r>
              <w:t>A</w:t>
            </w:r>
          </w:p>
        </w:tc>
        <w:tc>
          <w:tcPr>
            <w:tcW w:type="dxa" w:w="2160"/>
          </w:tcPr>
          <w:p>
            <w:r>
              <w:t>使用 all 参数显示所有网卡的详细网络配置信息</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46</w:t>
      </w:r>
      <w:r>
        <w:rPr>
          <w:rFonts w:hint="eastAsia"/>
        </w:rPr>
        <w:t>题</w:t>
      </w:r>
      <w:r>
        <w:rPr>
          <w:rFonts w:hint="eastAsia"/>
          <w:lang w:val="en-US" w:eastAsia="zh-CN"/>
        </w:rPr>
        <w:t xml:space="preserve">: IPv6 报文头部相比 IPv4 做了哪些简化？取消了哪些字段？</w:t>
      </w:r>
    </w:p>
    <w:p>
      <w:r>
        <w:t>新一代网际协议相比第四版，显著简化了基本报文的头部结构。它将基本首部长度固定为四十个字节，并彻底取消了首部长度、校验和以及分片相关的控制字段。</w:t>
      </w:r>
    </w:p>
    <w:p>
      <w:r>
        <w:t>取消首部长度字段，是因为新版协议的首部结构不再允许直接插入可变长度的选项。所有非核心的可选功能都被移到了专用的扩展首部中处理，因此基本首部不再存在长度变化，无需额外指明。取消首部校验和字段，是为了大幅度提升核心路由器的报文转发效率。由于网络层之下的数据链路层已经具备了循环冗余校验功能，网络层之上的传输层协议也都强制实施了校验机制。去除网络层重复的完整性校验，可以有效减少中间路由器在处理每个数据包时的计算负担。彻底取消标识、标志和片偏移等字段，是因为新标准从根本上改变了数据包的分片规则。新标准严格要求分片操作只能在数据包发出的源主机完成。如果中间路由器在转发时遇到尺寸超过链路最大传输单元的报文，会直接将其丢弃并向源端返回差错消息，不再负责切割工作。因此，这些繁琐的分片控制信息完全没有必要出现在每一个基本首部之中。</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47</w:t>
      </w:r>
      <w:r>
        <w:rPr>
          <w:rFonts w:hint="eastAsia"/>
        </w:rPr>
        <w:t>题</w:t>
      </w:r>
      <w:r>
        <w:rPr>
          <w:rFonts w:hint="eastAsia"/>
          <w:lang w:val="en-US" w:eastAsia="zh-CN"/>
        </w:rPr>
        <w:t xml:space="preserve">: IPv6 地址空间够大了，是否可以为一个接口配置一个终身有效的固定 IPv6 地址呢？给出你的理由。</w:t>
      </w:r>
    </w:p>
    <w:p>
      <w:r>
        <w:t>尽管新一代网际协议的地址空间极其庞大，但在实际互联网应用场景中，我们极不建议为一个普通网络接口配置终身有效的固定地址。</w:t>
      </w:r>
    </w:p>
    <w:p>
      <w:r>
        <w:t>给终端设备接口配置固定不变的网络地址，会带来极其严重的隐私泄露和安全隐患。如果一台设备的网络标识永远保持一致，当用户携带该设备接入不同物理网络或访问各类外部网站时，第三方服务商或恶意追踪者很容易利用这个唯一的标识，精准拼接并还原出用户的活动轨迹和个人上网习惯。为了保护使用者的数字隐私，现代主流操作系统普遍支持并默认开启了隐私扩展标准机制。在接入网络时，系统除了获取基础的路由前缀外，还会利用密码学随机算法生成无规律的临时网络地址，专门用于发起向外的网络连接，并且会定期废弃和更换这些地址后缀。此外，从宽带运营商的角度来看，为了更灵活地管理庞大的地址池并控制骨干路由表的规模，他们通常也不会为普通家庭宽带用户提供固定不变的路由分配前缀。</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48</w:t>
      </w:r>
      <w:r>
        <w:rPr>
          <w:rFonts w:hint="eastAsia"/>
        </w:rPr>
        <w:t>题</w:t>
      </w:r>
      <w:r>
        <w:rPr>
          <w:rFonts w:hint="eastAsia"/>
          <w:lang w:val="en-US" w:eastAsia="zh-CN"/>
        </w:rPr>
        <w:t xml:space="preserve">: 请列举几种 IPv4 向 IPv6 过渡的技术，并简要说明原理。</w:t>
      </w:r>
    </w:p>
    <w:p>
      <w:r>
        <w:t>结论先说：当前网络中从 IPv4 向 IPv6 过渡的核心技术主要包括双协议栈技术、隧道技术和协议转换技术。这些技术为不同演进阶段的网络节点提供了平滑互通的解决方案。</w:t>
      </w:r>
    </w:p>
    <w:p>
      <w:r>
        <w:t>双协议栈技术要求网络节点同时安装并运行两套完整的协议栈。这使得路由器或主机能够根据目标地址的版本属性，自动选择合适的协议进行底层通信。隧道技术则是将 IPv6 的数据报文整体作为载荷，直接封装在 IPv4 的数据报文当中。这种机制能够让孤立的 IPv6 网络通过现有的 IPv4 骨干网络进行跨域的数据互联。协议转换技术主要依赖边界网关设备对数据包的首部进行实时翻译。它可以把 IPv4 的地址和协议格式直接映射为 IPv6 的格式，从而允许纯 IPv4 节点和纯 IPv6 节点之间直接发起数据交换而无需改变自身架构。</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过渡技术</w:t>
            </w:r>
          </w:p>
        </w:tc>
        <w:tc>
          <w:tcPr>
            <w:tcW w:type="dxa" w:w="2160"/>
          </w:tcPr>
          <w:p>
            <w:r>
              <w:t>核心工作原理</w:t>
            </w:r>
          </w:p>
        </w:tc>
        <w:tc>
          <w:tcPr>
            <w:tcW w:type="dxa" w:w="2160"/>
          </w:tcPr>
          <w:p>
            <w:r>
              <w:t>主要适用场景</w:t>
            </w:r>
          </w:p>
        </w:tc>
        <w:tc>
          <w:tcPr>
            <w:tcW w:type="dxa" w:w="2160"/>
          </w:tcPr>
          <w:p>
            <w:r>
              <w:t>方案优势与特点</w:t>
            </w:r>
          </w:p>
        </w:tc>
      </w:tr>
      <w:tr>
        <w:tc>
          <w:tcPr>
            <w:tcW w:type="dxa" w:w="2160"/>
          </w:tcPr>
          <w:p>
            <w:r>
              <w:t>双协议栈技术</w:t>
            </w:r>
          </w:p>
        </w:tc>
        <w:tc>
          <w:tcPr>
            <w:tcW w:type="dxa" w:w="2160"/>
          </w:tcPr>
          <w:p>
            <w:r>
              <w:t>在同一台网络设备上同时运行两套网络层协议栈</w:t>
            </w:r>
          </w:p>
        </w:tc>
        <w:tc>
          <w:tcPr>
            <w:tcW w:type="dxa" w:w="2160"/>
          </w:tcPr>
          <w:p>
            <w:r>
              <w:t>处于网络过渡初期的主机设备和核心路由器</w:t>
            </w:r>
          </w:p>
        </w:tc>
        <w:tc>
          <w:tcPr>
            <w:tcW w:type="dxa" w:w="2160"/>
          </w:tcPr>
          <w:p>
            <w:r>
              <w:t>节点自身具备极高的网络兼容性且无需依赖额外转换</w:t>
            </w:r>
          </w:p>
        </w:tc>
      </w:tr>
      <w:tr>
        <w:tc>
          <w:tcPr>
            <w:tcW w:type="dxa" w:w="2160"/>
          </w:tcPr>
          <w:p>
            <w:r>
              <w:t>隧道技术</w:t>
            </w:r>
          </w:p>
        </w:tc>
        <w:tc>
          <w:tcPr>
            <w:tcW w:type="dxa" w:w="2160"/>
          </w:tcPr>
          <w:p>
            <w:r>
              <w:t>将新版本协议的数据报整体封装在旧版本协议的载荷中进行传输</w:t>
            </w:r>
          </w:p>
        </w:tc>
        <w:tc>
          <w:tcPr>
            <w:tcW w:type="dxa" w:w="2160"/>
          </w:tcPr>
          <w:p>
            <w:r>
              <w:t>两个分离的新版本网络孤岛需要跨越旧版骨干网进行通信</w:t>
            </w:r>
          </w:p>
        </w:tc>
        <w:tc>
          <w:tcPr>
            <w:tcW w:type="dxa" w:w="2160"/>
          </w:tcPr>
          <w:p>
            <w:r>
              <w:t>能够充分利用现有网络基础设施并避免大规模硬件替换</w:t>
            </w:r>
          </w:p>
        </w:tc>
      </w:tr>
      <w:tr>
        <w:tc>
          <w:tcPr>
            <w:tcW w:type="dxa" w:w="2160"/>
          </w:tcPr>
          <w:p>
            <w:r>
              <w:t>协议转换技术</w:t>
            </w:r>
          </w:p>
        </w:tc>
        <w:tc>
          <w:tcPr>
            <w:tcW w:type="dxa" w:w="2160"/>
          </w:tcPr>
          <w:p>
            <w:r>
              <w:t>边界网关在转发数据包时实时修改报文头部并翻译地址格式</w:t>
            </w:r>
          </w:p>
        </w:tc>
        <w:tc>
          <w:tcPr>
            <w:tcW w:type="dxa" w:w="2160"/>
          </w:tcPr>
          <w:p>
            <w:r>
              <w:t>仅支持单一种类协议的纯净节点之间需要建立直接通信连接</w:t>
            </w:r>
          </w:p>
        </w:tc>
        <w:tc>
          <w:tcPr>
            <w:tcW w:type="dxa" w:w="2160"/>
          </w:tcPr>
          <w:p>
            <w:r>
              <w:t>彻底打破了两种协议格式的不兼容壁垒从而实现跨代互访</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49:https://gitee.com/vintces/hwproject20</w:t>
        <w:br/>
        <w:t xml:space="preserve">50:https://gitee.com/vintces/hwproject21</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embedRegular r:id="rId1" w:fontKey="{66953860-36BF-4E42-AA31-CB6B7A92B268}"/>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87DB0023-227C-4146-B257-B253C12C1FD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TrueTypeFonts/>
  <w:saveSubsetFonts/>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243</Words>
  <Characters>681</Characters>
  <Lines>89</Lines>
  <Paragraphs>97</Paragraphs>
  <TotalTime>0</TotalTime>
  <ScaleCrop>false</ScaleCrop>
  <LinksUpToDate>false</LinksUpToDate>
  <CharactersWithSpaces>795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2026-04-10T14:50:21Z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