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D86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552e03a7ddf996b795b0bbcfe98818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2e03a7ddf996b795b0bbcfe98818c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77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2" name="图片 2" descr="bf93f94c97b9650207474c541ba99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f93f94c97b9650207474c541ba997c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75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3" name="图片 3" descr="62d9c4ee40ceb3665de9d0e5668f7b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d9c4ee40ceb3665de9d0e5668f7bc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C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简述数据报在互联网传输中为何要在各物理网络中封装成帧，举例说明如何封装</w:t>
      </w:r>
    </w:p>
    <w:p w14:paraId="6877407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266305"/>
            <wp:effectExtent l="0" t="0" r="4445" b="10795"/>
            <wp:docPr id="4" name="图片 4" descr="7996783516393721d5014e51edb74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996783516393721d5014e51edb749c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F3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是 物理层 数据链路层 网络层 传输层 应用层吗</w:t>
      </w:r>
    </w:p>
    <w:p w14:paraId="7C743C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第一题是以太网的介质访问机制</w:t>
      </w:r>
    </w:p>
    <w:p w14:paraId="593685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载波侦听</w:t>
      </w:r>
    </w:p>
    <w:p w14:paraId="0602BE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冲突检测</w:t>
      </w:r>
    </w:p>
    <w:p w14:paraId="69151A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和二进制指数退避</w:t>
      </w:r>
    </w:p>
    <w:p w14:paraId="67F37A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64660" cy="8851265"/>
            <wp:effectExtent l="0" t="0" r="2540" b="6985"/>
            <wp:docPr id="5" name="图片 5" descr="a0d4e98cadc732917312e05ae3220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0d4e98cadc732917312e05ae322034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7A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以太网的介质访问机制</w:t>
      </w:r>
    </w:p>
    <w:p w14:paraId="30AE93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64660" cy="8851265"/>
            <wp:effectExtent l="0" t="0" r="2540" b="6985"/>
            <wp:docPr id="7" name="图片 7" descr="6598a18dd866cc9897b91bb345e9e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598a18dd866cc9897b91bb345e9e3d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3520237-E82A-44B8-A54D-51A27978B3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6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2026-04-16T13:06:27Z</dcterms:created>
  <dc:creator>vintces</dc:creator>
  <cp:lastModifiedBy>15710668700</cp:lastModifiedBy>
  <dcterms:modified xsi:type="dcterms:W3CDTF">2026-04-16T13:07:48Z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eyJoZGlkIjoiN2Q2N2NlYTU2MDYyNzk2MTkzMjc4NGM0OGI3ZDBkMjQiLCJ1c2VySWQiOiI5MjA0MjU3NzAifQ==</vt:lpwstr>
  </property>
  <property fmtid="{D5CDD505-2E9C-101B-9397-08002B2CF9AE}" pid="4" name="ICV">
    <vt:lpwstr>19DD7024DC8B4B4AB139BCA8B29ABA94_12</vt:lpwstr>
  </property>
</Properties>
</file>