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/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sz w:val="44"/>
        </w:rPr>
        <w:t>实验</w:t>
      </w:r>
      <w:r>
        <w:rPr>
          <w:rFonts w:hint="eastAsia" w:ascii="黑体" w:hAnsi="黑体" w:eastAsia="黑体" w:cs="黑体"/>
          <w:sz w:val="44"/>
          <w:lang w:val="en-US" w:eastAsia="zh-CN"/>
        </w:rPr>
        <w:t>5</w:t>
      </w:r>
      <w:r>
        <w:rPr>
          <w:rFonts w:ascii="黑体" w:hAnsi="黑体" w:eastAsia="黑体" w:cs="黑体"/>
          <w:sz w:val="44"/>
        </w:rPr>
        <w:t>、</w:t>
      </w:r>
      <w:r>
        <w:rPr>
          <w:rFonts w:hint="eastAsia" w:ascii="黑体" w:hAnsi="黑体" w:eastAsia="黑体" w:cs="黑体"/>
          <w:sz w:val="44"/>
        </w:rPr>
        <w:t>Transformation （二）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名：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王子恒</w:t>
      </w:r>
      <w:r>
        <w:rPr>
          <w:rFonts w:ascii="宋体" w:hAnsi="宋体" w:eastAsia="宋体"/>
          <w:sz w:val="32"/>
          <w:szCs w:val="32"/>
          <w:u w:val="single"/>
        </w:rPr>
        <w:t>________</w:t>
      </w:r>
    </w:p>
    <w:p w14:paraId="3249B23F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号：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34520242201240</w:t>
      </w:r>
    </w:p>
    <w:p w14:paraId="23F87415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院：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信息学院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5047E31E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业：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软件工程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70E0D3A2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级：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2024</w:t>
      </w:r>
      <w:r>
        <w:rPr>
          <w:rFonts w:ascii="宋体" w:hAnsi="宋体" w:eastAsia="宋体"/>
          <w:sz w:val="32"/>
          <w:szCs w:val="32"/>
          <w:u w:val="single"/>
        </w:rPr>
        <w:t>__________</w:t>
      </w:r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/>
        <w:jc w:val="center"/>
      </w:pPr>
      <w:r>
        <w:rPr>
          <w:rFonts w:hint="eastAsia" w:ascii="宋体" w:hAnsi="宋体" w:eastAsia="宋体" w:cs="宋体"/>
          <w:sz w:val="28"/>
        </w:rPr>
        <w:t>2</w:t>
      </w:r>
      <w:r>
        <w:rPr>
          <w:rFonts w:ascii="宋体" w:hAnsi="宋体" w:eastAsia="宋体" w:cs="宋体"/>
          <w:sz w:val="28"/>
        </w:rPr>
        <w:t>02</w:t>
      </w:r>
      <w:r>
        <w:rPr>
          <w:rFonts w:hint="eastAsia" w:ascii="宋体" w:hAnsi="宋体" w:eastAsia="宋体" w:cs="宋体"/>
          <w:sz w:val="28"/>
          <w:lang w:val="en-US" w:eastAsia="zh-CN"/>
        </w:rPr>
        <w:t>6</w:t>
      </w:r>
      <w:r>
        <w:rPr>
          <w:rFonts w:ascii="宋体" w:hAnsi="宋体" w:eastAsia="宋体" w:cs="宋体"/>
          <w:sz w:val="28"/>
        </w:rPr>
        <w:t>年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5</w:t>
      </w:r>
      <w:r>
        <w:rPr>
          <w:rFonts w:ascii="宋体" w:hAnsi="宋体" w:eastAsia="宋体" w:cs="宋体"/>
          <w:sz w:val="28"/>
        </w:rPr>
        <w:t>月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7</w:t>
      </w:r>
      <w:r>
        <w:rPr>
          <w:rFonts w:ascii="宋体" w:hAnsi="宋体" w:eastAsia="宋体" w:cs="宋体"/>
          <w:sz w:val="28"/>
        </w:rPr>
        <w:t>日</w:t>
      </w:r>
    </w:p>
    <w:p w14:paraId="748CA87D">
      <w:pPr>
        <w:spacing w:after="0"/>
        <w:ind w:left="2125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 xml:space="preserve"> </w:t>
      </w:r>
    </w:p>
    <w:sdt>
      <w:sdtPr>
        <w:rPr>
          <w:rFonts w:ascii="Calibri" w:hAnsi="Calibri" w:eastAsia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000000"/>
          <w:kern w:val="2"/>
          <w:sz w:val="22"/>
          <w:szCs w:val="22"/>
          <w:lang w:val="zh-CN"/>
        </w:rPr>
      </w:sdtEndPr>
      <w:sdtContent>
        <w:p w14:paraId="11E44AF1">
          <w:pPr>
            <w:pStyle w:val="18"/>
          </w:pPr>
          <w:r>
            <w:rPr>
              <w:lang w:val="zh-CN"/>
            </w:rPr>
            <w:t>目录</w:t>
          </w:r>
        </w:p>
        <w:p w14:paraId="43EEDB44">
          <w:pPr>
            <w:pStyle w:val="7"/>
            <w:tabs>
              <w:tab w:val="right" w:leader="dot" w:pos="8360"/>
            </w:tabs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"_Toc97636928" </w:instrText>
          </w:r>
          <w:r>
            <w:fldChar w:fldCharType="separate"/>
          </w:r>
          <w:r>
            <w:rPr>
              <w:rStyle w:val="11"/>
            </w:rPr>
            <w:t>Task1</w:t>
          </w:r>
          <w:r>
            <w:rPr>
              <w:rStyle w:val="11"/>
              <w:rFonts w:hint="eastAsia" w:ascii="宋体" w:hAnsi="宋体" w:eastAsia="宋体" w:cs="宋体"/>
            </w:rPr>
            <w:t>：题目名</w:t>
          </w:r>
          <w:r>
            <w:tab/>
          </w:r>
          <w:r>
            <w:fldChar w:fldCharType="begin"/>
          </w:r>
          <w:r>
            <w:instrText xml:space="preserve"> PAGEREF _Toc97636928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5E8876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"_Toc97636929" </w:instrText>
          </w:r>
          <w:r>
            <w:fldChar w:fldCharType="separate"/>
          </w:r>
          <w:r>
            <w:rPr>
              <w:rStyle w:val="11"/>
            </w:rPr>
            <w:t>1.</w:t>
          </w:r>
          <w:r>
            <w:rPr>
              <w:rStyle w:val="11"/>
              <w:rFonts w:hint="eastAsia" w:ascii="宋体" w:hAnsi="宋体" w:eastAsia="宋体" w:cs="宋体"/>
            </w:rPr>
            <w:t>（情况一）</w:t>
          </w:r>
          <w:r>
            <w:tab/>
          </w:r>
          <w:r>
            <w:fldChar w:fldCharType="begin"/>
          </w:r>
          <w:r>
            <w:instrText xml:space="preserve"> PAGEREF _Toc97636929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A5D8A7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"_Toc97636930" </w:instrText>
          </w:r>
          <w:r>
            <w:fldChar w:fldCharType="separate"/>
          </w:r>
          <w:r>
            <w:rPr>
              <w:rStyle w:val="11"/>
            </w:rPr>
            <w:t>2.</w:t>
          </w:r>
          <w:r>
            <w:rPr>
              <w:rStyle w:val="11"/>
              <w:rFonts w:hint="eastAsia" w:ascii="宋体" w:hAnsi="宋体" w:eastAsia="宋体" w:cs="宋体"/>
            </w:rPr>
            <w:t>（情况二）</w:t>
          </w:r>
          <w:r>
            <w:tab/>
          </w:r>
          <w:r>
            <w:fldChar w:fldCharType="begin"/>
          </w:r>
          <w:r>
            <w:instrText xml:space="preserve"> PAGEREF _Toc97636930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756AF0">
          <w:pPr>
            <w:pStyle w:val="7"/>
            <w:tabs>
              <w:tab w:val="right" w:leader="dot" w:pos="8360"/>
            </w:tabs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"_Toc97636931" </w:instrText>
          </w:r>
          <w:r>
            <w:fldChar w:fldCharType="separate"/>
          </w:r>
          <w:r>
            <w:rPr>
              <w:rStyle w:val="11"/>
            </w:rPr>
            <w:t xml:space="preserve">Task2: </w:t>
          </w:r>
          <w:r>
            <w:rPr>
              <w:rStyle w:val="11"/>
              <w:rFonts w:hint="eastAsia" w:ascii="宋体" w:hAnsi="宋体" w:eastAsia="宋体" w:cs="宋体"/>
            </w:rPr>
            <w:t>题目名</w:t>
          </w:r>
          <w:r>
            <w:tab/>
          </w:r>
          <w:r>
            <w:fldChar w:fldCharType="begin"/>
          </w:r>
          <w:r>
            <w:instrText xml:space="preserve"> PAGEREF _Toc97636931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94652A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"_Toc97636932" </w:instrText>
          </w:r>
          <w:r>
            <w:fldChar w:fldCharType="separate"/>
          </w:r>
          <w:r>
            <w:rPr>
              <w:rStyle w:val="11"/>
            </w:rPr>
            <w:t>1.</w:t>
          </w:r>
          <w:r>
            <w:rPr>
              <w:rStyle w:val="11"/>
              <w:rFonts w:hint="eastAsia" w:ascii="宋体" w:hAnsi="宋体" w:eastAsia="宋体" w:cs="宋体"/>
            </w:rPr>
            <w:t>（情况一）</w:t>
          </w:r>
          <w:r>
            <w:tab/>
          </w:r>
          <w:r>
            <w:fldChar w:fldCharType="begin"/>
          </w:r>
          <w:r>
            <w:instrText xml:space="preserve"> PAGEREF _Toc97636932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F9A5FE">
          <w:pPr>
            <w:pStyle w:val="8"/>
            <w:tabs>
              <w:tab w:val="right" w:leader="dot" w:pos="8360"/>
            </w:tabs>
            <w:ind w:left="440"/>
            <w:rPr>
              <w:rFonts w:asciiTheme="minorHAnsi" w:hAnsiTheme="minorHAnsi" w:eastAsiaTheme="minorEastAsia" w:cstheme="minorBidi"/>
              <w:color w:val="auto"/>
              <w:sz w:val="21"/>
            </w:rPr>
          </w:pPr>
          <w:r>
            <w:fldChar w:fldCharType="begin"/>
          </w:r>
          <w:r>
            <w:instrText xml:space="preserve"> HYPERLINK \l "_Toc97636933" </w:instrText>
          </w:r>
          <w:r>
            <w:fldChar w:fldCharType="separate"/>
          </w:r>
          <w:r>
            <w:rPr>
              <w:rStyle w:val="11"/>
            </w:rPr>
            <w:t>2.</w:t>
          </w:r>
          <w:r>
            <w:rPr>
              <w:rStyle w:val="11"/>
              <w:rFonts w:hint="eastAsia" w:ascii="宋体" w:hAnsi="宋体" w:eastAsia="宋体" w:cs="宋体"/>
            </w:rPr>
            <w:t>（情况二）</w:t>
          </w:r>
          <w:r>
            <w:tab/>
          </w:r>
          <w:r>
            <w:fldChar w:fldCharType="begin"/>
          </w:r>
          <w:r>
            <w:instrText xml:space="preserve"> PAGEREF _Toc97636933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1BBFB0">
          <w:r>
            <w:rPr>
              <w:b/>
              <w:bCs/>
              <w:lang w:val="zh-CN"/>
            </w:rPr>
            <w:fldChar w:fldCharType="end"/>
          </w:r>
        </w:p>
      </w:sdtContent>
    </w:sdt>
    <w:p w14:paraId="6FA41F5C">
      <w:pPr>
        <w:spacing w:after="112"/>
        <w:ind w:left="2401"/>
      </w:pPr>
    </w:p>
    <w:p w14:paraId="0653F16E">
      <w:pPr>
        <w:spacing w:after="172"/>
        <w:ind w:left="240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D61B6BE">
      <w:pPr>
        <w:spacing w:after="0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p w14:paraId="08AC7031">
      <w:pPr>
        <w:pStyle w:val="2"/>
      </w:pPr>
      <w:bookmarkStart w:id="0" w:name="_Toc97636928"/>
      <w:r>
        <w:t>Task1</w:t>
      </w:r>
      <w:r>
        <w:rPr>
          <w:rFonts w:hint="eastAsia"/>
        </w:rPr>
        <w:t>：自行实现视点、投影、视口函数</w:t>
      </w:r>
      <w:bookmarkEnd w:id="0"/>
    </w:p>
    <w:p w14:paraId="5A58C11F">
      <w:pPr>
        <w:pStyle w:val="3"/>
      </w:pPr>
      <w:bookmarkStart w:id="1" w:name="_Toc97636929"/>
      <w:r>
        <w:t>1. myLookAt — 实现视点变换</w:t>
      </w:r>
      <w:bookmarkEnd w:id="1"/>
    </w:p>
    <w:p w14:paraId="4914807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4914808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myLookAt 函数模拟 OpenGL 的 gluLookAt，构建视图变换矩阵。核心算法：以相机位置 eye、关注点 at 和上方向量 up 为输入，计算前向向量 f = normalize(at - eye)，右向向量 s = normalize(f × up)，上向向量 u = s × f，由这三个正交基向量组合旋转矩阵，并将相机位置点平移到原点，最终得到 ModelView 矩阵 M = R * T；将该矩阵左乘 mModelView 以累积入全局变换。</w:t>
      </w:r>
    </w:p>
    <w:p w14:paraId="2A9C146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58439014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3045" cy="27419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9A61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运行结果截图：</w:t>
      </w:r>
    </w:p>
    <w:p w14:paraId="56D5EC53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895850" cy="5143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4617">
      <w:pPr>
        <w:spacing w:after="9"/>
        <w:jc w:val="right"/>
      </w:pPr>
    </w:p>
    <w:p w14:paraId="4F806398">
      <w:pPr>
        <w:pStyle w:val="3"/>
      </w:pPr>
      <w:bookmarkStart w:id="2" w:name="_Toc97636930"/>
      <w:r>
        <w:t>2. myFrustum — 实现透视投影</w:t>
      </w:r>
      <w:bookmarkEnd w:id="2"/>
    </w:p>
    <w:p w14:paraId="777B70E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777B70E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myFrustum 函数模拟 OpenGL 的 glFrustum，构建透视投影矩阵。核心算法：以视断体左/右/下/上/近/远裁剪面 l, r, b, t, n, f 为参数，将视断体内顶点映射到 NDC [-1,1]^3；矩阵第三行第四列元素为 -2fn/(f-n)，第四行第三列元素为 -1，从而实现齐次除以进行透视除法。将该矩阵左乘 mProjection。</w:t>
      </w:r>
    </w:p>
    <w:p w14:paraId="6C38B66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349321BE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1775" cy="3027680"/>
            <wp:effectExtent l="0" t="0" r="317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81A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运行结果截图：</w:t>
      </w:r>
    </w:p>
    <w:p w14:paraId="3DC3CBC6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819650" cy="50768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CAFA">
      <w:pPr>
        <w:rPr>
          <w:rFonts w:eastAsiaTheme="minorEastAsia"/>
        </w:rPr>
      </w:pPr>
    </w:p>
    <w:p w14:paraId="2AF76108">
      <w:pPr>
        <w:pStyle w:val="3"/>
      </w:pPr>
      <w:bookmarkStart w:id="3" w:name="_Toc97636931"/>
      <w:r>
        <w:t>3. myOrtho — 实现正交投影</w:t>
      </w:r>
      <w:bookmarkEnd w:id="3"/>
    </w:p>
    <w:p w14:paraId="2996C75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2996C75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myOrtho 函数模拟 OpenGL 的 glOrtho，构建正交投影矩阵。核心算法：同样以六个裁剪面为参数，先通过平移将视小体中心平移到原点，再对每个坐标轴分别进行缩放，将正交方盒映射到 NDC [-1,1]^3；与透视投影不同，正交投影的 w 分量始终为 1，不产生透视除法。将该矩阵左乘 mProjection。</w:t>
      </w:r>
    </w:p>
    <w:p w14:paraId="009B16E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6216B210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2410" cy="2731135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981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运行结果截图：</w:t>
      </w:r>
    </w:p>
    <w:p w14:paraId="39F1291C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876800" cy="5067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981C">
      <w:pPr>
        <w:rPr>
          <w:rFonts w:eastAsiaTheme="minorEastAsia"/>
        </w:rPr>
      </w:pPr>
    </w:p>
    <w:p w14:paraId="5411E43A">
      <w:pPr>
        <w:pStyle w:val="3"/>
      </w:pPr>
      <w:bookmarkStart w:id="4" w:name="_Toc97636932"/>
      <w:r>
        <w:t>4. myViewPort — 实现视口变换</w:t>
      </w:r>
      <w:bookmarkEnd w:id="4"/>
    </w:p>
    <w:p w14:paraId="33769D8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33769D8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myViewPort 函数模拟 OpenGL 的 glViewport，将 NDC 坐标映射到屏幕像素坐标。核心算法：输入参数为视口左下角 (x, y)、宽度 w 和高度 h；对角线元素分别赋尼 w/2 和 h/2，平移分量分别为 x+w/2 和 y+h/2，从而将 NDC [-1,1]^2 线性映射到对应像素区域；结果存入全局 mViewPort。</w:t>
      </w:r>
    </w:p>
    <w:p w14:paraId="3DD8DC7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58B057A2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762500" cy="32480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C6F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运行结果截图：</w:t>
      </w:r>
    </w:p>
    <w:p w14:paraId="77A04FD1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838700" cy="51720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C6FB">
      <w:pPr>
        <w:rPr>
          <w:rFonts w:eastAsiaTheme="minorEastAsia"/>
        </w:rPr>
      </w:pPr>
    </w:p>
    <w:p w14:paraId="2AF76109">
      <w:pPr>
        <w:pStyle w:val="3"/>
      </w:pPr>
      <w:bookmarkStart w:id="5" w:name="_Toc97636933"/>
      <w:r>
        <w:t>5. myPerspective — 实现 gluPerspective 透视投影</w:t>
      </w:r>
      <w:bookmarkEnd w:id="5"/>
    </w:p>
    <w:p w14:paraId="2996C75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2996C75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myPerspective 函数模拟 OpenGL 的 gluPerspective，提供更直观的透视投影接口。核心算法：以垂直视角 fovy、宽高比 aspect、近裁剪面 zNear 和远裁剪面 zFar 为参数；首先由 fovy 计算近裁剪面半高 t = zNear * tan(fovy/2)，再由 aspect 计算半宽 r = t * aspect，最终代入与 myFrustum 相同的 4x4 透视投影公式构建矩阵。将该矩阵左乘 mProjection。</w:t>
      </w:r>
    </w:p>
    <w:p w14:paraId="009B16E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55F80477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1140" cy="3862705"/>
            <wp:effectExtent l="0" t="0" r="381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981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运行结果截图：</w:t>
      </w:r>
    </w:p>
    <w:p w14:paraId="6040ECA2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838700" cy="51149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5365769"/>
    <w:rsid w:val="12201E45"/>
    <w:rsid w:val="2A7F0C3A"/>
    <w:rsid w:val="2ADF24DF"/>
    <w:rsid w:val="2F38535A"/>
    <w:rsid w:val="55D00E0C"/>
    <w:rsid w:val="59222C6C"/>
    <w:rsid w:val="5C550D5E"/>
    <w:rsid w:val="5DE24E1D"/>
    <w:rsid w:val="745D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3 字符"/>
    <w:link w:val="4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3">
    <w:name w:val="标题 1 字符"/>
    <w:link w:val="2"/>
    <w:qFormat/>
    <w:uiPriority w:val="0"/>
    <w:rPr>
      <w:rFonts w:ascii="黑体" w:hAnsi="黑体" w:eastAsia="黑体" w:cs="黑体"/>
      <w:color w:val="000000"/>
      <w:sz w:val="30"/>
    </w:rPr>
  </w:style>
  <w:style w:type="character" w:customStyle="1" w:styleId="14">
    <w:name w:val="标题 2 字符"/>
    <w:link w:val="3"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页眉 字符"/>
    <w:basedOn w:val="10"/>
    <w:link w:val="6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1119</Words>
  <Characters>1730</Characters>
  <Lines>5</Lines>
  <Paragraphs>1</Paragraphs>
  <TotalTime>44</TotalTime>
  <ScaleCrop>false</ScaleCrop>
  <LinksUpToDate>false</LinksUpToDate>
  <CharactersWithSpaces>1943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Wang Ziheng</cp:lastModifiedBy>
  <dcterms:modified xsi:type="dcterms:W3CDTF">2026-05-07T07:53:08Z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AECA700CF7E34B74AEFFD1AC6DA1CB8F_12</vt:lpwstr>
  </property>
</Properties>
</file>