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FFF54">
      <w:pPr>
        <w:jc w:val="center"/>
        <w:rPr>
          <w:rFonts w:ascii="等线 Light" w:hAnsi="等线 Light" w:eastAsia="等线 Light"/>
          <w:b/>
          <w:sz w:val="52"/>
          <w:szCs w:val="52"/>
        </w:rPr>
      </w:pPr>
    </w:p>
    <w:p w14:paraId="25432F88">
      <w:pPr>
        <w:jc w:val="center"/>
        <w:rPr>
          <w:rFonts w:ascii="等线 Light" w:hAnsi="等线 Light" w:eastAsia="等线 Light"/>
          <w:b/>
          <w:sz w:val="52"/>
          <w:szCs w:val="52"/>
        </w:rPr>
      </w:pPr>
      <w:r>
        <w:drawing>
          <wp:inline distT="0" distB="0" distL="0" distR="0">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41145" cy="1541145"/>
                    </a:xfrm>
                    <a:prstGeom prst="rect">
                      <a:avLst/>
                    </a:prstGeom>
                    <a:noFill/>
                    <a:ln>
                      <a:noFill/>
                    </a:ln>
                  </pic:spPr>
                </pic:pic>
              </a:graphicData>
            </a:graphic>
          </wp:inline>
        </w:drawing>
      </w:r>
    </w:p>
    <w:p w14:paraId="1D832B2E">
      <w:pPr>
        <w:jc w:val="center"/>
        <w:rPr>
          <w:rFonts w:ascii="微软雅黑" w:hAnsi="微软雅黑" w:eastAsia="微软雅黑"/>
          <w:bCs/>
          <w:sz w:val="52"/>
          <w:szCs w:val="52"/>
        </w:rPr>
      </w:pPr>
      <w:r>
        <w:rPr>
          <w:rFonts w:hint="eastAsia" w:ascii="微软雅黑" w:hAnsi="微软雅黑" w:eastAsia="微软雅黑"/>
          <w:bCs/>
          <w:sz w:val="52"/>
          <w:szCs w:val="52"/>
        </w:rPr>
        <w:t>数据库系统课程实验报告</w:t>
      </w:r>
    </w:p>
    <w:p w14:paraId="4C1C5515">
      <w:pPr>
        <w:spacing w:line="360" w:lineRule="auto"/>
        <w:ind w:firstLine="596" w:firstLineChars="198"/>
        <w:rPr>
          <w:b/>
          <w:sz w:val="30"/>
        </w:rPr>
      </w:pPr>
    </w:p>
    <w:tbl>
      <w:tblPr>
        <w:tblStyle w:val="7"/>
        <w:tblW w:w="0" w:type="auto"/>
        <w:tblInd w:w="562"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40"/>
        <w:gridCol w:w="5131"/>
      </w:tblGrid>
      <w:tr w14:paraId="3E58D0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75F8EA81">
            <w:pPr>
              <w:rPr>
                <w:rFonts w:ascii="微软雅黑" w:hAnsi="微软雅黑" w:eastAsia="微软雅黑"/>
                <w:sz w:val="30"/>
                <w:szCs w:val="30"/>
              </w:rPr>
            </w:pPr>
            <w:r>
              <w:rPr>
                <w:rFonts w:hint="eastAsia" w:ascii="微软雅黑" w:hAnsi="微软雅黑" w:eastAsia="微软雅黑"/>
                <w:sz w:val="30"/>
                <w:szCs w:val="30"/>
              </w:rPr>
              <w:t>实验</w:t>
            </w:r>
            <w:r>
              <w:rPr>
                <w:rFonts w:ascii="微软雅黑" w:hAnsi="微软雅黑" w:eastAsia="微软雅黑"/>
                <w:sz w:val="30"/>
                <w:szCs w:val="30"/>
              </w:rPr>
              <w:t>名称</w:t>
            </w:r>
            <w:r>
              <w:rPr>
                <w:rFonts w:hint="eastAsia" w:ascii="微软雅黑" w:hAnsi="微软雅黑" w:eastAsia="微软雅黑"/>
                <w:sz w:val="30"/>
                <w:szCs w:val="30"/>
              </w:rPr>
              <w:t>：</w:t>
            </w:r>
          </w:p>
        </w:tc>
        <w:tc>
          <w:tcPr>
            <w:tcW w:w="5131" w:type="dxa"/>
            <w:vAlign w:val="center"/>
          </w:tcPr>
          <w:p w14:paraId="69495BEF">
            <w:pPr>
              <w:rPr>
                <w:rFonts w:ascii="微软雅黑" w:hAnsi="微软雅黑" w:eastAsia="微软雅黑"/>
                <w:sz w:val="30"/>
                <w:szCs w:val="30"/>
              </w:rPr>
            </w:pPr>
            <w:r>
              <w:rPr>
                <w:rFonts w:hint="eastAsia" w:ascii="微软雅黑" w:hAnsi="微软雅黑" w:eastAsia="微软雅黑"/>
                <w:sz w:val="30"/>
                <w:szCs w:val="30"/>
              </w:rPr>
              <w:t>实验八：触发器</w:t>
            </w:r>
          </w:p>
        </w:tc>
      </w:tr>
      <w:tr w14:paraId="48B2E9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7041591D">
            <w:pPr>
              <w:rPr>
                <w:rFonts w:ascii="微软雅黑" w:hAnsi="微软雅黑" w:eastAsia="微软雅黑"/>
                <w:sz w:val="30"/>
                <w:szCs w:val="30"/>
              </w:rPr>
            </w:pPr>
            <w:r>
              <w:rPr>
                <w:rFonts w:hint="eastAsia" w:ascii="微软雅黑" w:hAnsi="微软雅黑" w:eastAsia="微软雅黑"/>
                <w:sz w:val="30"/>
                <w:szCs w:val="30"/>
              </w:rPr>
              <w:t>实验日期</w:t>
            </w:r>
            <w:r>
              <w:rPr>
                <w:rFonts w:ascii="微软雅黑" w:hAnsi="微软雅黑" w:eastAsia="微软雅黑"/>
                <w:sz w:val="30"/>
                <w:szCs w:val="30"/>
              </w:rPr>
              <w:t>：</w:t>
            </w:r>
          </w:p>
        </w:tc>
        <w:tc>
          <w:tcPr>
            <w:tcW w:w="5131" w:type="dxa"/>
            <w:vAlign w:val="center"/>
          </w:tcPr>
          <w:p w14:paraId="1604941D">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2026.5.22</w:t>
            </w:r>
          </w:p>
        </w:tc>
      </w:tr>
      <w:tr w14:paraId="7299C9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bottom w:val="single" w:color="D9D9D9" w:sz="4" w:space="0"/>
            </w:tcBorders>
          </w:tcPr>
          <w:p w14:paraId="12B9E889">
            <w:pPr>
              <w:rPr>
                <w:rFonts w:ascii="微软雅黑" w:hAnsi="微软雅黑" w:eastAsia="微软雅黑"/>
                <w:sz w:val="30"/>
                <w:szCs w:val="30"/>
              </w:rPr>
            </w:pPr>
            <w:r>
              <w:rPr>
                <w:rFonts w:hint="eastAsia" w:ascii="微软雅黑" w:hAnsi="微软雅黑" w:eastAsia="微软雅黑"/>
                <w:sz w:val="30"/>
                <w:szCs w:val="30"/>
              </w:rPr>
              <w:t>实验</w:t>
            </w:r>
            <w:r>
              <w:rPr>
                <w:rFonts w:ascii="微软雅黑" w:hAnsi="微软雅黑" w:eastAsia="微软雅黑"/>
                <w:sz w:val="30"/>
                <w:szCs w:val="30"/>
              </w:rPr>
              <w:t>地点：</w:t>
            </w:r>
          </w:p>
        </w:tc>
        <w:tc>
          <w:tcPr>
            <w:tcW w:w="5131" w:type="dxa"/>
            <w:tcBorders>
              <w:bottom w:val="single" w:color="D9D9D9" w:sz="4" w:space="0"/>
            </w:tcBorders>
            <w:vAlign w:val="center"/>
          </w:tcPr>
          <w:p w14:paraId="011A8CD7">
            <w:pPr>
              <w:rPr>
                <w:rFonts w:ascii="微软雅黑" w:hAnsi="微软雅黑" w:eastAsia="微软雅黑"/>
                <w:sz w:val="30"/>
                <w:szCs w:val="30"/>
              </w:rPr>
            </w:pPr>
            <w:r>
              <w:rPr>
                <w:rFonts w:hint="eastAsia" w:ascii="微软雅黑" w:hAnsi="微软雅黑" w:eastAsia="微软雅黑"/>
                <w:sz w:val="30"/>
                <w:szCs w:val="30"/>
                <w:lang w:val="en-US" w:eastAsia="zh-CN"/>
              </w:rPr>
              <w:t>OpenEuler ECS服务器</w:t>
            </w:r>
          </w:p>
        </w:tc>
      </w:tr>
      <w:tr w14:paraId="735109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bottom w:val="single" w:color="D9D9D9" w:sz="4" w:space="0"/>
            </w:tcBorders>
          </w:tcPr>
          <w:p w14:paraId="10C10E59">
            <w:pPr>
              <w:rPr>
                <w:rFonts w:ascii="微软雅黑" w:hAnsi="微软雅黑" w:eastAsia="微软雅黑"/>
                <w:sz w:val="30"/>
                <w:szCs w:val="30"/>
              </w:rPr>
            </w:pPr>
            <w:r>
              <w:rPr>
                <w:rFonts w:ascii="微软雅黑" w:hAnsi="微软雅黑" w:eastAsia="微软雅黑"/>
                <w:sz w:val="30"/>
                <w:szCs w:val="30"/>
              </w:rPr>
              <w:t>提交日期：</w:t>
            </w:r>
          </w:p>
        </w:tc>
        <w:tc>
          <w:tcPr>
            <w:tcW w:w="5131" w:type="dxa"/>
            <w:tcBorders>
              <w:bottom w:val="single" w:color="D9D9D9" w:sz="4" w:space="0"/>
            </w:tcBorders>
            <w:vAlign w:val="center"/>
          </w:tcPr>
          <w:p w14:paraId="59502966">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2026.5.22</w:t>
            </w:r>
          </w:p>
        </w:tc>
      </w:tr>
      <w:tr w14:paraId="3F5CAC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371" w:type="dxa"/>
            <w:gridSpan w:val="2"/>
            <w:tcBorders>
              <w:top w:val="single" w:color="D9D9D9" w:sz="4" w:space="0"/>
              <w:left w:val="nil"/>
              <w:bottom w:val="single" w:color="D9D9D9" w:sz="4" w:space="0"/>
              <w:right w:val="nil"/>
            </w:tcBorders>
          </w:tcPr>
          <w:p w14:paraId="06DF4B69">
            <w:pPr>
              <w:rPr>
                <w:rFonts w:ascii="微软雅黑" w:hAnsi="微软雅黑" w:eastAsia="微软雅黑"/>
                <w:sz w:val="30"/>
                <w:szCs w:val="30"/>
              </w:rPr>
            </w:pPr>
          </w:p>
        </w:tc>
      </w:tr>
      <w:tr w14:paraId="06B5B7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top w:val="single" w:color="D9D9D9" w:sz="4" w:space="0"/>
            </w:tcBorders>
          </w:tcPr>
          <w:p w14:paraId="61591ECB">
            <w:pPr>
              <w:rPr>
                <w:rFonts w:ascii="微软雅黑" w:hAnsi="微软雅黑" w:eastAsia="微软雅黑"/>
                <w:sz w:val="30"/>
                <w:szCs w:val="30"/>
              </w:rPr>
            </w:pPr>
            <w:r>
              <w:rPr>
                <w:rFonts w:hint="eastAsia" w:ascii="微软雅黑" w:hAnsi="微软雅黑" w:eastAsia="微软雅黑"/>
                <w:sz w:val="30"/>
                <w:szCs w:val="30"/>
              </w:rPr>
              <w:t>学号：</w:t>
            </w:r>
          </w:p>
        </w:tc>
        <w:tc>
          <w:tcPr>
            <w:tcW w:w="5131" w:type="dxa"/>
            <w:tcBorders>
              <w:top w:val="single" w:color="D9D9D9" w:sz="4" w:space="0"/>
            </w:tcBorders>
            <w:vAlign w:val="center"/>
          </w:tcPr>
          <w:p w14:paraId="32FF498F">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34520242201240</w:t>
            </w:r>
          </w:p>
        </w:tc>
      </w:tr>
      <w:tr w14:paraId="1640C1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044AF7EB">
            <w:pPr>
              <w:rPr>
                <w:rFonts w:ascii="微软雅黑" w:hAnsi="微软雅黑" w:eastAsia="微软雅黑"/>
                <w:sz w:val="30"/>
                <w:szCs w:val="30"/>
              </w:rPr>
            </w:pPr>
            <w:r>
              <w:rPr>
                <w:rFonts w:hint="eastAsia" w:ascii="微软雅黑" w:hAnsi="微软雅黑" w:eastAsia="微软雅黑"/>
                <w:sz w:val="30"/>
                <w:szCs w:val="30"/>
              </w:rPr>
              <w:t>姓名：</w:t>
            </w:r>
          </w:p>
        </w:tc>
        <w:tc>
          <w:tcPr>
            <w:tcW w:w="5131" w:type="dxa"/>
            <w:vAlign w:val="center"/>
          </w:tcPr>
          <w:p w14:paraId="4B1596A3">
            <w:pPr>
              <w:rPr>
                <w:rFonts w:hint="eastAsia" w:ascii="微软雅黑" w:hAnsi="微软雅黑" w:eastAsia="微软雅黑"/>
                <w:sz w:val="30"/>
                <w:szCs w:val="30"/>
                <w:lang w:val="en-US" w:eastAsia="zh-CN"/>
              </w:rPr>
            </w:pPr>
            <w:r>
              <w:rPr>
                <w:rFonts w:hint="eastAsia" w:ascii="微软雅黑" w:hAnsi="微软雅黑" w:eastAsia="微软雅黑"/>
                <w:sz w:val="30"/>
                <w:szCs w:val="30"/>
                <w:lang w:val="en-US" w:eastAsia="zh-CN"/>
              </w:rPr>
              <w:t>王子恒</w:t>
            </w:r>
          </w:p>
        </w:tc>
      </w:tr>
      <w:tr w14:paraId="60D03B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4D560173">
            <w:pPr>
              <w:rPr>
                <w:rFonts w:ascii="微软雅黑" w:hAnsi="微软雅黑" w:eastAsia="微软雅黑"/>
                <w:sz w:val="30"/>
                <w:szCs w:val="30"/>
              </w:rPr>
            </w:pPr>
            <w:r>
              <w:rPr>
                <w:rFonts w:ascii="微软雅黑" w:hAnsi="微软雅黑" w:eastAsia="微软雅黑"/>
                <w:sz w:val="30"/>
                <w:szCs w:val="30"/>
              </w:rPr>
              <w:t>专业年级</w:t>
            </w:r>
            <w:r>
              <w:rPr>
                <w:rFonts w:hint="eastAsia" w:ascii="微软雅黑" w:hAnsi="微软雅黑" w:eastAsia="微软雅黑"/>
                <w:sz w:val="30"/>
                <w:szCs w:val="30"/>
              </w:rPr>
              <w:t>：</w:t>
            </w:r>
          </w:p>
        </w:tc>
        <w:tc>
          <w:tcPr>
            <w:tcW w:w="5131" w:type="dxa"/>
            <w:vAlign w:val="center"/>
          </w:tcPr>
          <w:p w14:paraId="778267AC">
            <w:pPr>
              <w:jc w:val="left"/>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2024级</w:t>
            </w:r>
          </w:p>
        </w:tc>
      </w:tr>
      <w:tr w14:paraId="58F69F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2F98CCE5">
            <w:pPr>
              <w:rPr>
                <w:rFonts w:ascii="微软雅黑" w:hAnsi="微软雅黑" w:eastAsia="微软雅黑"/>
                <w:sz w:val="30"/>
                <w:szCs w:val="30"/>
              </w:rPr>
            </w:pPr>
            <w:r>
              <w:rPr>
                <w:rFonts w:hint="eastAsia" w:ascii="微软雅黑" w:hAnsi="微软雅黑" w:eastAsia="微软雅黑"/>
                <w:sz w:val="30"/>
                <w:szCs w:val="30"/>
              </w:rPr>
              <w:t>学年</w:t>
            </w:r>
            <w:r>
              <w:rPr>
                <w:rFonts w:ascii="微软雅黑" w:hAnsi="微软雅黑" w:eastAsia="微软雅黑"/>
                <w:sz w:val="30"/>
                <w:szCs w:val="30"/>
              </w:rPr>
              <w:t>学期</w:t>
            </w:r>
            <w:r>
              <w:rPr>
                <w:rFonts w:hint="eastAsia" w:ascii="微软雅黑" w:hAnsi="微软雅黑" w:eastAsia="微软雅黑"/>
                <w:sz w:val="30"/>
                <w:szCs w:val="30"/>
              </w:rPr>
              <w:t>：</w:t>
            </w:r>
          </w:p>
        </w:tc>
        <w:tc>
          <w:tcPr>
            <w:tcW w:w="5131" w:type="dxa"/>
            <w:vAlign w:val="center"/>
          </w:tcPr>
          <w:p w14:paraId="13F92B16">
            <w:pPr>
              <w:rPr>
                <w:rFonts w:ascii="微软雅黑" w:hAnsi="微软雅黑" w:eastAsia="微软雅黑"/>
                <w:sz w:val="30"/>
                <w:szCs w:val="30"/>
              </w:rPr>
            </w:pPr>
            <w:r>
              <w:rPr>
                <w:rFonts w:hint="eastAsia" w:ascii="微软雅黑" w:hAnsi="微软雅黑" w:eastAsia="微软雅黑"/>
                <w:sz w:val="30"/>
                <w:szCs w:val="30"/>
                <w:lang w:val="en-US" w:eastAsia="zh-CN"/>
              </w:rPr>
              <w:t>2025-2026学年春季学期</w:t>
            </w:r>
          </w:p>
        </w:tc>
      </w:tr>
    </w:tbl>
    <w:p w14:paraId="3817F0BF">
      <w:pPr>
        <w:spacing w:line="360" w:lineRule="auto"/>
        <w:ind w:firstLine="594" w:firstLineChars="198"/>
        <w:rPr>
          <w:sz w:val="30"/>
        </w:rPr>
      </w:pPr>
    </w:p>
    <w:p w14:paraId="16F10321">
      <w:pPr>
        <w:spacing w:line="360" w:lineRule="auto"/>
        <w:jc w:val="center"/>
        <w:rPr>
          <w:b/>
          <w:sz w:val="32"/>
        </w:rPr>
      </w:pPr>
    </w:p>
    <w:p w14:paraId="3711B798">
      <w:pPr>
        <w:jc w:val="center"/>
        <w:rPr>
          <w:b/>
          <w:sz w:val="32"/>
        </w:rPr>
      </w:pPr>
    </w:p>
    <w:p w14:paraId="1ACD7E6B">
      <w:pPr>
        <w:jc w:val="center"/>
        <w:rPr>
          <w:b/>
          <w:sz w:val="32"/>
        </w:rPr>
      </w:pPr>
    </w:p>
    <w:p w14:paraId="15E2B27B">
      <w:pPr>
        <w:jc w:val="center"/>
        <w:rPr>
          <w:b/>
          <w:sz w:val="32"/>
        </w:rPr>
      </w:pPr>
    </w:p>
    <w:p w14:paraId="431F34B6">
      <w:pPr>
        <w:numPr>
          <w:ilvl w:val="0"/>
          <w:numId w:val="1"/>
        </w:numPr>
        <w:tabs>
          <w:tab w:val="left" w:pos="426"/>
          <w:tab w:val="clear" w:pos="720"/>
        </w:tabs>
        <w:spacing w:before="240"/>
        <w:ind w:left="284" w:hanging="284"/>
        <w:rPr>
          <w:rFonts w:ascii="微软雅黑" w:hAnsi="微软雅黑" w:eastAsia="微软雅黑"/>
          <w:sz w:val="30"/>
          <w:szCs w:val="30"/>
        </w:rPr>
      </w:pPr>
      <w:r>
        <w:rPr>
          <w:rFonts w:hint="eastAsia" w:ascii="微软雅黑" w:hAnsi="微软雅黑" w:eastAsia="微软雅黑"/>
          <w:sz w:val="30"/>
          <w:szCs w:val="30"/>
        </w:rPr>
        <w:t>实验目的</w:t>
      </w:r>
    </w:p>
    <w:p w14:paraId="3BC14AE3">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理解 openGauss 触发器的作用及工作原理，掌握 BEFORE 触发器与 AFTER 触发器的执行机制。</w:t>
      </w:r>
    </w:p>
    <w:p w14:paraId="38A48EAC">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掌握行级（ROW）触发器与语句级（STATEMENT）触发器的区别与应用场景。</w:t>
      </w:r>
    </w:p>
    <w:p w14:paraId="2E1D8C28">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熟练掌握 openGauss 中触发器函数与触发器的创建方法。</w:t>
      </w:r>
    </w:p>
    <w:p w14:paraId="299340A7">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掌握触发器的查看、修改、禁用、启用与删除等操作。</w:t>
      </w:r>
    </w:p>
    <w:p w14:paraId="1BF9C472">
      <w:pPr>
        <w:pStyle w:val="14"/>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掌握利用触发器实现数据完整性约束、外码级联维护以及审计日志记录的方法。</w:t>
      </w:r>
    </w:p>
    <w:p w14:paraId="2A369E66">
      <w:pPr>
        <w:pStyle w:val="14"/>
        <w:numPr>
          <w:ilvl w:val="0"/>
          <w:numId w:val="2"/>
        </w:numPr>
        <w:ind w:firstLineChars="0"/>
        <w:rPr>
          <w:rFonts w:ascii="华文仿宋" w:hAnsi="华文仿宋" w:eastAsia="华文仿宋"/>
          <w:sz w:val="28"/>
          <w:szCs w:val="28"/>
        </w:rPr>
      </w:pPr>
      <w:r>
        <w:rPr>
          <w:rFonts w:hint="eastAsia" w:ascii="华文仿宋" w:hAnsi="华文仿宋" w:eastAsia="华文仿宋"/>
          <w:sz w:val="28"/>
          <w:szCs w:val="28"/>
        </w:rPr>
        <w:t>理解 NEW 与 OLD 伪记录在触发器中的作用，并能够结合 PL/pgSQL 编写触发器逻辑。</w:t>
      </w:r>
    </w:p>
    <w:p w14:paraId="4D19D641">
      <w:pPr>
        <w:numPr>
          <w:ilvl w:val="0"/>
          <w:numId w:val="1"/>
        </w:numPr>
        <w:tabs>
          <w:tab w:val="left" w:pos="426"/>
          <w:tab w:val="clear" w:pos="720"/>
        </w:tabs>
        <w:ind w:left="284" w:hanging="284"/>
        <w:rPr>
          <w:rFonts w:ascii="微软雅黑" w:hAnsi="微软雅黑" w:eastAsia="微软雅黑"/>
          <w:sz w:val="30"/>
          <w:szCs w:val="30"/>
        </w:rPr>
      </w:pPr>
      <w:r>
        <w:rPr>
          <w:rFonts w:hint="eastAsia" w:ascii="微软雅黑" w:hAnsi="微软雅黑" w:eastAsia="微软雅黑"/>
          <w:sz w:val="30"/>
          <w:szCs w:val="30"/>
        </w:rPr>
        <w:t>实验内容和</w:t>
      </w:r>
      <w:r>
        <w:rPr>
          <w:rFonts w:ascii="微软雅黑" w:hAnsi="微软雅黑" w:eastAsia="微软雅黑"/>
          <w:sz w:val="30"/>
          <w:szCs w:val="30"/>
        </w:rPr>
        <w:t>步骤</w:t>
      </w:r>
    </w:p>
    <w:p w14:paraId="4F957AD6">
      <w:pPr>
        <w:rPr>
          <w:rFonts w:hint="eastAsia" w:ascii="华文仿宋" w:hAnsi="华文仿宋" w:eastAsia="华文仿宋"/>
          <w:sz w:val="28"/>
          <w:szCs w:val="28"/>
        </w:rPr>
      </w:pPr>
      <w:r>
        <w:rPr>
          <w:rFonts w:hint="eastAsia" w:ascii="华文仿宋" w:hAnsi="华文仿宋" w:eastAsia="华文仿宋"/>
          <w:sz w:val="28"/>
          <w:szCs w:val="28"/>
        </w:rPr>
        <w:t>（0）连接到 openGauss 数据库</w:t>
      </w:r>
    </w:p>
    <w:p w14:paraId="3D3B973D">
      <w:pPr>
        <w:rPr>
          <w:rFonts w:hint="eastAsia" w:ascii="华文仿宋" w:hAnsi="华文仿宋" w:eastAsia="华文仿宋"/>
          <w:sz w:val="28"/>
          <w:szCs w:val="28"/>
        </w:rPr>
      </w:pPr>
      <w:r>
        <w:drawing>
          <wp:inline distT="0" distB="0" distL="114300" distR="114300">
            <wp:extent cx="4009390" cy="1019810"/>
            <wp:effectExtent l="0" t="0" r="63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009390" cy="1019810"/>
                    </a:xfrm>
                    <a:prstGeom prst="rect">
                      <a:avLst/>
                    </a:prstGeom>
                    <a:noFill/>
                    <a:ln>
                      <a:noFill/>
                    </a:ln>
                  </pic:spPr>
                </pic:pic>
              </a:graphicData>
            </a:graphic>
          </wp:inline>
        </w:drawing>
      </w:r>
    </w:p>
    <w:p w14:paraId="76956459">
      <w:pPr>
        <w:rPr>
          <w:rFonts w:hint="eastAsia" w:ascii="华文仿宋" w:hAnsi="华文仿宋" w:eastAsia="华文仿宋"/>
          <w:sz w:val="28"/>
          <w:szCs w:val="28"/>
        </w:rPr>
      </w:pPr>
      <w:r>
        <w:rPr>
          <w:rFonts w:hint="eastAsia" w:ascii="华文仿宋" w:hAnsi="华文仿宋" w:eastAsia="华文仿宋"/>
          <w:sz w:val="28"/>
          <w:szCs w:val="28"/>
        </w:rPr>
        <w:t>启动 openGauss 数据库服务后，使用 gsql 工具连接数据库。成功连接后，系统显示 openGauss 版本信息以及 postgres=# 提示符，说明数据库连接成功，可以正常执行 SQL 语句。</w:t>
      </w:r>
    </w:p>
    <w:p w14:paraId="43CA2D16">
      <w:pPr>
        <w:rPr>
          <w:rFonts w:hint="eastAsia" w:ascii="华文仿宋" w:hAnsi="华文仿宋" w:eastAsia="华文仿宋"/>
          <w:sz w:val="28"/>
          <w:szCs w:val="28"/>
        </w:rPr>
      </w:pPr>
      <w:r>
        <w:rPr>
          <w:rFonts w:hint="eastAsia" w:ascii="华文仿宋" w:hAnsi="华文仿宋" w:eastAsia="华文仿宋"/>
          <w:sz w:val="28"/>
          <w:szCs w:val="28"/>
        </w:rPr>
        <w:t>（1）创建部门表 dept</w:t>
      </w:r>
    </w:p>
    <w:p w14:paraId="378CC684">
      <w:pPr>
        <w:rPr>
          <w:rFonts w:hint="eastAsia" w:ascii="华文仿宋" w:hAnsi="华文仿宋" w:eastAsia="华文仿宋"/>
          <w:sz w:val="28"/>
          <w:szCs w:val="28"/>
        </w:rPr>
      </w:pPr>
      <w:r>
        <w:drawing>
          <wp:inline distT="0" distB="0" distL="114300" distR="114300">
            <wp:extent cx="3954780" cy="1739265"/>
            <wp:effectExtent l="0" t="0" r="762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954780" cy="1739265"/>
                    </a:xfrm>
                    <a:prstGeom prst="rect">
                      <a:avLst/>
                    </a:prstGeom>
                    <a:noFill/>
                    <a:ln>
                      <a:noFill/>
                    </a:ln>
                  </pic:spPr>
                </pic:pic>
              </a:graphicData>
            </a:graphic>
          </wp:inline>
        </w:drawing>
      </w:r>
    </w:p>
    <w:p w14:paraId="556EB83A">
      <w:pPr>
        <w:rPr>
          <w:rFonts w:hint="eastAsia" w:ascii="华文仿宋" w:hAnsi="华文仿宋" w:eastAsia="华文仿宋"/>
          <w:sz w:val="28"/>
          <w:szCs w:val="28"/>
        </w:rPr>
      </w:pPr>
      <w:r>
        <w:rPr>
          <w:rFonts w:hint="eastAsia" w:ascii="华文仿宋" w:hAnsi="华文仿宋" w:eastAsia="华文仿宋"/>
          <w:sz w:val="28"/>
          <w:szCs w:val="28"/>
        </w:rPr>
        <w:t>创建部门表 dept，其中 deptno 作为主键，deptname 设置为非空字段。通过 \d dept 查看表结构，可以看到系统已经自动为主键创建索引，说明表结构创建成功。</w:t>
      </w:r>
    </w:p>
    <w:p w14:paraId="1AC6700A">
      <w:pPr>
        <w:rPr>
          <w:rFonts w:hint="eastAsia" w:ascii="华文仿宋" w:hAnsi="华文仿宋" w:eastAsia="华文仿宋"/>
          <w:sz w:val="28"/>
          <w:szCs w:val="28"/>
        </w:rPr>
      </w:pPr>
      <w:r>
        <w:rPr>
          <w:rFonts w:hint="eastAsia" w:ascii="华文仿宋" w:hAnsi="华文仿宋" w:eastAsia="华文仿宋"/>
          <w:sz w:val="28"/>
          <w:szCs w:val="28"/>
        </w:rPr>
        <w:t>（2）创建 Teacher 表</w:t>
      </w:r>
    </w:p>
    <w:p w14:paraId="4EAEA88D">
      <w:pPr>
        <w:rPr>
          <w:rFonts w:hint="eastAsia" w:ascii="华文仿宋" w:hAnsi="华文仿宋" w:eastAsia="华文仿宋"/>
          <w:sz w:val="28"/>
          <w:szCs w:val="28"/>
        </w:rPr>
      </w:pPr>
      <w:r>
        <w:drawing>
          <wp:inline distT="0" distB="0" distL="114300" distR="114300">
            <wp:extent cx="3832225" cy="2637155"/>
            <wp:effectExtent l="0" t="0" r="635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3832225" cy="2637155"/>
                    </a:xfrm>
                    <a:prstGeom prst="rect">
                      <a:avLst/>
                    </a:prstGeom>
                    <a:noFill/>
                    <a:ln>
                      <a:noFill/>
                    </a:ln>
                  </pic:spPr>
                </pic:pic>
              </a:graphicData>
            </a:graphic>
          </wp:inline>
        </w:drawing>
      </w:r>
    </w:p>
    <w:p w14:paraId="62053B32">
      <w:pPr>
        <w:rPr>
          <w:rFonts w:hint="eastAsia" w:ascii="华文仿宋" w:hAnsi="华文仿宋" w:eastAsia="华文仿宋"/>
          <w:sz w:val="28"/>
          <w:szCs w:val="28"/>
        </w:rPr>
      </w:pPr>
      <w:r>
        <w:rPr>
          <w:rFonts w:hint="eastAsia" w:ascii="华文仿宋" w:hAnsi="华文仿宋" w:eastAsia="华文仿宋"/>
          <w:sz w:val="28"/>
          <w:szCs w:val="28"/>
        </w:rPr>
        <w:t>创建 Teacher 表，其中 ID 作为主键，job 设置为非空字段，Sal 用于存储工资信息，deptno 作为外键引用 dept 表中的 deptno 字段。通过 \d Teacher 查看表结构，可以观察到外键约束 fk_teacher_dept 已成功建立。</w:t>
      </w:r>
    </w:p>
    <w:p w14:paraId="332B51B5">
      <w:pPr>
        <w:rPr>
          <w:rFonts w:hint="eastAsia" w:ascii="华文仿宋" w:hAnsi="华文仿宋" w:eastAsia="华文仿宋"/>
          <w:sz w:val="28"/>
          <w:szCs w:val="28"/>
        </w:rPr>
      </w:pPr>
      <w:r>
        <w:rPr>
          <w:rFonts w:hint="eastAsia" w:ascii="华文仿宋" w:hAnsi="华文仿宋" w:eastAsia="华文仿宋"/>
          <w:sz w:val="28"/>
          <w:szCs w:val="28"/>
        </w:rPr>
        <w:t>（3）插入 dept 表与 Teacher 表实验数据</w:t>
      </w:r>
    </w:p>
    <w:p w14:paraId="508F91C7">
      <w:pPr>
        <w:rPr>
          <w:rFonts w:hint="eastAsia" w:ascii="华文仿宋" w:hAnsi="华文仿宋" w:eastAsia="华文仿宋"/>
          <w:sz w:val="28"/>
          <w:szCs w:val="28"/>
        </w:rPr>
      </w:pPr>
      <w:r>
        <w:drawing>
          <wp:inline distT="0" distB="0" distL="114300" distR="114300">
            <wp:extent cx="3808095" cy="3715385"/>
            <wp:effectExtent l="0" t="0" r="190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3808095" cy="3715385"/>
                    </a:xfrm>
                    <a:prstGeom prst="rect">
                      <a:avLst/>
                    </a:prstGeom>
                    <a:noFill/>
                    <a:ln>
                      <a:noFill/>
                    </a:ln>
                  </pic:spPr>
                </pic:pic>
              </a:graphicData>
            </a:graphic>
          </wp:inline>
        </w:drawing>
      </w:r>
    </w:p>
    <w:p w14:paraId="5ABDA79D">
      <w:pPr>
        <w:rPr>
          <w:rFonts w:hint="eastAsia" w:ascii="华文仿宋" w:hAnsi="华文仿宋" w:eastAsia="华文仿宋"/>
          <w:sz w:val="28"/>
          <w:szCs w:val="28"/>
        </w:rPr>
      </w:pPr>
      <w:r>
        <w:rPr>
          <w:rFonts w:hint="eastAsia" w:ascii="华文仿宋" w:hAnsi="华文仿宋" w:eastAsia="华文仿宋"/>
          <w:sz w:val="28"/>
          <w:szCs w:val="28"/>
        </w:rPr>
        <w:t>向 dept 表中插入三个部门数据，分别为 CS、SW 与 MA。随后向 Teacher 表中插入教师实验数据，包括教授、副教授和助理教授等信息。通过 SELECT 查询结果验证数据已经成功写入数据库。</w:t>
      </w:r>
    </w:p>
    <w:p w14:paraId="59DD292A">
      <w:pPr>
        <w:rPr>
          <w:rFonts w:hint="eastAsia" w:ascii="华文仿宋" w:hAnsi="华文仿宋" w:eastAsia="华文仿宋"/>
          <w:sz w:val="28"/>
          <w:szCs w:val="28"/>
        </w:rPr>
      </w:pPr>
      <w:r>
        <w:rPr>
          <w:rFonts w:hint="eastAsia" w:ascii="华文仿宋" w:hAnsi="华文仿宋" w:eastAsia="华文仿宋"/>
          <w:sz w:val="28"/>
          <w:szCs w:val="28"/>
        </w:rPr>
        <w:t>（4）创建 BEFORE 行级触发器 INSERT_OR_UPDATE_SAL</w:t>
      </w:r>
    </w:p>
    <w:p w14:paraId="32AF6E11">
      <w:pPr>
        <w:rPr>
          <w:rFonts w:hint="eastAsia" w:ascii="华文仿宋" w:hAnsi="华文仿宋" w:eastAsia="华文仿宋"/>
          <w:sz w:val="28"/>
          <w:szCs w:val="28"/>
        </w:rPr>
      </w:pPr>
      <w:r>
        <w:drawing>
          <wp:inline distT="0" distB="0" distL="114300" distR="114300">
            <wp:extent cx="3920490" cy="2676525"/>
            <wp:effectExtent l="0" t="0" r="381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3920490" cy="2676525"/>
                    </a:xfrm>
                    <a:prstGeom prst="rect">
                      <a:avLst/>
                    </a:prstGeom>
                    <a:noFill/>
                    <a:ln>
                      <a:noFill/>
                    </a:ln>
                  </pic:spPr>
                </pic:pic>
              </a:graphicData>
            </a:graphic>
          </wp:inline>
        </w:drawing>
      </w:r>
    </w:p>
    <w:p w14:paraId="61621609">
      <w:pPr>
        <w:rPr>
          <w:rFonts w:hint="eastAsia" w:ascii="华文仿宋" w:hAnsi="华文仿宋" w:eastAsia="华文仿宋"/>
          <w:sz w:val="28"/>
          <w:szCs w:val="28"/>
        </w:rPr>
      </w:pPr>
      <w:r>
        <w:rPr>
          <w:rFonts w:hint="eastAsia" w:ascii="华文仿宋" w:hAnsi="华文仿宋" w:eastAsia="华文仿宋"/>
          <w:sz w:val="28"/>
          <w:szCs w:val="28"/>
        </w:rPr>
        <w:t>创建触发器函数 check_sal_func()，在插入或更新 Teacher 表数据时，对教授的工资进行检查。当教授工资低于 4000 时，自动将工资修改为 4000。随后创建 BEFORE INSERT OR UPDATE 行级触发器 INSERT_OR_UPDATE_SAL，并绑定到 Teacher 表。</w:t>
      </w:r>
    </w:p>
    <w:p w14:paraId="36984726">
      <w:pPr>
        <w:rPr>
          <w:rFonts w:hint="eastAsia" w:ascii="华文仿宋" w:hAnsi="华文仿宋" w:eastAsia="华文仿宋"/>
          <w:sz w:val="28"/>
          <w:szCs w:val="28"/>
        </w:rPr>
      </w:pPr>
      <w:r>
        <w:rPr>
          <w:rFonts w:hint="eastAsia" w:ascii="华文仿宋" w:hAnsi="华文仿宋" w:eastAsia="华文仿宋"/>
          <w:sz w:val="28"/>
          <w:szCs w:val="28"/>
        </w:rPr>
        <w:t>（5）验证 INSERT_OR_UPDATE_SAL 触发器功能</w:t>
      </w:r>
    </w:p>
    <w:p w14:paraId="5A5A8861">
      <w:pPr>
        <w:rPr>
          <w:rFonts w:hint="eastAsia" w:ascii="华文仿宋" w:hAnsi="华文仿宋" w:eastAsia="华文仿宋"/>
          <w:sz w:val="28"/>
          <w:szCs w:val="28"/>
        </w:rPr>
      </w:pPr>
      <w:r>
        <w:drawing>
          <wp:inline distT="0" distB="0" distL="114300" distR="114300">
            <wp:extent cx="3145155" cy="4675505"/>
            <wp:effectExtent l="0" t="0" r="7620" b="127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3145155" cy="4675505"/>
                    </a:xfrm>
                    <a:prstGeom prst="rect">
                      <a:avLst/>
                    </a:prstGeom>
                    <a:noFill/>
                    <a:ln>
                      <a:noFill/>
                    </a:ln>
                  </pic:spPr>
                </pic:pic>
              </a:graphicData>
            </a:graphic>
          </wp:inline>
        </w:drawing>
      </w:r>
    </w:p>
    <w:p w14:paraId="13FADCE3">
      <w:pPr>
        <w:rPr>
          <w:rFonts w:hint="eastAsia" w:ascii="华文仿宋" w:hAnsi="华文仿宋" w:eastAsia="华文仿宋"/>
          <w:sz w:val="28"/>
          <w:szCs w:val="28"/>
        </w:rPr>
      </w:pPr>
      <w:r>
        <w:rPr>
          <w:rFonts w:hint="eastAsia" w:ascii="华文仿宋" w:hAnsi="华文仿宋" w:eastAsia="华文仿宋"/>
          <w:sz w:val="28"/>
          <w:szCs w:val="28"/>
        </w:rPr>
        <w:t>向 Teacher 表中插入工资低于 4000 的教授数据，并对已有教授记录进行工资更新操作。通过查询 Teacher 表发现，所有教授工资均被自动调整为 4000，说明 BEFORE 行级触发器已经正确执行。</w:t>
      </w:r>
    </w:p>
    <w:p w14:paraId="3A25093A">
      <w:pPr>
        <w:rPr>
          <w:rFonts w:hint="eastAsia" w:ascii="华文仿宋" w:hAnsi="华文仿宋" w:eastAsia="华文仿宋"/>
          <w:sz w:val="28"/>
          <w:szCs w:val="28"/>
        </w:rPr>
      </w:pPr>
      <w:r>
        <w:rPr>
          <w:rFonts w:hint="eastAsia" w:ascii="华文仿宋" w:hAnsi="华文仿宋" w:eastAsia="华文仿宋"/>
          <w:sz w:val="28"/>
          <w:szCs w:val="28"/>
        </w:rPr>
        <w:t>（6）查看触发器名称与代码</w:t>
      </w:r>
    </w:p>
    <w:p w14:paraId="369FB397">
      <w:pPr>
        <w:rPr>
          <w:rFonts w:hint="eastAsia" w:ascii="华文仿宋" w:hAnsi="华文仿宋" w:eastAsia="华文仿宋"/>
          <w:sz w:val="28"/>
          <w:szCs w:val="28"/>
        </w:rPr>
      </w:pPr>
      <w:r>
        <w:drawing>
          <wp:inline distT="0" distB="0" distL="114300" distR="114300">
            <wp:extent cx="3479165" cy="3224530"/>
            <wp:effectExtent l="0" t="0" r="6985" b="444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3479165" cy="3224530"/>
                    </a:xfrm>
                    <a:prstGeom prst="rect">
                      <a:avLst/>
                    </a:prstGeom>
                    <a:noFill/>
                    <a:ln>
                      <a:noFill/>
                    </a:ln>
                  </pic:spPr>
                </pic:pic>
              </a:graphicData>
            </a:graphic>
          </wp:inline>
        </w:drawing>
      </w:r>
    </w:p>
    <w:p w14:paraId="508BCFA1">
      <w:pPr>
        <w:rPr>
          <w:rFonts w:hint="eastAsia" w:ascii="华文仿宋" w:hAnsi="华文仿宋" w:eastAsia="华文仿宋"/>
          <w:sz w:val="28"/>
          <w:szCs w:val="28"/>
        </w:rPr>
      </w:pPr>
      <w:r>
        <w:rPr>
          <w:rFonts w:hint="eastAsia" w:ascii="华文仿宋" w:hAnsi="华文仿宋" w:eastAsia="华文仿宋"/>
          <w:sz w:val="28"/>
          <w:szCs w:val="28"/>
        </w:rPr>
        <w:t>通过查询 pg_trigger 系统表查看 Teacher 表上的触发器名称，通过查询 pg_proc 系统表查看触发器函数源码。实验结果表明，触发器 insert_or_update_sal 与触发器函数 check_sal_func() 均已经正确创建。</w:t>
      </w:r>
    </w:p>
    <w:p w14:paraId="0A44F3AE">
      <w:pPr>
        <w:rPr>
          <w:rFonts w:hint="eastAsia" w:ascii="华文仿宋" w:hAnsi="华文仿宋" w:eastAsia="华文仿宋"/>
          <w:sz w:val="28"/>
          <w:szCs w:val="28"/>
        </w:rPr>
      </w:pPr>
      <w:r>
        <w:rPr>
          <w:rFonts w:hint="eastAsia" w:ascii="华文仿宋" w:hAnsi="华文仿宋" w:eastAsia="华文仿宋"/>
          <w:sz w:val="28"/>
          <w:szCs w:val="28"/>
        </w:rPr>
        <w:t>（7）设计触发器实现外码级联删除与字段置空</w:t>
      </w:r>
    </w:p>
    <w:p w14:paraId="5D502FCA">
      <w:r>
        <w:drawing>
          <wp:inline distT="0" distB="0" distL="114300" distR="114300">
            <wp:extent cx="3922395" cy="1706880"/>
            <wp:effectExtent l="0" t="0" r="1905" b="762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5"/>
                    <a:stretch>
                      <a:fillRect/>
                    </a:stretch>
                  </pic:blipFill>
                  <pic:spPr>
                    <a:xfrm>
                      <a:off x="0" y="0"/>
                      <a:ext cx="3922395" cy="1706880"/>
                    </a:xfrm>
                    <a:prstGeom prst="rect">
                      <a:avLst/>
                    </a:prstGeom>
                    <a:noFill/>
                    <a:ln>
                      <a:noFill/>
                    </a:ln>
                  </pic:spPr>
                </pic:pic>
              </a:graphicData>
            </a:graphic>
          </wp:inline>
        </w:drawing>
      </w:r>
    </w:p>
    <w:p w14:paraId="10DDCCBC">
      <w:r>
        <w:drawing>
          <wp:inline distT="0" distB="0" distL="114300" distR="114300">
            <wp:extent cx="3894455" cy="3183890"/>
            <wp:effectExtent l="0" t="0" r="1270" b="698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3894455" cy="3183890"/>
                    </a:xfrm>
                    <a:prstGeom prst="rect">
                      <a:avLst/>
                    </a:prstGeom>
                    <a:noFill/>
                    <a:ln>
                      <a:noFill/>
                    </a:ln>
                  </pic:spPr>
                </pic:pic>
              </a:graphicData>
            </a:graphic>
          </wp:inline>
        </w:drawing>
      </w:r>
    </w:p>
    <w:p w14:paraId="01795821">
      <w:pPr>
        <w:rPr>
          <w:rFonts w:hint="eastAsia"/>
        </w:rPr>
      </w:pPr>
      <w:r>
        <w:drawing>
          <wp:inline distT="0" distB="0" distL="114300" distR="114300">
            <wp:extent cx="3651885" cy="2984500"/>
            <wp:effectExtent l="0" t="0" r="5715" b="635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7"/>
                    <a:stretch>
                      <a:fillRect/>
                    </a:stretch>
                  </pic:blipFill>
                  <pic:spPr>
                    <a:xfrm>
                      <a:off x="0" y="0"/>
                      <a:ext cx="3651885" cy="2984500"/>
                    </a:xfrm>
                    <a:prstGeom prst="rect">
                      <a:avLst/>
                    </a:prstGeom>
                    <a:noFill/>
                    <a:ln>
                      <a:noFill/>
                    </a:ln>
                  </pic:spPr>
                </pic:pic>
              </a:graphicData>
            </a:graphic>
          </wp:inline>
        </w:drawing>
      </w:r>
    </w:p>
    <w:p w14:paraId="13B6B388">
      <w:pPr>
        <w:rPr>
          <w:rFonts w:hint="eastAsia" w:ascii="华文仿宋" w:hAnsi="华文仿宋" w:eastAsia="华文仿宋"/>
          <w:sz w:val="28"/>
          <w:szCs w:val="28"/>
        </w:rPr>
      </w:pPr>
      <w:r>
        <w:drawing>
          <wp:inline distT="0" distB="0" distL="114300" distR="114300">
            <wp:extent cx="3119120" cy="3297555"/>
            <wp:effectExtent l="0" t="0" r="5080" b="762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8"/>
                    <a:stretch>
                      <a:fillRect/>
                    </a:stretch>
                  </pic:blipFill>
                  <pic:spPr>
                    <a:xfrm>
                      <a:off x="0" y="0"/>
                      <a:ext cx="3119120" cy="3297555"/>
                    </a:xfrm>
                    <a:prstGeom prst="rect">
                      <a:avLst/>
                    </a:prstGeom>
                    <a:noFill/>
                    <a:ln>
                      <a:noFill/>
                    </a:ln>
                  </pic:spPr>
                </pic:pic>
              </a:graphicData>
            </a:graphic>
          </wp:inline>
        </w:drawing>
      </w:r>
    </w:p>
    <w:p w14:paraId="26A836C4">
      <w:pPr>
        <w:rPr>
          <w:rFonts w:hint="eastAsia" w:ascii="华文仿宋" w:hAnsi="华文仿宋" w:eastAsia="华文仿宋"/>
          <w:sz w:val="28"/>
          <w:szCs w:val="28"/>
        </w:rPr>
      </w:pPr>
      <w:r>
        <w:rPr>
          <w:rFonts w:hint="eastAsia" w:ascii="华文仿宋" w:hAnsi="华文仿宋" w:eastAsia="华文仿宋"/>
          <w:sz w:val="28"/>
          <w:szCs w:val="28"/>
        </w:rPr>
        <w:t>首先删除 Teacher 表原有的外键约束，然后设计 AFTER DELETE 触发器 delete_teacher_trigger，实现删除部门记录时自动级联删除对应教师信息。随后重新设计 AFTER DELETE 触发器 set_null_teacher_trigger，在删除部门记录后自动将对应教师记录中的 deptno 字段置为空值。通过实验结果可以观察到两种不同触发器策略对数据维护产生的效果。</w:t>
      </w:r>
    </w:p>
    <w:p w14:paraId="74F46C9C">
      <w:pPr>
        <w:rPr>
          <w:rFonts w:hint="eastAsia" w:ascii="华文仿宋" w:hAnsi="华文仿宋" w:eastAsia="华文仿宋"/>
          <w:sz w:val="28"/>
          <w:szCs w:val="28"/>
        </w:rPr>
      </w:pPr>
      <w:r>
        <w:rPr>
          <w:rFonts w:hint="eastAsia" w:ascii="华文仿宋" w:hAnsi="华文仿宋" w:eastAsia="华文仿宋"/>
          <w:sz w:val="28"/>
          <w:szCs w:val="28"/>
        </w:rPr>
        <w:t>（8）创建 SC 表、SC_U 表并实现审计日志触发器 tri_update_sc</w:t>
      </w:r>
    </w:p>
    <w:p w14:paraId="6790C790">
      <w:pPr>
        <w:rPr>
          <w:rFonts w:hint="eastAsia" w:ascii="华文仿宋" w:hAnsi="华文仿宋" w:eastAsia="华文仿宋"/>
          <w:sz w:val="28"/>
          <w:szCs w:val="28"/>
        </w:rPr>
      </w:pPr>
      <w:r>
        <w:drawing>
          <wp:inline distT="0" distB="0" distL="114300" distR="114300">
            <wp:extent cx="3186430" cy="4033520"/>
            <wp:effectExtent l="0" t="0" r="4445" b="508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9"/>
                    <a:stretch>
                      <a:fillRect/>
                    </a:stretch>
                  </pic:blipFill>
                  <pic:spPr>
                    <a:xfrm>
                      <a:off x="0" y="0"/>
                      <a:ext cx="3186430" cy="4033520"/>
                    </a:xfrm>
                    <a:prstGeom prst="rect">
                      <a:avLst/>
                    </a:prstGeom>
                    <a:noFill/>
                    <a:ln>
                      <a:noFill/>
                    </a:ln>
                  </pic:spPr>
                </pic:pic>
              </a:graphicData>
            </a:graphic>
          </wp:inline>
        </w:drawing>
      </w:r>
    </w:p>
    <w:p w14:paraId="0F77120A">
      <w:pPr>
        <w:rPr>
          <w:rFonts w:hint="eastAsia" w:ascii="华文仿宋" w:hAnsi="华文仿宋" w:eastAsia="华文仿宋"/>
          <w:sz w:val="28"/>
          <w:szCs w:val="28"/>
        </w:rPr>
      </w:pPr>
      <w:r>
        <w:drawing>
          <wp:inline distT="0" distB="0" distL="114300" distR="114300">
            <wp:extent cx="3154045" cy="2023745"/>
            <wp:effectExtent l="0" t="0" r="8255" b="508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0"/>
                    <a:stretch>
                      <a:fillRect/>
                    </a:stretch>
                  </pic:blipFill>
                  <pic:spPr>
                    <a:xfrm>
                      <a:off x="0" y="0"/>
                      <a:ext cx="3154045" cy="2023745"/>
                    </a:xfrm>
                    <a:prstGeom prst="rect">
                      <a:avLst/>
                    </a:prstGeom>
                    <a:noFill/>
                    <a:ln>
                      <a:noFill/>
                    </a:ln>
                  </pic:spPr>
                </pic:pic>
              </a:graphicData>
            </a:graphic>
          </wp:inline>
        </w:drawing>
      </w:r>
    </w:p>
    <w:p w14:paraId="09B990D7">
      <w:pPr>
        <w:rPr>
          <w:rFonts w:hint="eastAsia" w:ascii="华文仿宋" w:hAnsi="华文仿宋" w:eastAsia="华文仿宋"/>
          <w:sz w:val="28"/>
          <w:szCs w:val="28"/>
        </w:rPr>
      </w:pPr>
      <w:r>
        <w:rPr>
          <w:rFonts w:hint="eastAsia" w:ascii="华文仿宋" w:hAnsi="华文仿宋" w:eastAsia="华文仿宋"/>
          <w:sz w:val="28"/>
          <w:szCs w:val="28"/>
        </w:rPr>
        <w:t>创建成绩表 SC 与日志表 SC_U，其中 SC 表用于保存学生成绩信息，SC_U 表用于记录成绩修改日志。随后创建 AFTER UPDATE 行级触发器 tri_update_sc，当学生成绩增长达到原成绩的 10% 及以上时，自动将修改前后的成绩写入日志表 SC_U。实验结果表明，仅满足条件的数据会被记录到日志表中。</w:t>
      </w:r>
    </w:p>
    <w:p w14:paraId="474AC858">
      <w:r>
        <w:rPr>
          <w:rFonts w:hint="eastAsia" w:ascii="华文仿宋" w:hAnsi="华文仿宋" w:eastAsia="华文仿宋"/>
          <w:sz w:val="28"/>
          <w:szCs w:val="28"/>
        </w:rPr>
        <w:t>（9）将触发器 tri_update_sc 改名为 update_sc_tri</w:t>
      </w:r>
    </w:p>
    <w:p w14:paraId="68288745">
      <w:pPr>
        <w:rPr>
          <w:rFonts w:hint="eastAsia"/>
        </w:rPr>
      </w:pPr>
      <w:r>
        <w:drawing>
          <wp:inline distT="0" distB="0" distL="114300" distR="114300">
            <wp:extent cx="2328545" cy="1343660"/>
            <wp:effectExtent l="0" t="0" r="5080" b="889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1"/>
                    <a:stretch>
                      <a:fillRect/>
                    </a:stretch>
                  </pic:blipFill>
                  <pic:spPr>
                    <a:xfrm>
                      <a:off x="0" y="0"/>
                      <a:ext cx="2328545" cy="1343660"/>
                    </a:xfrm>
                    <a:prstGeom prst="rect">
                      <a:avLst/>
                    </a:prstGeom>
                    <a:noFill/>
                    <a:ln>
                      <a:noFill/>
                    </a:ln>
                  </pic:spPr>
                </pic:pic>
              </a:graphicData>
            </a:graphic>
          </wp:inline>
        </w:drawing>
      </w:r>
    </w:p>
    <w:p w14:paraId="0AC29B13">
      <w:pPr>
        <w:rPr>
          <w:rFonts w:hint="eastAsia" w:ascii="华文仿宋" w:hAnsi="华文仿宋" w:eastAsia="华文仿宋"/>
          <w:sz w:val="28"/>
          <w:szCs w:val="28"/>
        </w:rPr>
      </w:pPr>
      <w:r>
        <w:rPr>
          <w:rFonts w:hint="eastAsia" w:ascii="华文仿宋" w:hAnsi="华文仿宋" w:eastAsia="华文仿宋"/>
          <w:sz w:val="28"/>
          <w:szCs w:val="28"/>
        </w:rPr>
        <w:t>使用 ALTER TRIGGER 语句将 tri_update_sc 重命名为 update_sc_tri。随后通过查询 pg_trigger 系统表验证触发器名称已经成功修改。</w:t>
      </w:r>
    </w:p>
    <w:p w14:paraId="4EB00846">
      <w:pPr>
        <w:rPr>
          <w:rFonts w:hint="eastAsia" w:ascii="华文仿宋" w:hAnsi="华文仿宋" w:eastAsia="华文仿宋"/>
          <w:sz w:val="28"/>
          <w:szCs w:val="28"/>
        </w:rPr>
      </w:pPr>
      <w:r>
        <w:rPr>
          <w:rFonts w:hint="eastAsia" w:ascii="华文仿宋" w:hAnsi="华文仿宋" w:eastAsia="华文仿宋"/>
          <w:sz w:val="28"/>
          <w:szCs w:val="28"/>
        </w:rPr>
        <w:t>（10）验证触发器禁用后的效果</w:t>
      </w:r>
    </w:p>
    <w:p w14:paraId="606AACE9">
      <w:r>
        <w:drawing>
          <wp:inline distT="0" distB="0" distL="114300" distR="114300">
            <wp:extent cx="2062480" cy="3378200"/>
            <wp:effectExtent l="0" t="0" r="4445" b="317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2"/>
                    <a:stretch>
                      <a:fillRect/>
                    </a:stretch>
                  </pic:blipFill>
                  <pic:spPr>
                    <a:xfrm>
                      <a:off x="0" y="0"/>
                      <a:ext cx="2062480" cy="3378200"/>
                    </a:xfrm>
                    <a:prstGeom prst="rect">
                      <a:avLst/>
                    </a:prstGeom>
                    <a:noFill/>
                    <a:ln>
                      <a:noFill/>
                    </a:ln>
                  </pic:spPr>
                </pic:pic>
              </a:graphicData>
            </a:graphic>
          </wp:inline>
        </w:drawing>
      </w:r>
    </w:p>
    <w:p w14:paraId="0F469FDF">
      <w:pPr>
        <w:rPr>
          <w:rFonts w:hint="eastAsia"/>
        </w:rPr>
      </w:pPr>
      <w:r>
        <w:drawing>
          <wp:inline distT="0" distB="0" distL="114300" distR="114300">
            <wp:extent cx="2012315" cy="789940"/>
            <wp:effectExtent l="0" t="0" r="6985" b="63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3"/>
                    <a:stretch>
                      <a:fillRect/>
                    </a:stretch>
                  </pic:blipFill>
                  <pic:spPr>
                    <a:xfrm>
                      <a:off x="0" y="0"/>
                      <a:ext cx="2012315" cy="789940"/>
                    </a:xfrm>
                    <a:prstGeom prst="rect">
                      <a:avLst/>
                    </a:prstGeom>
                    <a:noFill/>
                    <a:ln>
                      <a:noFill/>
                    </a:ln>
                  </pic:spPr>
                </pic:pic>
              </a:graphicData>
            </a:graphic>
          </wp:inline>
        </w:drawing>
      </w:r>
    </w:p>
    <w:p w14:paraId="74F81231">
      <w:pPr>
        <w:rPr>
          <w:rFonts w:hint="eastAsia" w:ascii="华文仿宋" w:hAnsi="华文仿宋" w:eastAsia="华文仿宋"/>
          <w:sz w:val="28"/>
          <w:szCs w:val="28"/>
        </w:rPr>
      </w:pPr>
      <w:r>
        <w:rPr>
          <w:rFonts w:hint="eastAsia" w:ascii="华文仿宋" w:hAnsi="华文仿宋" w:eastAsia="华文仿宋"/>
          <w:sz w:val="28"/>
          <w:szCs w:val="28"/>
        </w:rPr>
        <w:t>首先清空日志表 SC_U，并恢复 SC 表中的实验数据。随后使用 ALTER TABLE ... DISABLE TRIGGER 语句禁用 update_sc_tri 触发器。再次执行成绩更新操作后，虽然成绩数据已经成功修改，但日志表 SC_U 中未产生任何记录，说明触发器已经被成功禁用。</w:t>
      </w:r>
    </w:p>
    <w:p w14:paraId="4BE3E0C7">
      <w:pPr>
        <w:numPr>
          <w:ilvl w:val="0"/>
          <w:numId w:val="3"/>
        </w:numPr>
        <w:rPr>
          <w:rFonts w:hint="eastAsia" w:ascii="华文仿宋" w:hAnsi="华文仿宋" w:eastAsia="华文仿宋"/>
          <w:sz w:val="28"/>
          <w:szCs w:val="28"/>
        </w:rPr>
      </w:pPr>
      <w:r>
        <w:rPr>
          <w:rFonts w:hint="eastAsia" w:ascii="华文仿宋" w:hAnsi="华文仿宋" w:eastAsia="华文仿宋"/>
          <w:sz w:val="28"/>
          <w:szCs w:val="28"/>
        </w:rPr>
        <w:t>删除实验中创建的所有触发器</w:t>
      </w:r>
    </w:p>
    <w:p w14:paraId="623CB2DF">
      <w:pPr>
        <w:widowControl w:val="0"/>
        <w:numPr>
          <w:ilvl w:val="0"/>
          <w:numId w:val="0"/>
        </w:numPr>
        <w:jc w:val="both"/>
        <w:rPr>
          <w:rFonts w:hint="eastAsia" w:ascii="华文仿宋" w:hAnsi="华文仿宋" w:eastAsia="华文仿宋"/>
          <w:sz w:val="28"/>
          <w:szCs w:val="28"/>
        </w:rPr>
      </w:pPr>
      <w:r>
        <w:drawing>
          <wp:inline distT="0" distB="0" distL="114300" distR="114300">
            <wp:extent cx="2917190" cy="1058545"/>
            <wp:effectExtent l="0" t="0" r="6985" b="825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4"/>
                    <a:stretch>
                      <a:fillRect/>
                    </a:stretch>
                  </pic:blipFill>
                  <pic:spPr>
                    <a:xfrm>
                      <a:off x="0" y="0"/>
                      <a:ext cx="2917190" cy="1058545"/>
                    </a:xfrm>
                    <a:prstGeom prst="rect">
                      <a:avLst/>
                    </a:prstGeom>
                    <a:noFill/>
                    <a:ln>
                      <a:noFill/>
                    </a:ln>
                  </pic:spPr>
                </pic:pic>
              </a:graphicData>
            </a:graphic>
          </wp:inline>
        </w:drawing>
      </w:r>
    </w:p>
    <w:p w14:paraId="62EFC36A">
      <w:pPr>
        <w:rPr>
          <w:rFonts w:hint="eastAsia" w:ascii="华文仿宋" w:hAnsi="华文仿宋" w:eastAsia="华文仿宋"/>
          <w:sz w:val="28"/>
          <w:szCs w:val="28"/>
        </w:rPr>
      </w:pPr>
      <w:r>
        <w:rPr>
          <w:rFonts w:hint="eastAsia" w:ascii="华文仿宋" w:hAnsi="华文仿宋" w:eastAsia="华文仿宋"/>
          <w:sz w:val="28"/>
          <w:szCs w:val="28"/>
        </w:rPr>
        <w:t>使用 DROP TRIGGER 语句依次删除 SC、Teacher 与 dept 表上的自定义触发器。最后通过查询 pg_trigger 系统表确认所有实验中创建的触发器均已被成功删除。</w:t>
      </w:r>
    </w:p>
    <w:p w14:paraId="1315540A">
      <w:pPr>
        <w:numPr>
          <w:ilvl w:val="0"/>
          <w:numId w:val="1"/>
        </w:numPr>
        <w:tabs>
          <w:tab w:val="left" w:pos="426"/>
          <w:tab w:val="clear" w:pos="720"/>
        </w:tabs>
        <w:ind w:left="284" w:hanging="284"/>
        <w:rPr>
          <w:rFonts w:ascii="微软雅黑" w:hAnsi="微软雅黑" w:eastAsia="微软雅黑"/>
          <w:sz w:val="30"/>
          <w:szCs w:val="30"/>
        </w:rPr>
      </w:pPr>
      <w:r>
        <w:rPr>
          <w:rFonts w:hint="eastAsia" w:ascii="微软雅黑" w:hAnsi="微软雅黑" w:eastAsia="微软雅黑"/>
          <w:sz w:val="30"/>
          <w:szCs w:val="30"/>
        </w:rPr>
        <w:t>实验总结</w:t>
      </w:r>
    </w:p>
    <w:p w14:paraId="66B06D60">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.1 </w:t>
      </w:r>
      <w:r>
        <w:rPr>
          <w:rFonts w:hint="eastAsia" w:ascii="微软雅黑" w:hAnsi="微软雅黑" w:eastAsia="微软雅黑"/>
          <w:sz w:val="30"/>
          <w:szCs w:val="30"/>
        </w:rPr>
        <w:t>完成的工作</w:t>
      </w:r>
    </w:p>
    <w:p w14:paraId="4618C105">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（1）完成 openGauss 数据库连接与实验环境配置。</w:t>
      </w:r>
    </w:p>
    <w:p w14:paraId="60C874BA">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（2）创建 dept、Teacher、SC 与 SC_U 等实验数据表，并完成主键、外键以及 CHECK 约束的设置。</w:t>
      </w:r>
    </w:p>
    <w:p w14:paraId="5745393D">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（3）完成 BEFORE 行级触发器 INSERT_OR_UPDATE_SAL 的设计，实现教授工资自动校验与修正功能。</w:t>
      </w:r>
    </w:p>
    <w:p w14:paraId="433B41CB">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（4）完成 AFTER DELETE 触发器设计，实现部门删除后的级联删除与字段置空两种维护策略。</w:t>
      </w:r>
    </w:p>
    <w:p w14:paraId="11BA8091">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（5）完成 AFTER UPDATE 审计日志触发器 tri_update_sc 的设计，实现成绩变化日志自动记录功能。</w:t>
      </w:r>
    </w:p>
    <w:p w14:paraId="7A2C859A">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（6）完成触发器的查看、重命名、禁用以及删除等操作，并验证触发器在不同状态下的执行效果。</w:t>
      </w:r>
    </w:p>
    <w:p w14:paraId="412F9B69">
      <w:pPr>
        <w:ind w:firstLine="560" w:firstLineChars="200"/>
        <w:rPr>
          <w:rFonts w:ascii="华文仿宋" w:hAnsi="华文仿宋" w:eastAsia="华文仿宋"/>
          <w:sz w:val="28"/>
          <w:szCs w:val="28"/>
        </w:rPr>
      </w:pPr>
      <w:r>
        <w:rPr>
          <w:rFonts w:hint="eastAsia" w:ascii="华文仿宋" w:hAnsi="华文仿宋" w:eastAsia="华文仿宋"/>
          <w:sz w:val="28"/>
          <w:szCs w:val="28"/>
        </w:rPr>
        <w:t>（7）掌握了 pg_trigger、pg_proc 等系统表的使用方法，并能够通过系统表查看触发器与触发器函数信息。</w:t>
      </w:r>
    </w:p>
    <w:p w14:paraId="6FBD16B5">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.2 </w:t>
      </w:r>
      <w:r>
        <w:rPr>
          <w:rFonts w:hint="eastAsia" w:ascii="微软雅黑" w:hAnsi="微软雅黑" w:eastAsia="微软雅黑"/>
          <w:sz w:val="30"/>
          <w:szCs w:val="30"/>
        </w:rPr>
        <w:t>对实验的认识</w:t>
      </w:r>
    </w:p>
    <w:p w14:paraId="0D8E5395">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通过本次实验，进一步理解了 openGauss 触发器的工作原理以及触发器在数据库系统中的重要作用。实验过程中分别实现了 BEFORE 与 AFTER 两种不同类型的触发器，并对行级触发器的执行机制有了更加深入的认识。</w:t>
      </w:r>
    </w:p>
    <w:p w14:paraId="50772DA3">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在实验中，利用触发器实现了工资自动修正、外码级联维护以及审计日志记录等功能，进一步理解了触发器在数据完整性维护、业务规则控制以及日志审计中的实际应用价值。同时，通过 NEW 与 OLD 伪记录的使用，掌握了触发器函数中对新旧数据进行访问的方法。</w:t>
      </w:r>
    </w:p>
    <w:p w14:paraId="434D79C8">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此外，通过对触发器进行查看、修改、禁用与删除等操作，也进一步熟悉了 openGauss 中触发器的完整管理流程，提高了数据库实际操作能力与问题分析能力。</w:t>
      </w:r>
    </w:p>
    <w:p w14:paraId="609D9C4C">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.3 </w:t>
      </w:r>
      <w:r>
        <w:rPr>
          <w:rFonts w:hint="eastAsia" w:ascii="微软雅黑" w:hAnsi="微软雅黑" w:eastAsia="微软雅黑"/>
          <w:sz w:val="30"/>
          <w:szCs w:val="30"/>
        </w:rPr>
        <w:t>遇到的困难及解决方法</w:t>
      </w:r>
    </w:p>
    <w:p w14:paraId="2826F98C">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实验过程中，主要遇到了外键约束与触发器逻辑冲突的问题。在删除 dept 表记录时，由于 Teacher 表中的 deptno 字段存在外键约束，直接删除会导致约束检查失败。通过删除原有外键约束，并重新设计 AFTER DELETE 触发器，实现了级联删除与字段置空两种不同的数据维护方式，成功解决了该问题。</w:t>
      </w:r>
      <w:bookmarkStart w:id="0" w:name="_GoBack"/>
      <w:bookmarkEnd w:id="0"/>
    </w:p>
    <w:p w14:paraId="3F5E11B8">
      <w:pPr>
        <w:ind w:firstLine="560" w:firstLineChars="200"/>
        <w:rPr>
          <w:rFonts w:ascii="微软雅黑" w:hAnsi="微软雅黑" w:eastAsia="微软雅黑"/>
          <w:sz w:val="30"/>
          <w:szCs w:val="30"/>
        </w:rPr>
      </w:pPr>
      <w:r>
        <w:rPr>
          <w:rFonts w:hint="eastAsia" w:ascii="华文仿宋" w:hAnsi="华文仿宋" w:eastAsia="华文仿宋"/>
          <w:sz w:val="28"/>
          <w:szCs w:val="28"/>
        </w:rPr>
        <w:t>此外，在实验过程中还出现了部分 UTF8 编码显示异常的问题，经重新输入 SQL 语句后恢复正常。通过不断调试与验证，最终完成了所有触发器功能的实现与测试。</w:t>
      </w:r>
    </w:p>
    <w:sectPr>
      <w:headerReference r:id="rId3" w:type="first"/>
      <w:footerReference r:id="rId4" w:type="default"/>
      <w:footerReference r:id="rId5" w:type="even"/>
      <w:pgSz w:w="11906" w:h="16838"/>
      <w:pgMar w:top="1440" w:right="1797" w:bottom="1440" w:left="1797"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8911617"/>
      <w:docPartObj>
        <w:docPartGallery w:val="autotext"/>
      </w:docPartObj>
    </w:sdtPr>
    <w:sdtContent>
      <w:p w14:paraId="633FCDEE">
        <w:pPr>
          <w:pStyle w:val="4"/>
          <w:jc w:val="center"/>
        </w:pPr>
        <w:r>
          <w:fldChar w:fldCharType="begin"/>
        </w:r>
        <w:r>
          <w:instrText xml:space="preserve">PAGE   \* MERGEFORMAT</w:instrText>
        </w:r>
        <w:r>
          <w:fldChar w:fldCharType="separate"/>
        </w:r>
        <w:r>
          <w:rPr>
            <w:lang w:val="zh-CN"/>
          </w:rPr>
          <w:t>2</w:t>
        </w:r>
        <w:r>
          <w:fldChar w:fldCharType="end"/>
        </w:r>
      </w:p>
    </w:sdtContent>
  </w:sdt>
  <w:p w14:paraId="39FB735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6814">
    <w:pPr>
      <w:pStyle w:val="4"/>
      <w:framePr w:wrap="around" w:vAnchor="text" w:hAnchor="margin" w:xAlign="center" w:y="1"/>
      <w:rPr>
        <w:rStyle w:val="9"/>
      </w:rPr>
    </w:pPr>
    <w:r>
      <w:fldChar w:fldCharType="begin"/>
    </w:r>
    <w:r>
      <w:rPr>
        <w:rStyle w:val="9"/>
      </w:rPr>
      <w:instrText xml:space="preserve">PAGE  </w:instrText>
    </w:r>
    <w:r>
      <w:fldChar w:fldCharType="end"/>
    </w:r>
  </w:p>
  <w:p w14:paraId="530DCA9D">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47068">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173F573"/>
    <w:multiLevelType w:val="singleLevel"/>
    <w:tmpl w:val="2173F573"/>
    <w:lvl w:ilvl="0" w:tentative="0">
      <w:start w:val="11"/>
      <w:numFmt w:val="decimal"/>
      <w:suff w:val="nothing"/>
      <w:lvlText w:val="（%1）"/>
      <w:lvlJc w:val="left"/>
    </w:lvl>
  </w:abstractNum>
  <w:abstractNum w:abstractNumId="2">
    <w:nsid w:val="6EE9292B"/>
    <w:multiLevelType w:val="multilevel"/>
    <w:tmpl w:val="6EE929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722"/>
    <w:rsid w:val="00041089"/>
    <w:rsid w:val="000972AE"/>
    <w:rsid w:val="000B3750"/>
    <w:rsid w:val="000B705A"/>
    <w:rsid w:val="000E6B0A"/>
    <w:rsid w:val="000F1B91"/>
    <w:rsid w:val="000F305A"/>
    <w:rsid w:val="000F6A9A"/>
    <w:rsid w:val="00144FAF"/>
    <w:rsid w:val="001B55A2"/>
    <w:rsid w:val="001C5BF6"/>
    <w:rsid w:val="0022195D"/>
    <w:rsid w:val="00232B6D"/>
    <w:rsid w:val="002461DF"/>
    <w:rsid w:val="002972D9"/>
    <w:rsid w:val="002F4651"/>
    <w:rsid w:val="00310F02"/>
    <w:rsid w:val="003516AE"/>
    <w:rsid w:val="003A348C"/>
    <w:rsid w:val="00443107"/>
    <w:rsid w:val="00452217"/>
    <w:rsid w:val="00452722"/>
    <w:rsid w:val="00491F3B"/>
    <w:rsid w:val="004923D5"/>
    <w:rsid w:val="0050500A"/>
    <w:rsid w:val="00525281"/>
    <w:rsid w:val="005530AB"/>
    <w:rsid w:val="005E4FC4"/>
    <w:rsid w:val="006133DF"/>
    <w:rsid w:val="00617B5C"/>
    <w:rsid w:val="00621EA8"/>
    <w:rsid w:val="00632A05"/>
    <w:rsid w:val="00645D9F"/>
    <w:rsid w:val="00677216"/>
    <w:rsid w:val="00693CE1"/>
    <w:rsid w:val="006D78FB"/>
    <w:rsid w:val="007A160D"/>
    <w:rsid w:val="007A7B29"/>
    <w:rsid w:val="007D51C1"/>
    <w:rsid w:val="007F1265"/>
    <w:rsid w:val="00823A4D"/>
    <w:rsid w:val="00843473"/>
    <w:rsid w:val="00872787"/>
    <w:rsid w:val="00885CC4"/>
    <w:rsid w:val="008A1F16"/>
    <w:rsid w:val="008E2B28"/>
    <w:rsid w:val="00926502"/>
    <w:rsid w:val="00964C0B"/>
    <w:rsid w:val="00985ED9"/>
    <w:rsid w:val="009C0828"/>
    <w:rsid w:val="00A10D31"/>
    <w:rsid w:val="00A5012C"/>
    <w:rsid w:val="00A71988"/>
    <w:rsid w:val="00A93EE1"/>
    <w:rsid w:val="00AE45A2"/>
    <w:rsid w:val="00B329A4"/>
    <w:rsid w:val="00B7712A"/>
    <w:rsid w:val="00B84480"/>
    <w:rsid w:val="00B8576F"/>
    <w:rsid w:val="00B90C9B"/>
    <w:rsid w:val="00BE0B9A"/>
    <w:rsid w:val="00C471BA"/>
    <w:rsid w:val="00C50226"/>
    <w:rsid w:val="00C51D2A"/>
    <w:rsid w:val="00C95180"/>
    <w:rsid w:val="00D164E0"/>
    <w:rsid w:val="00D21D2D"/>
    <w:rsid w:val="00D851EB"/>
    <w:rsid w:val="00D863F8"/>
    <w:rsid w:val="00D953BE"/>
    <w:rsid w:val="00DA4359"/>
    <w:rsid w:val="00DB734D"/>
    <w:rsid w:val="00DD0C9E"/>
    <w:rsid w:val="00DE441E"/>
    <w:rsid w:val="00DE650F"/>
    <w:rsid w:val="00E93131"/>
    <w:rsid w:val="00EC0711"/>
    <w:rsid w:val="00F8482D"/>
    <w:rsid w:val="00FC3314"/>
    <w:rsid w:val="00FD4E8B"/>
    <w:rsid w:val="03767EED"/>
    <w:rsid w:val="05EE64A2"/>
    <w:rsid w:val="06D6409E"/>
    <w:rsid w:val="07FD43F6"/>
    <w:rsid w:val="0EC16130"/>
    <w:rsid w:val="0F254C4E"/>
    <w:rsid w:val="15DD6E58"/>
    <w:rsid w:val="169F07F0"/>
    <w:rsid w:val="19AB6207"/>
    <w:rsid w:val="1C9A47BD"/>
    <w:rsid w:val="219315A3"/>
    <w:rsid w:val="21B527DE"/>
    <w:rsid w:val="226107F1"/>
    <w:rsid w:val="24704A9D"/>
    <w:rsid w:val="285B2363"/>
    <w:rsid w:val="2AA561F0"/>
    <w:rsid w:val="2D320FC1"/>
    <w:rsid w:val="2DE00D9A"/>
    <w:rsid w:val="2F5E7ADC"/>
    <w:rsid w:val="35F66912"/>
    <w:rsid w:val="3A902B10"/>
    <w:rsid w:val="3BD03286"/>
    <w:rsid w:val="3D1E5236"/>
    <w:rsid w:val="3D2C3719"/>
    <w:rsid w:val="41DE44D4"/>
    <w:rsid w:val="441C6393"/>
    <w:rsid w:val="443812B6"/>
    <w:rsid w:val="46D03D24"/>
    <w:rsid w:val="4773764F"/>
    <w:rsid w:val="4B956E05"/>
    <w:rsid w:val="4C02349A"/>
    <w:rsid w:val="4E1B241D"/>
    <w:rsid w:val="4FA20F1F"/>
    <w:rsid w:val="511B08B4"/>
    <w:rsid w:val="54FA6F7E"/>
    <w:rsid w:val="55735DDC"/>
    <w:rsid w:val="57D57F76"/>
    <w:rsid w:val="582C7CDE"/>
    <w:rsid w:val="65323396"/>
    <w:rsid w:val="67C45C55"/>
    <w:rsid w:val="67EA2859"/>
    <w:rsid w:val="68672CFF"/>
    <w:rsid w:val="68941085"/>
    <w:rsid w:val="69382960"/>
    <w:rsid w:val="6C045BBE"/>
    <w:rsid w:val="6C285B7D"/>
    <w:rsid w:val="6EB53CCB"/>
    <w:rsid w:val="6FC24913"/>
    <w:rsid w:val="72F26AF2"/>
    <w:rsid w:val="7B094167"/>
    <w:rsid w:val="7B204C45"/>
    <w:rsid w:val="7DF42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character" w:styleId="9">
    <w:name w:val="page number"/>
    <w:basedOn w:val="8"/>
    <w:qFormat/>
    <w:uiPriority w:val="0"/>
  </w:style>
  <w:style w:type="character" w:styleId="10">
    <w:name w:val="annotation reference"/>
    <w:basedOn w:val="8"/>
    <w:semiHidden/>
    <w:unhideWhenUsed/>
    <w:qFormat/>
    <w:uiPriority w:val="99"/>
    <w:rPr>
      <w:sz w:val="21"/>
      <w:szCs w:val="21"/>
    </w:r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页眉 Char"/>
    <w:qFormat/>
    <w:uiPriority w:val="0"/>
    <w:rPr>
      <w:kern w:val="2"/>
      <w:sz w:val="18"/>
      <w:szCs w:val="18"/>
    </w:rPr>
  </w:style>
  <w:style w:type="paragraph" w:styleId="14">
    <w:name w:val="List Paragraph"/>
    <w:basedOn w:val="1"/>
    <w:qFormat/>
    <w:uiPriority w:val="34"/>
    <w:pPr>
      <w:ind w:firstLine="420" w:firstLineChars="200"/>
    </w:pPr>
  </w:style>
  <w:style w:type="character" w:customStyle="1" w:styleId="15">
    <w:name w:val="批注文字 字符"/>
    <w:basedOn w:val="8"/>
    <w:link w:val="2"/>
    <w:semiHidden/>
    <w:qFormat/>
    <w:uiPriority w:val="99"/>
    <w:rPr>
      <w:rFonts w:ascii="Times New Roman" w:hAnsi="Times New Roman" w:eastAsia="宋体" w:cs="Times New Roman"/>
      <w:szCs w:val="20"/>
    </w:rPr>
  </w:style>
  <w:style w:type="character" w:customStyle="1" w:styleId="16">
    <w:name w:val="批注主题 字符"/>
    <w:basedOn w:val="15"/>
    <w:link w:val="6"/>
    <w:semiHidden/>
    <w:qFormat/>
    <w:uiPriority w:val="99"/>
    <w:rPr>
      <w:rFonts w:ascii="Times New Roman" w:hAnsi="Times New Roman" w:eastAsia="宋体" w:cs="Times New Roman"/>
      <w:b/>
      <w:bCs/>
      <w:szCs w:val="20"/>
    </w:rPr>
  </w:style>
  <w:style w:type="character" w:customStyle="1" w:styleId="17">
    <w:name w:val="批注框文本 字符"/>
    <w:basedOn w:val="8"/>
    <w:link w:val="3"/>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1424</Words>
  <Characters>2112</Characters>
  <Lines>2</Lines>
  <Paragraphs>1</Paragraphs>
  <TotalTime>3</TotalTime>
  <ScaleCrop>false</ScaleCrop>
  <LinksUpToDate>false</LinksUpToDate>
  <CharactersWithSpaces>2281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2021-04-08T07:52:00Z</dcterms:created>
  <dc:creator>wangm</dc:creator>
  <cp:lastModifiedBy>15710668700</cp:lastModifiedBy>
  <dcterms:modified xsi:type="dcterms:W3CDTF">2026-05-22T08:03:37Z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eyJoZGlkIjoiMTQ3MmQwYzlkNDYyZTVlMThlNTIwNzNjZDFjNDJiYmQiLCJ1c2VySWQiOiI5MjA0MjU3NzAifQ==</vt:lpwstr>
  </property>
  <property fmtid="{D5CDD505-2E9C-101B-9397-08002B2CF9AE}" pid="3" name="KSOProductBuildVer">
    <vt:lpwstr>2052-12.1.0.25865</vt:lpwstr>
  </property>
  <property fmtid="{D5CDD505-2E9C-101B-9397-08002B2CF9AE}" pid="4" name="ICV">
    <vt:lpwstr>07569CBAFD804FE4BE1CAFAE2E13C510_12</vt:lpwstr>
  </property>
</Properties>
</file>