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40"/>
      </w:pPr>
      <w:r>
        <w:rPr>
          <w:rFonts w:ascii="Calibri" w:cs="Calibri" w:eastAsia="Calibri" w:hAnsi="Calibri"/>
          <w:b/>
          <w:bCs/>
          <w:color w:val="1F2937"/>
          <w:sz w:val="32"/>
          <w:szCs w:val="32"/>
        </w:rPr>
        <w:t xml:space="preserve">Discussion Forum — Design Thinking Workshop</w:t>
      </w:r>
    </w:p>
    <w:p>
      <w:pPr>
        <w:spacing w:after="160" w:line="320"/>
      </w:pPr>
      <w:r>
        <w:rPr>
          <w:rFonts w:ascii="Calibri" w:cs="Calibri" w:eastAsia="Calibri" w:hAnsi="Calibri"/>
          <w:color w:val="64748B"/>
          <w:sz w:val="20"/>
          <w:szCs w:val="20"/>
        </w:rPr>
        <w:t xml:space="preserve">Posted by Victor Moronu  ·  May 13, 2026  ·  </w:t>
      </w:r>
      <w:r>
        <w:rPr>
          <w:rFonts w:ascii="Calibri" w:cs="Calibri" w:eastAsia="Calibri" w:hAnsi="Calibri"/>
          <w:i/>
          <w:iCs/>
          <w:color w:val="64748B"/>
          <w:sz w:val="20"/>
          <w:szCs w:val="20"/>
        </w:rPr>
        <w:t xml:space="preserve">Module 42 · Unit 3 · Activity 1</w:t>
      </w:r>
    </w:p>
    <w:p>
      <w:pPr>
        <w:pStyle w:val="Heading2"/>
        <w:spacing w:after="120" w:before="240"/>
      </w:pPr>
      <w:r>
        <w:rPr>
          <w:rFonts w:ascii="Calibri" w:cs="Calibri" w:eastAsia="Calibri" w:hAnsi="Calibri"/>
          <w:b/>
          <w:bCs/>
          <w:color w:val="4338CA"/>
          <w:sz w:val="26"/>
          <w:szCs w:val="26"/>
        </w:rPr>
        <w:t xml:space="preserve">Prompt</w:t>
      </w:r>
    </w:p>
    <w:p>
      <w:pPr>
        <w:spacing w:after="160" w:line="320"/>
      </w:pPr>
      <w:r>
        <w:rPr>
          <w:rFonts w:ascii="Calibri" w:cs="Calibri" w:eastAsia="Calibri" w:hAnsi="Calibri"/>
          <w:i/>
          <w:iCs/>
          <w:color w:val="475569"/>
          <w:sz w:val="22"/>
          <w:szCs w:val="22"/>
        </w:rPr>
        <w:t xml:space="preserve">On the Discussion Forum, brainstorm ideas of how you would implement a design thinking workshop for teachers at your own school. List down the challenges you foresee and possible solutions to those challenges.</w:t>
      </w:r>
    </w:p>
    <w:p>
      <w:pPr>
        <w:pStyle w:val="Heading2"/>
        <w:spacing w:after="120" w:before="240"/>
      </w:pPr>
      <w:r>
        <w:rPr>
          <w:rFonts w:ascii="Calibri" w:cs="Calibri" w:eastAsia="Calibri" w:hAnsi="Calibri"/>
          <w:b/>
          <w:bCs/>
          <w:color w:val="4338CA"/>
          <w:sz w:val="26"/>
          <w:szCs w:val="26"/>
        </w:rPr>
        <w:t xml:space="preserve">Context: Greenfield Preparatory Middle School</w:t>
      </w:r>
    </w:p>
    <w:p>
      <w:pPr>
        <w:spacing w:after="160" w:line="320"/>
      </w:pPr>
      <w:r>
        <w:rPr>
          <w:rFonts w:ascii="Calibri" w:cs="Calibri" w:eastAsia="Calibri" w:hAnsi="Calibri"/>
          <w:sz w:val="22"/>
          <w:szCs w:val="22"/>
        </w:rPr>
        <w:t xml:space="preserve">Greenfield Prep is a 6–8 middle school with 18 instructional staff and 4 administrators. From the EdTech &amp; Instructional Coaching survey I ran last month, three signals stand out and shape how I would run a design thinking workshop here:</w:t>
      </w:r>
    </w:p>
    <w:p>
      <w:pPr>
        <w:pStyle w:val="ListParagraph"/>
        <w:numPr>
          <w:ilvl w:val="0"/>
          <w:numId w:val="2"/>
        </w:numPr>
        <w:spacing w:after="80" w:line="300"/>
      </w:pPr>
      <w:r>
        <w:rPr>
          <w:rFonts w:ascii="Calibri" w:cs="Calibri" w:eastAsia="Calibri" w:hAnsi="Calibri"/>
          <w:sz w:val="22"/>
          <w:szCs w:val="22"/>
        </w:rPr>
        <w:t xml:space="preserve">78% of teachers name student distraction as their top challenge — a symptom of weak routines around devices, not a behavior problem.</w:t>
      </w:r>
    </w:p>
    <w:p>
      <w:pPr>
        <w:pStyle w:val="ListParagraph"/>
        <w:numPr>
          <w:ilvl w:val="0"/>
          <w:numId w:val="2"/>
        </w:numPr>
        <w:spacing w:after="80" w:line="300"/>
      </w:pPr>
      <w:r>
        <w:rPr>
          <w:rFonts w:ascii="Calibri" w:cs="Calibri" w:eastAsia="Calibri" w:hAnsi="Calibri"/>
          <w:sz w:val="22"/>
          <w:szCs w:val="22"/>
        </w:rPr>
        <w:t xml:space="preserve">12 of 18 teachers (67%) say they want 1:1 instructional coaching; another 5 said "maybe." The appetite is unusually high.</w:t>
      </w:r>
    </w:p>
    <w:p>
      <w:pPr>
        <w:pStyle w:val="ListParagraph"/>
        <w:numPr>
          <w:ilvl w:val="0"/>
          <w:numId w:val="2"/>
        </w:numPr>
        <w:spacing w:after="80" w:line="300"/>
      </w:pPr>
      <w:r>
        <w:rPr>
          <w:rFonts w:ascii="Calibri" w:cs="Calibri" w:eastAsia="Calibri" w:hAnsi="Calibri"/>
          <w:sz w:val="22"/>
          <w:szCs w:val="22"/>
        </w:rPr>
        <w:t xml:space="preserve">All 4 administrators flag passive student use as their #1 concern — "technology replacing instruction" rather than enabling it.</w:t>
      </w:r>
    </w:p>
    <w:p>
      <w:pPr>
        <w:spacing w:after="160" w:line="320"/>
      </w:pPr>
      <w:r>
        <w:rPr>
          <w:rFonts w:ascii="Calibri" w:cs="Calibri" w:eastAsia="Calibri" w:hAnsi="Calibri"/>
          <w:sz w:val="22"/>
          <w:szCs w:val="22"/>
        </w:rPr>
        <w:t xml:space="preserve">That triangle — distraction, coaching hunger, and passive use — is the soil this workshop has to grow in. It is also exactly the kind of soft, emotional, structural problem design thinking is good at solving.</w:t>
      </w:r>
    </w:p>
    <w:p>
      <w:pPr>
        <w:pStyle w:val="Heading2"/>
        <w:spacing w:after="120" w:before="240"/>
      </w:pPr>
      <w:r>
        <w:rPr>
          <w:rFonts w:ascii="Calibri" w:cs="Calibri" w:eastAsia="Calibri" w:hAnsi="Calibri"/>
          <w:b/>
          <w:bCs/>
          <w:color w:val="4338CA"/>
          <w:sz w:val="26"/>
          <w:szCs w:val="26"/>
        </w:rPr>
        <w:t xml:space="preserve">My Approach</w:t>
      </w:r>
    </w:p>
    <w:p>
      <w:pPr>
        <w:pStyle w:val="Heading3"/>
        <w:spacing w:after="80" w:before="180"/>
      </w:pPr>
      <w:r>
        <w:rPr>
          <w:rFonts w:ascii="Calibri" w:cs="Calibri" w:eastAsia="Calibri" w:hAnsi="Calibri"/>
          <w:b/>
          <w:bCs/>
          <w:color w:val="1F2937"/>
          <w:sz w:val="22"/>
          <w:szCs w:val="22"/>
        </w:rPr>
        <w:t xml:space="preserve">Frame the workshop as a planning meeting, not as PD</w:t>
      </w:r>
    </w:p>
    <w:p>
      <w:pPr>
        <w:spacing w:after="160" w:line="320"/>
      </w:pPr>
      <w:r>
        <w:rPr>
          <w:rFonts w:ascii="Calibri" w:cs="Calibri" w:eastAsia="Calibri" w:hAnsi="Calibri"/>
          <w:sz w:val="22"/>
          <w:szCs w:val="22"/>
        </w:rPr>
        <w:t xml:space="preserve">If I hang a banner that says "Design Thinking Workshop" on the door, half the room will mentally check out before they sit down. Instead, I would call it what it produces: "Redesigning the First Five Minutes of Class — a planning workshop." The d.school crash course is doing the same trick — it teaches a method by hiding it inside the gift-giving prompt. Mine hides it inside a problem the principal already wants solved.</w:t>
      </w:r>
    </w:p>
    <w:p>
      <w:pPr>
        <w:pStyle w:val="Heading3"/>
        <w:spacing w:after="80" w:before="180"/>
      </w:pPr>
      <w:r>
        <w:rPr>
          <w:rFonts w:ascii="Calibri" w:cs="Calibri" w:eastAsia="Calibri" w:hAnsi="Calibri"/>
          <w:b/>
          <w:bCs/>
          <w:color w:val="1F2937"/>
          <w:sz w:val="22"/>
          <w:szCs w:val="22"/>
        </w:rPr>
        <w:t xml:space="preserve">Use a school-flavored prompt, not the gift-giving one</w:t>
      </w:r>
    </w:p>
    <w:p>
      <w:pPr>
        <w:spacing w:after="160" w:line="320"/>
      </w:pPr>
      <w:r>
        <w:rPr>
          <w:rFonts w:ascii="Calibri" w:cs="Calibri" w:eastAsia="Calibri" w:hAnsi="Calibri"/>
          <w:sz w:val="22"/>
          <w:szCs w:val="22"/>
        </w:rPr>
        <w:t xml:space="preserve">The gift-giving prompt is brilliant because it is emotionally rich and low-stakes. Inside a school, I can find prompts that are equally emotional but academically useful:</w:t>
      </w:r>
    </w:p>
    <w:p>
      <w:pPr>
        <w:pStyle w:val="ListParagraph"/>
        <w:numPr>
          <w:ilvl w:val="0"/>
          <w:numId w:val="2"/>
        </w:numPr>
        <w:spacing w:after="80" w:line="300"/>
      </w:pPr>
      <w:r>
        <w:rPr>
          <w:rFonts w:ascii="Calibri" w:cs="Calibri" w:eastAsia="Calibri" w:hAnsi="Calibri"/>
          <w:sz w:val="22"/>
          <w:szCs w:val="22"/>
        </w:rPr>
        <w:t xml:space="preserve">"Redesign the experience of a student who gets distracted on her Chromebook."</w:t>
      </w:r>
    </w:p>
    <w:p>
      <w:pPr>
        <w:pStyle w:val="ListParagraph"/>
        <w:numPr>
          <w:ilvl w:val="0"/>
          <w:numId w:val="2"/>
        </w:numPr>
        <w:spacing w:after="80" w:line="300"/>
      </w:pPr>
      <w:r>
        <w:rPr>
          <w:rFonts w:ascii="Calibri" w:cs="Calibri" w:eastAsia="Calibri" w:hAnsi="Calibri"/>
          <w:sz w:val="22"/>
          <w:szCs w:val="22"/>
        </w:rPr>
        <w:t xml:space="preserve">"Redesign the homework-return experience for one student."</w:t>
      </w:r>
    </w:p>
    <w:p>
      <w:pPr>
        <w:pStyle w:val="ListParagraph"/>
        <w:numPr>
          <w:ilvl w:val="0"/>
          <w:numId w:val="2"/>
        </w:numPr>
        <w:spacing w:after="80" w:line="300"/>
      </w:pPr>
      <w:r>
        <w:rPr>
          <w:rFonts w:ascii="Calibri" w:cs="Calibri" w:eastAsia="Calibri" w:hAnsi="Calibri"/>
          <w:sz w:val="22"/>
          <w:szCs w:val="22"/>
        </w:rPr>
        <w:t xml:space="preserve">"Redesign how a struggling student asks for help."</w:t>
      </w:r>
    </w:p>
    <w:p>
      <w:pPr>
        <w:spacing w:after="160" w:line="320"/>
      </w:pPr>
      <w:r>
        <w:rPr>
          <w:rFonts w:ascii="Calibri" w:cs="Calibri" w:eastAsia="Calibri" w:hAnsi="Calibri"/>
          <w:sz w:val="22"/>
          <w:szCs w:val="22"/>
        </w:rPr>
        <w:t xml:space="preserve">Each one forces the empathize stage onto a real kid in a real classroom, which is the move teachers most often skip when they plan.</w:t>
      </w:r>
    </w:p>
    <w:p>
      <w:pPr>
        <w:pStyle w:val="Heading3"/>
        <w:spacing w:after="80" w:before="180"/>
      </w:pPr>
      <w:r>
        <w:rPr>
          <w:rFonts w:ascii="Calibri" w:cs="Calibri" w:eastAsia="Calibri" w:hAnsi="Calibri"/>
          <w:b/>
          <w:bCs/>
          <w:color w:val="1F2937"/>
          <w:sz w:val="22"/>
          <w:szCs w:val="22"/>
        </w:rPr>
        <w:t xml:space="preserve">Compress the cycle into two 45-minute sessions</w:t>
      </w:r>
    </w:p>
    <w:p>
      <w:pPr>
        <w:spacing w:after="160" w:line="320"/>
      </w:pPr>
      <w:r>
        <w:rPr>
          <w:rFonts w:ascii="Calibri" w:cs="Calibri" w:eastAsia="Calibri" w:hAnsi="Calibri"/>
          <w:sz w:val="22"/>
          <w:szCs w:val="22"/>
        </w:rPr>
        <w:t xml:space="preserve">Our PD blocks are 45 minutes, so I would run the workshop across two consecutive Wednesdays:</w:t>
      </w:r>
    </w:p>
    <w:p>
      <w:pPr>
        <w:pStyle w:val="ListParagraph"/>
        <w:numPr>
          <w:ilvl w:val="0"/>
          <w:numId w:val="3"/>
        </w:numPr>
        <w:spacing w:after="80" w:line="300"/>
      </w:pPr>
      <w:r>
        <w:rPr>
          <w:rFonts w:ascii="Calibri" w:cs="Calibri" w:eastAsia="Calibri" w:hAnsi="Calibri"/>
          <w:sz w:val="22"/>
          <w:szCs w:val="22"/>
        </w:rPr>
        <w:t xml:space="preserve">Week 1 (45 min): Empathize + Define. Teachers pair up across grades and interview each other about one specific student. Synthesize into a problem statement using the d.school's "point-of-view" template: [Student name] needs [verb-based need] because [emotional insight].</w:t>
      </w:r>
    </w:p>
    <w:p>
      <w:pPr>
        <w:pStyle w:val="ListParagraph"/>
        <w:numPr>
          <w:ilvl w:val="0"/>
          <w:numId w:val="3"/>
        </w:numPr>
        <w:spacing w:after="80" w:line="300"/>
      </w:pPr>
      <w:r>
        <w:rPr>
          <w:rFonts w:ascii="Calibri" w:cs="Calibri" w:eastAsia="Calibri" w:hAnsi="Calibri"/>
          <w:sz w:val="22"/>
          <w:szCs w:val="22"/>
        </w:rPr>
        <w:t xml:space="preserve">Week 2 (45 min): Ideate + Prototype + Test. Five-sketch ideation (no letters or numbers), one rough prototype of a single Monday-ready lesson move, then test it with a partner using the d.school feedback grid (works / fails / questions / new ideas).</w:t>
      </w:r>
    </w:p>
    <w:p>
      <w:pPr>
        <w:spacing w:after="160" w:line="320"/>
      </w:pPr>
      <w:r>
        <w:rPr>
          <w:rFonts w:ascii="Calibri" w:cs="Calibri" w:eastAsia="Calibri" w:hAnsi="Calibri"/>
          <w:sz w:val="22"/>
          <w:szCs w:val="22"/>
        </w:rPr>
        <w:t xml:space="preserve">Between weeks, each teacher commits to running their prototype lesson move in one class and writing three lines in our shared coaching doc. The next PLC meeting becomes the test stage at scale.</w:t>
      </w:r>
    </w:p>
    <w:p>
      <w:pPr>
        <w:pStyle w:val="Heading3"/>
        <w:spacing w:after="80" w:before="180"/>
      </w:pPr>
      <w:r>
        <w:rPr>
          <w:rFonts w:ascii="Calibri" w:cs="Calibri" w:eastAsia="Calibri" w:hAnsi="Calibri"/>
          <w:b/>
          <w:bCs/>
          <w:color w:val="1F2937"/>
          <w:sz w:val="22"/>
          <w:szCs w:val="22"/>
        </w:rPr>
        <w:t xml:space="preserve">Materials: low-tech on purpose</w:t>
      </w:r>
    </w:p>
    <w:p>
      <w:pPr>
        <w:spacing w:after="160" w:line="320"/>
      </w:pPr>
      <w:r>
        <w:rPr>
          <w:rFonts w:ascii="Calibri" w:cs="Calibri" w:eastAsia="Calibri" w:hAnsi="Calibri"/>
          <w:sz w:val="22"/>
          <w:szCs w:val="22"/>
        </w:rPr>
        <w:t xml:space="preserve">$80 from the EdTech line buys a portable kit: sharpies, index cards, sticky notes, masking tape, pipe cleaners. The crummy materials are not a budget choice — they are a pedagogical one. Polished tools invite polished thinking; the kit is what protects the bias toward rough action.</w:t>
      </w:r>
    </w:p>
    <w:p>
      <w:pPr>
        <w:pStyle w:val="Heading2"/>
        <w:spacing w:after="120" w:before="240"/>
      </w:pPr>
      <w:r>
        <w:rPr>
          <w:rFonts w:ascii="Calibri" w:cs="Calibri" w:eastAsia="Calibri" w:hAnsi="Calibri"/>
          <w:b/>
          <w:bCs/>
          <w:color w:val="4338CA"/>
          <w:sz w:val="26"/>
          <w:szCs w:val="26"/>
        </w:rPr>
        <w:t xml:space="preserve">Challenges and Solutions</w:t>
      </w:r>
    </w:p>
    <w:p>
      <w:pPr>
        <w:spacing w:after="160" w:line="320"/>
      </w:pPr>
      <w:r>
        <w:rPr>
          <w:rFonts w:ascii="Calibri" w:cs="Calibri" w:eastAsia="Calibri" w:hAnsi="Calibri"/>
          <w:sz w:val="22"/>
          <w:szCs w:val="22"/>
        </w:rPr>
        <w:t xml:space="preserve">Below is my working list of what I expect to go wrong, and what I plan to do about each one. I am posting it here partly to invite cohort pushback — a few of these I am less sure about than they sound.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80"/>
        <w:gridCol w:w="5080"/>
      </w:tblGrid>
      <w:tr>
        <w:trPr>
          <w:tblHeader/>
        </w:trPr>
        <w:tc>
          <w:tcPr>
            <w:tcW w:type="dxa" w:w="4280"/>
            <w:tcBorders>
              <w:top w:val="single" w:color="CCCCCC" w:sz="6"/>
              <w:left w:val="single" w:color="CCCCCC" w:sz="6"/>
              <w:bottom w:val="single" w:color="CCCCCC" w:sz="6"/>
              <w:right w:val="single" w:color="CCCCCC" w:sz="6"/>
            </w:tcBorders>
            <w:shd w:fill="EEF2FF" w:val="clear"/>
            <w:tcMar>
              <w:top w:type="dxa" w:w="120"/>
              <w:left w:type="dxa" w:w="160"/>
              <w:bottom w:type="dxa" w:w="120"/>
              <w:right w:type="dxa" w:w="160"/>
            </w:tcMar>
          </w:tcPr>
          <w:p>
            <w:pPr>
              <w:spacing w:line="280"/>
            </w:pPr>
            <w:r>
              <w:rPr>
                <w:rFonts w:ascii="Calibri" w:cs="Calibri" w:eastAsia="Calibri" w:hAnsi="Calibri"/>
                <w:b/>
                <w:bCs/>
                <w:color w:val="4338CA"/>
                <w:sz w:val="21"/>
                <w:szCs w:val="21"/>
              </w:rPr>
              <w:t xml:space="preserve">Foreseen Challenge</w:t>
            </w:r>
          </w:p>
        </w:tc>
        <w:tc>
          <w:tcPr>
            <w:tcW w:type="dxa" w:w="5080"/>
            <w:tcBorders>
              <w:top w:val="single" w:color="CCCCCC" w:sz="6"/>
              <w:left w:val="single" w:color="CCCCCC" w:sz="6"/>
              <w:bottom w:val="single" w:color="CCCCCC" w:sz="6"/>
              <w:right w:val="single" w:color="CCCCCC" w:sz="6"/>
            </w:tcBorders>
            <w:shd w:fill="EEF2FF" w:val="clear"/>
            <w:tcMar>
              <w:top w:type="dxa" w:w="120"/>
              <w:left w:type="dxa" w:w="160"/>
              <w:bottom w:type="dxa" w:w="120"/>
              <w:right w:type="dxa" w:w="160"/>
            </w:tcMar>
          </w:tcPr>
          <w:p>
            <w:pPr>
              <w:spacing w:line="280"/>
            </w:pPr>
            <w:r>
              <w:rPr>
                <w:rFonts w:ascii="Calibri" w:cs="Calibri" w:eastAsia="Calibri" w:hAnsi="Calibri"/>
                <w:b/>
                <w:bCs/>
                <w:color w:val="4338CA"/>
                <w:sz w:val="21"/>
                <w:szCs w:val="21"/>
              </w:rPr>
              <w:t xml:space="preserve">Possible Solution</w:t>
            </w:r>
          </w:p>
        </w:tc>
      </w:tr>
      <w:tr>
        <w:tc>
          <w:tcPr>
            <w:tcW w:type="dxa" w:w="4280"/>
            <w:tcBorders>
              <w:top w:val="single" w:color="CCCCCC" w:sz="6"/>
              <w:left w:val="single" w:color="CCCCCC" w:sz="6"/>
              <w:bottom w:val="single" w:color="CCCCCC" w:sz="6"/>
              <w:right w:val="single" w:color="CCCCCC" w:sz="6"/>
            </w:tcBorders>
            <w:tcMar>
              <w:top w:type="dxa" w:w="120"/>
              <w:left w:type="dxa" w:w="160"/>
              <w:bottom w:type="dxa" w:w="120"/>
              <w:right w:type="dxa" w:w="160"/>
            </w:tcMar>
          </w:tcPr>
          <w:p>
            <w:pPr>
              <w:spacing w:line="280"/>
            </w:pPr>
            <w:r>
              <w:rPr>
                <w:rFonts w:ascii="Calibri" w:cs="Calibri" w:eastAsia="Calibri" w:hAnsi="Calibri"/>
                <w:color w:val="1F2937"/>
                <w:sz w:val="21"/>
                <w:szCs w:val="21"/>
              </w:rPr>
              <w:t xml:space="preserve">1. Teacher skepticism — "This is corporate buzzword stuff, not teaching."</w:t>
            </w:r>
          </w:p>
        </w:tc>
        <w:tc>
          <w:tcPr>
            <w:tcW w:type="dxa" w:w="5080"/>
            <w:tcBorders>
              <w:top w:val="single" w:color="CCCCCC" w:sz="6"/>
              <w:left w:val="single" w:color="CCCCCC" w:sz="6"/>
              <w:bottom w:val="single" w:color="CCCCCC" w:sz="6"/>
              <w:right w:val="single" w:color="CCCCCC" w:sz="6"/>
            </w:tcBorders>
            <w:tcMar>
              <w:top w:type="dxa" w:w="120"/>
              <w:left w:type="dxa" w:w="160"/>
              <w:bottom w:type="dxa" w:w="120"/>
              <w:right w:type="dxa" w:w="160"/>
            </w:tcMar>
          </w:tcPr>
          <w:p>
            <w:pPr>
              <w:spacing w:line="280"/>
            </w:pPr>
            <w:r>
              <w:rPr>
                <w:rFonts w:ascii="Calibri" w:cs="Calibri" w:eastAsia="Calibri" w:hAnsi="Calibri"/>
                <w:color w:val="1F2937"/>
                <w:sz w:val="21"/>
                <w:szCs w:val="21"/>
              </w:rPr>
              <w:t xml:space="preserve">Open with a teacher-only artifact: redesign the experience of a struggling student in their own classroom, not a generic "user." Within ten minutes most skeptics shift from disengaged to leaning forward because the prompt is about a real kid they recognize.</w:t>
            </w:r>
          </w:p>
        </w:tc>
      </w:tr>
      <w:tr>
        <w:tc>
          <w:tcPr>
            <w:tcW w:type="dxa" w:w="4280"/>
            <w:tcBorders>
              <w:top w:val="single" w:color="CCCCCC" w:sz="6"/>
              <w:left w:val="single" w:color="CCCCCC" w:sz="6"/>
              <w:bottom w:val="single" w:color="CCCCCC" w:sz="6"/>
              <w:right w:val="single" w:color="CCCCCC" w:sz="6"/>
            </w:tcBorders>
            <w:tcMar>
              <w:top w:type="dxa" w:w="120"/>
              <w:left w:type="dxa" w:w="160"/>
              <w:bottom w:type="dxa" w:w="120"/>
              <w:right w:type="dxa" w:w="160"/>
            </w:tcMar>
          </w:tcPr>
          <w:p>
            <w:pPr>
              <w:spacing w:line="280"/>
            </w:pPr>
            <w:r>
              <w:rPr>
                <w:rFonts w:ascii="Calibri" w:cs="Calibri" w:eastAsia="Calibri" w:hAnsi="Calibri"/>
                <w:color w:val="1F2937"/>
                <w:sz w:val="21"/>
                <w:szCs w:val="21"/>
              </w:rPr>
              <w:t xml:space="preserve">2. Time. Our PD blocks are 45 minutes; the d.school crash course is 80.</w:t>
            </w:r>
          </w:p>
        </w:tc>
        <w:tc>
          <w:tcPr>
            <w:tcW w:type="dxa" w:w="5080"/>
            <w:tcBorders>
              <w:top w:val="single" w:color="CCCCCC" w:sz="6"/>
              <w:left w:val="single" w:color="CCCCCC" w:sz="6"/>
              <w:bottom w:val="single" w:color="CCCCCC" w:sz="6"/>
              <w:right w:val="single" w:color="CCCCCC" w:sz="6"/>
            </w:tcBorders>
            <w:tcMar>
              <w:top w:type="dxa" w:w="120"/>
              <w:left w:type="dxa" w:w="160"/>
              <w:bottom w:type="dxa" w:w="120"/>
              <w:right w:type="dxa" w:w="160"/>
            </w:tcMar>
          </w:tcPr>
          <w:p>
            <w:pPr>
              <w:spacing w:line="280"/>
            </w:pPr>
            <w:r>
              <w:rPr>
                <w:rFonts w:ascii="Calibri" w:cs="Calibri" w:eastAsia="Calibri" w:hAnsi="Calibri"/>
                <w:color w:val="1F2937"/>
                <w:sz w:val="21"/>
                <w:szCs w:val="21"/>
              </w:rPr>
              <w:t xml:space="preserve">Run a compressed two-day version: Day 1 (45 min) covers Empathize + Define using a teacher's own student as the user. Day 2 (45 min) covers Ideate + Prototype + Test, with the prototype being a single lesson move ready for Monday.</w:t>
            </w:r>
          </w:p>
        </w:tc>
      </w:tr>
      <w:tr>
        <w:tc>
          <w:tcPr>
            <w:tcW w:type="dxa" w:w="4280"/>
            <w:tcBorders>
              <w:top w:val="single" w:color="CCCCCC" w:sz="6"/>
              <w:left w:val="single" w:color="CCCCCC" w:sz="6"/>
              <w:bottom w:val="single" w:color="CCCCCC" w:sz="6"/>
              <w:right w:val="single" w:color="CCCCCC" w:sz="6"/>
            </w:tcBorders>
            <w:tcMar>
              <w:top w:type="dxa" w:w="120"/>
              <w:left w:type="dxa" w:w="160"/>
              <w:bottom w:type="dxa" w:w="120"/>
              <w:right w:type="dxa" w:w="160"/>
            </w:tcMar>
          </w:tcPr>
          <w:p>
            <w:pPr>
              <w:spacing w:line="280"/>
            </w:pPr>
            <w:r>
              <w:rPr>
                <w:rFonts w:ascii="Calibri" w:cs="Calibri" w:eastAsia="Calibri" w:hAnsi="Calibri"/>
                <w:color w:val="1F2937"/>
                <w:sz w:val="21"/>
                <w:szCs w:val="21"/>
              </w:rPr>
              <w:t xml:space="preserve">3. Discomfort with making something rough or "bad." Teachers are trained to present polished work.</w:t>
            </w:r>
          </w:p>
        </w:tc>
        <w:tc>
          <w:tcPr>
            <w:tcW w:type="dxa" w:w="5080"/>
            <w:tcBorders>
              <w:top w:val="single" w:color="CCCCCC" w:sz="6"/>
              <w:left w:val="single" w:color="CCCCCC" w:sz="6"/>
              <w:bottom w:val="single" w:color="CCCCCC" w:sz="6"/>
              <w:right w:val="single" w:color="CCCCCC" w:sz="6"/>
            </w:tcBorders>
            <w:tcMar>
              <w:top w:type="dxa" w:w="120"/>
              <w:left w:type="dxa" w:w="160"/>
              <w:bottom w:type="dxa" w:w="120"/>
              <w:right w:type="dxa" w:w="160"/>
            </w:tcMar>
          </w:tcPr>
          <w:p>
            <w:pPr>
              <w:spacing w:line="280"/>
            </w:pPr>
            <w:r>
              <w:rPr>
                <w:rFonts w:ascii="Calibri" w:cs="Calibri" w:eastAsia="Calibri" w:hAnsi="Calibri"/>
                <w:color w:val="1F2937"/>
                <w:sz w:val="21"/>
                <w:szCs w:val="21"/>
              </w:rPr>
              <w:t xml:space="preserve">Make rough mandatory. No laptops, no slide templates, no curriculum maps — only sharpies, sticky notes, and index cards. Borrow the d.school's exact framing: "the crummier your sketches, the better, because they can be misinterpreted in useful directions."</w:t>
            </w:r>
          </w:p>
        </w:tc>
      </w:tr>
      <w:tr>
        <w:tc>
          <w:tcPr>
            <w:tcW w:type="dxa" w:w="4280"/>
            <w:tcBorders>
              <w:top w:val="single" w:color="CCCCCC" w:sz="6"/>
              <w:left w:val="single" w:color="CCCCCC" w:sz="6"/>
              <w:bottom w:val="single" w:color="CCCCCC" w:sz="6"/>
              <w:right w:val="single" w:color="CCCCCC" w:sz="6"/>
            </w:tcBorders>
            <w:tcMar>
              <w:top w:type="dxa" w:w="120"/>
              <w:left w:type="dxa" w:w="160"/>
              <w:bottom w:type="dxa" w:w="120"/>
              <w:right w:type="dxa" w:w="160"/>
            </w:tcMar>
          </w:tcPr>
          <w:p>
            <w:pPr>
              <w:spacing w:line="280"/>
            </w:pPr>
            <w:r>
              <w:rPr>
                <w:rFonts w:ascii="Calibri" w:cs="Calibri" w:eastAsia="Calibri" w:hAnsi="Calibri"/>
                <w:color w:val="1F2937"/>
                <w:sz w:val="21"/>
                <w:szCs w:val="21"/>
              </w:rPr>
              <w:t xml:space="preserve">4. The faculty members who most need this are least likely to opt in.</w:t>
            </w:r>
          </w:p>
        </w:tc>
        <w:tc>
          <w:tcPr>
            <w:tcW w:type="dxa" w:w="5080"/>
            <w:tcBorders>
              <w:top w:val="single" w:color="CCCCCC" w:sz="6"/>
              <w:left w:val="single" w:color="CCCCCC" w:sz="6"/>
              <w:bottom w:val="single" w:color="CCCCCC" w:sz="6"/>
              <w:right w:val="single" w:color="CCCCCC" w:sz="6"/>
            </w:tcBorders>
            <w:tcMar>
              <w:top w:type="dxa" w:w="120"/>
              <w:left w:type="dxa" w:w="160"/>
              <w:bottom w:type="dxa" w:w="120"/>
              <w:right w:type="dxa" w:w="160"/>
            </w:tcMar>
          </w:tcPr>
          <w:p>
            <w:pPr>
              <w:spacing w:line="280"/>
            </w:pPr>
            <w:r>
              <w:rPr>
                <w:rFonts w:ascii="Calibri" w:cs="Calibri" w:eastAsia="Calibri" w:hAnsi="Calibri"/>
                <w:color w:val="1F2937"/>
                <w:sz w:val="21"/>
                <w:szCs w:val="21"/>
              </w:rPr>
              <w:t xml:space="preserve">Pair the workshop with a real instructional problem the principal already wants solved (e.g., "redesign Chromebook routines for 6th-grade Science"). Frame attendance as the planning meeting for that problem, not as PD. Self-selection drops away when the workshop produces an artifact the team actually needs.</w:t>
            </w:r>
          </w:p>
        </w:tc>
      </w:tr>
      <w:tr>
        <w:tc>
          <w:tcPr>
            <w:tcW w:type="dxa" w:w="4280"/>
            <w:tcBorders>
              <w:top w:val="single" w:color="CCCCCC" w:sz="6"/>
              <w:left w:val="single" w:color="CCCCCC" w:sz="6"/>
              <w:bottom w:val="single" w:color="CCCCCC" w:sz="6"/>
              <w:right w:val="single" w:color="CCCCCC" w:sz="6"/>
            </w:tcBorders>
            <w:tcMar>
              <w:top w:type="dxa" w:w="120"/>
              <w:left w:type="dxa" w:w="160"/>
              <w:bottom w:type="dxa" w:w="120"/>
              <w:right w:type="dxa" w:w="160"/>
            </w:tcMar>
          </w:tcPr>
          <w:p>
            <w:pPr>
              <w:spacing w:line="280"/>
            </w:pPr>
            <w:r>
              <w:rPr>
                <w:rFonts w:ascii="Calibri" w:cs="Calibri" w:eastAsia="Calibri" w:hAnsi="Calibri"/>
                <w:color w:val="1F2937"/>
                <w:sz w:val="21"/>
                <w:szCs w:val="21"/>
              </w:rPr>
              <w:t xml:space="preserve">5. Translating the gift-giving prompt into something academic without losing the playfulness.</w:t>
            </w:r>
          </w:p>
        </w:tc>
        <w:tc>
          <w:tcPr>
            <w:tcW w:type="dxa" w:w="5080"/>
            <w:tcBorders>
              <w:top w:val="single" w:color="CCCCCC" w:sz="6"/>
              <w:left w:val="single" w:color="CCCCCC" w:sz="6"/>
              <w:bottom w:val="single" w:color="CCCCCC" w:sz="6"/>
              <w:right w:val="single" w:color="CCCCCC" w:sz="6"/>
            </w:tcBorders>
            <w:tcMar>
              <w:top w:type="dxa" w:w="120"/>
              <w:left w:type="dxa" w:w="160"/>
              <w:bottom w:type="dxa" w:w="120"/>
              <w:right w:type="dxa" w:w="160"/>
            </w:tcMar>
          </w:tcPr>
          <w:p>
            <w:pPr>
              <w:spacing w:line="280"/>
            </w:pPr>
            <w:r>
              <w:rPr>
                <w:rFonts w:ascii="Calibri" w:cs="Calibri" w:eastAsia="Calibri" w:hAnsi="Calibri"/>
                <w:color w:val="1F2937"/>
                <w:sz w:val="21"/>
                <w:szCs w:val="21"/>
              </w:rPr>
              <w:t xml:space="preserve">Pick a school-flavored but emotionally rich prompt: redesign the homework-return experience, the first five minutes of class, or how a struggling student asks for help. These are emotional enough to surface real insight and tactical enough to produce a usable prototype.</w:t>
            </w:r>
          </w:p>
        </w:tc>
      </w:tr>
      <w:tr>
        <w:tc>
          <w:tcPr>
            <w:tcW w:type="dxa" w:w="4280"/>
            <w:tcBorders>
              <w:top w:val="single" w:color="CCCCCC" w:sz="6"/>
              <w:left w:val="single" w:color="CCCCCC" w:sz="6"/>
              <w:bottom w:val="single" w:color="CCCCCC" w:sz="6"/>
              <w:right w:val="single" w:color="CCCCCC" w:sz="6"/>
            </w:tcBorders>
            <w:tcMar>
              <w:top w:type="dxa" w:w="120"/>
              <w:left w:type="dxa" w:w="160"/>
              <w:bottom w:type="dxa" w:w="120"/>
              <w:right w:type="dxa" w:w="160"/>
            </w:tcMar>
          </w:tcPr>
          <w:p>
            <w:pPr>
              <w:spacing w:line="280"/>
            </w:pPr>
            <w:r>
              <w:rPr>
                <w:rFonts w:ascii="Calibri" w:cs="Calibri" w:eastAsia="Calibri" w:hAnsi="Calibri"/>
                <w:color w:val="1F2937"/>
                <w:sz w:val="21"/>
                <w:szCs w:val="21"/>
              </w:rPr>
              <w:t xml:space="preserve">6. Survey data shows 78% of our teachers cite student distraction as their #1 challenge — they want quick fixes, not process work.</w:t>
            </w:r>
          </w:p>
        </w:tc>
        <w:tc>
          <w:tcPr>
            <w:tcW w:type="dxa" w:w="5080"/>
            <w:tcBorders>
              <w:top w:val="single" w:color="CCCCCC" w:sz="6"/>
              <w:left w:val="single" w:color="CCCCCC" w:sz="6"/>
              <w:bottom w:val="single" w:color="CCCCCC" w:sz="6"/>
              <w:right w:val="single" w:color="CCCCCC" w:sz="6"/>
            </w:tcBorders>
            <w:tcMar>
              <w:top w:type="dxa" w:w="120"/>
              <w:left w:type="dxa" w:w="160"/>
              <w:bottom w:type="dxa" w:w="120"/>
              <w:right w:type="dxa" w:w="160"/>
            </w:tcMar>
          </w:tcPr>
          <w:p>
            <w:pPr>
              <w:spacing w:line="280"/>
            </w:pPr>
            <w:r>
              <w:rPr>
                <w:rFonts w:ascii="Calibri" w:cs="Calibri" w:eastAsia="Calibri" w:hAnsi="Calibri"/>
                <w:color w:val="1F2937"/>
                <w:sz w:val="21"/>
                <w:szCs w:val="21"/>
              </w:rPr>
              <w:t xml:space="preserve">Use distraction as the prompt. Empathize with one student who gets distracted in their class. Within an hour the insight is almost never "the student is bad" — it is something structural about the lesson (pacing, choice, novelty, transitions). The process work is the quick fix; teachers just need to discover that for themselves.</w:t>
            </w:r>
          </w:p>
        </w:tc>
      </w:tr>
      <w:tr>
        <w:tc>
          <w:tcPr>
            <w:tcW w:type="dxa" w:w="4280"/>
            <w:tcBorders>
              <w:top w:val="single" w:color="CCCCCC" w:sz="6"/>
              <w:left w:val="single" w:color="CCCCCC" w:sz="6"/>
              <w:bottom w:val="single" w:color="CCCCCC" w:sz="6"/>
              <w:right w:val="single" w:color="CCCCCC" w:sz="6"/>
            </w:tcBorders>
            <w:tcMar>
              <w:top w:type="dxa" w:w="120"/>
              <w:left w:type="dxa" w:w="160"/>
              <w:bottom w:type="dxa" w:w="120"/>
              <w:right w:type="dxa" w:w="160"/>
            </w:tcMar>
          </w:tcPr>
          <w:p>
            <w:pPr>
              <w:spacing w:line="280"/>
            </w:pPr>
            <w:r>
              <w:rPr>
                <w:rFonts w:ascii="Calibri" w:cs="Calibri" w:eastAsia="Calibri" w:hAnsi="Calibri"/>
                <w:color w:val="1F2937"/>
                <w:sz w:val="21"/>
                <w:szCs w:val="21"/>
              </w:rPr>
              <w:t xml:space="preserve">7. Differing comfort with collaboration. Veterans hesitate to share unfinished work in front of newer staff.</w:t>
            </w:r>
          </w:p>
        </w:tc>
        <w:tc>
          <w:tcPr>
            <w:tcW w:type="dxa" w:w="5080"/>
            <w:tcBorders>
              <w:top w:val="single" w:color="CCCCCC" w:sz="6"/>
              <w:left w:val="single" w:color="CCCCCC" w:sz="6"/>
              <w:bottom w:val="single" w:color="CCCCCC" w:sz="6"/>
              <w:right w:val="single" w:color="CCCCCC" w:sz="6"/>
            </w:tcBorders>
            <w:tcMar>
              <w:top w:type="dxa" w:w="120"/>
              <w:left w:type="dxa" w:w="160"/>
              <w:bottom w:type="dxa" w:w="120"/>
              <w:right w:type="dxa" w:w="160"/>
            </w:tcMar>
          </w:tcPr>
          <w:p>
            <w:pPr>
              <w:spacing w:line="280"/>
            </w:pPr>
            <w:r>
              <w:rPr>
                <w:rFonts w:ascii="Calibri" w:cs="Calibri" w:eastAsia="Calibri" w:hAnsi="Calibri"/>
                <w:color w:val="1F2937"/>
                <w:sz w:val="21"/>
                <w:szCs w:val="21"/>
              </w:rPr>
              <w:t xml:space="preserve">Heterogeneous pairs by design (mixed grade levels, mixed experience). The asymmetry is the point — a 22-year veteran being interviewed by a second-year teacher about her teaching is exactly the experience the workshop is meant to create.</w:t>
            </w:r>
          </w:p>
        </w:tc>
      </w:tr>
      <w:tr>
        <w:tc>
          <w:tcPr>
            <w:tcW w:type="dxa" w:w="4280"/>
            <w:tcBorders>
              <w:top w:val="single" w:color="CCCCCC" w:sz="6"/>
              <w:left w:val="single" w:color="CCCCCC" w:sz="6"/>
              <w:bottom w:val="single" w:color="CCCCCC" w:sz="6"/>
              <w:right w:val="single" w:color="CCCCCC" w:sz="6"/>
            </w:tcBorders>
            <w:tcMar>
              <w:top w:type="dxa" w:w="120"/>
              <w:left w:type="dxa" w:w="160"/>
              <w:bottom w:type="dxa" w:w="120"/>
              <w:right w:type="dxa" w:w="160"/>
            </w:tcMar>
          </w:tcPr>
          <w:p>
            <w:pPr>
              <w:spacing w:line="280"/>
            </w:pPr>
            <w:r>
              <w:rPr>
                <w:rFonts w:ascii="Calibri" w:cs="Calibri" w:eastAsia="Calibri" w:hAnsi="Calibri"/>
                <w:color w:val="1F2937"/>
                <w:sz w:val="21"/>
                <w:szCs w:val="21"/>
              </w:rPr>
              <w:t xml:space="preserve">8. Follow-through. Workshops feel great Friday and evaporate by Tuesday.</w:t>
            </w:r>
          </w:p>
        </w:tc>
        <w:tc>
          <w:tcPr>
            <w:tcW w:type="dxa" w:w="5080"/>
            <w:tcBorders>
              <w:top w:val="single" w:color="CCCCCC" w:sz="6"/>
              <w:left w:val="single" w:color="CCCCCC" w:sz="6"/>
              <w:bottom w:val="single" w:color="CCCCCC" w:sz="6"/>
              <w:right w:val="single" w:color="CCCCCC" w:sz="6"/>
            </w:tcBorders>
            <w:tcMar>
              <w:top w:type="dxa" w:w="120"/>
              <w:left w:type="dxa" w:w="160"/>
              <w:bottom w:type="dxa" w:w="120"/>
              <w:right w:type="dxa" w:w="160"/>
            </w:tcMar>
          </w:tcPr>
          <w:p>
            <w:pPr>
              <w:spacing w:line="280"/>
            </w:pPr>
            <w:r>
              <w:rPr>
                <w:rFonts w:ascii="Calibri" w:cs="Calibri" w:eastAsia="Calibri" w:hAnsi="Calibri"/>
                <w:color w:val="1F2937"/>
                <w:sz w:val="21"/>
                <w:szCs w:val="21"/>
              </w:rPr>
              <w:t xml:space="preserve">Bake testing into the next school day. Each teacher leaves with a single rough prototype and a one-week commitment: try it Monday or Tuesday, write three lines in a shared doc, debrief in PLC. The d.school feedback grid (works / fails / questions / new ideas) becomes our PLC debrief template.</w:t>
            </w:r>
          </w:p>
        </w:tc>
      </w:tr>
      <w:tr>
        <w:tc>
          <w:tcPr>
            <w:tcW w:type="dxa" w:w="4280"/>
            <w:tcBorders>
              <w:top w:val="single" w:color="CCCCCC" w:sz="6"/>
              <w:left w:val="single" w:color="CCCCCC" w:sz="6"/>
              <w:bottom w:val="single" w:color="CCCCCC" w:sz="6"/>
              <w:right w:val="single" w:color="CCCCCC" w:sz="6"/>
            </w:tcBorders>
            <w:tcMar>
              <w:top w:type="dxa" w:w="120"/>
              <w:left w:type="dxa" w:w="160"/>
              <w:bottom w:type="dxa" w:w="120"/>
              <w:right w:type="dxa" w:w="160"/>
            </w:tcMar>
          </w:tcPr>
          <w:p>
            <w:pPr>
              <w:spacing w:line="280"/>
            </w:pPr>
            <w:r>
              <w:rPr>
                <w:rFonts w:ascii="Calibri" w:cs="Calibri" w:eastAsia="Calibri" w:hAnsi="Calibri"/>
                <w:color w:val="1F2937"/>
                <w:sz w:val="21"/>
                <w:szCs w:val="21"/>
              </w:rPr>
              <w:t xml:space="preserve">9. Admin pressure for measurable outcomes — "What does this PD produce?"</w:t>
            </w:r>
          </w:p>
        </w:tc>
        <w:tc>
          <w:tcPr>
            <w:tcW w:type="dxa" w:w="5080"/>
            <w:tcBorders>
              <w:top w:val="single" w:color="CCCCCC" w:sz="6"/>
              <w:left w:val="single" w:color="CCCCCC" w:sz="6"/>
              <w:bottom w:val="single" w:color="CCCCCC" w:sz="6"/>
              <w:right w:val="single" w:color="CCCCCC" w:sz="6"/>
            </w:tcBorders>
            <w:tcMar>
              <w:top w:type="dxa" w:w="120"/>
              <w:left w:type="dxa" w:w="160"/>
              <w:bottom w:type="dxa" w:w="120"/>
              <w:right w:type="dxa" w:w="160"/>
            </w:tcMar>
          </w:tcPr>
          <w:p>
            <w:pPr>
              <w:spacing w:line="280"/>
            </w:pPr>
            <w:r>
              <w:rPr>
                <w:rFonts w:ascii="Calibri" w:cs="Calibri" w:eastAsia="Calibri" w:hAnsi="Calibri"/>
                <w:color w:val="1F2937"/>
                <w:sz w:val="21"/>
                <w:szCs w:val="21"/>
              </w:rPr>
              <w:t xml:space="preserve">Tie outputs to the Greenfield Prep one-year vision: zero-surprise device routines, every teacher pulls one move from data per week. The artifacts from the workshop (problem statement, prototype lesson move, feedback grid) are the evidence. Make them the deliverable, not the slide deck.</w:t>
            </w:r>
          </w:p>
        </w:tc>
      </w:tr>
      <w:tr>
        <w:tc>
          <w:tcPr>
            <w:tcW w:type="dxa" w:w="4280"/>
            <w:tcBorders>
              <w:top w:val="single" w:color="CCCCCC" w:sz="6"/>
              <w:left w:val="single" w:color="CCCCCC" w:sz="6"/>
              <w:bottom w:val="single" w:color="CCCCCC" w:sz="6"/>
              <w:right w:val="single" w:color="CCCCCC" w:sz="6"/>
            </w:tcBorders>
            <w:tcMar>
              <w:top w:type="dxa" w:w="120"/>
              <w:left w:type="dxa" w:w="160"/>
              <w:bottom w:type="dxa" w:w="120"/>
              <w:right w:type="dxa" w:w="160"/>
            </w:tcMar>
          </w:tcPr>
          <w:p>
            <w:pPr>
              <w:spacing w:line="280"/>
            </w:pPr>
            <w:r>
              <w:rPr>
                <w:rFonts w:ascii="Calibri" w:cs="Calibri" w:eastAsia="Calibri" w:hAnsi="Calibri"/>
                <w:color w:val="1F2937"/>
                <w:sz w:val="21"/>
                <w:szCs w:val="21"/>
              </w:rPr>
              <w:t xml:space="preserve">10. Resources — we don't have stickers, foil, and popsicle sticks lying around.</w:t>
            </w:r>
          </w:p>
        </w:tc>
        <w:tc>
          <w:tcPr>
            <w:tcW w:type="dxa" w:w="5080"/>
            <w:tcBorders>
              <w:top w:val="single" w:color="CCCCCC" w:sz="6"/>
              <w:left w:val="single" w:color="CCCCCC" w:sz="6"/>
              <w:bottom w:val="single" w:color="CCCCCC" w:sz="6"/>
              <w:right w:val="single" w:color="CCCCCC" w:sz="6"/>
            </w:tcBorders>
            <w:tcMar>
              <w:top w:type="dxa" w:w="120"/>
              <w:left w:type="dxa" w:w="160"/>
              <w:bottom w:type="dxa" w:w="120"/>
              <w:right w:type="dxa" w:w="160"/>
            </w:tcMar>
          </w:tcPr>
          <w:p>
            <w:pPr>
              <w:spacing w:line="280"/>
            </w:pPr>
            <w:r>
              <w:rPr>
                <w:rFonts w:ascii="Calibri" w:cs="Calibri" w:eastAsia="Calibri" w:hAnsi="Calibri"/>
                <w:color w:val="1F2937"/>
                <w:sz w:val="21"/>
                <w:szCs w:val="21"/>
              </w:rPr>
              <w:t xml:space="preserve">Budget $80 from the EdTech line for a portable "rough prototype kit": sharpies, index cards, sticky notes, masking tape, pipe cleaners. It lives in the coaching room and gets used in every subsequent design session and PLC.</w:t>
            </w:r>
          </w:p>
        </w:tc>
      </w:tr>
    </w:tbl>
    <w:p>
      <w:pPr>
        <w:pStyle w:val="Heading2"/>
        <w:spacing w:after="120" w:before="240"/>
      </w:pPr>
      <w:r>
        <w:rPr>
          <w:rFonts w:ascii="Calibri" w:cs="Calibri" w:eastAsia="Calibri" w:hAnsi="Calibri"/>
          <w:b/>
          <w:bCs/>
          <w:color w:val="4338CA"/>
          <w:sz w:val="26"/>
          <w:szCs w:val="26"/>
        </w:rPr>
        <w:t xml:space="preserve">What I'd Want Cohort Feedback On</w:t>
      </w:r>
    </w:p>
    <w:p>
      <w:pPr>
        <w:pStyle w:val="ListParagraph"/>
        <w:numPr>
          <w:ilvl w:val="0"/>
          <w:numId w:val="2"/>
        </w:numPr>
        <w:spacing w:after="80" w:line="300"/>
      </w:pPr>
      <w:r>
        <w:rPr>
          <w:rFonts w:ascii="Calibri" w:cs="Calibri" w:eastAsia="Calibri" w:hAnsi="Calibri"/>
          <w:sz w:val="22"/>
          <w:szCs w:val="22"/>
        </w:rPr>
        <w:t xml:space="preserve">Has anyone successfully run a design thinking workshop with veteran teachers (15+ years)? I am most worried about the "this isn't real PD" reaction and would love to borrow language that has worked for you.</w:t>
      </w:r>
    </w:p>
    <w:p>
      <w:pPr>
        <w:pStyle w:val="ListParagraph"/>
        <w:numPr>
          <w:ilvl w:val="0"/>
          <w:numId w:val="2"/>
        </w:numPr>
        <w:spacing w:after="80" w:line="300"/>
      </w:pPr>
      <w:r>
        <w:rPr>
          <w:rFonts w:ascii="Calibri" w:cs="Calibri" w:eastAsia="Calibri" w:hAnsi="Calibri"/>
          <w:sz w:val="22"/>
          <w:szCs w:val="22"/>
        </w:rPr>
        <w:t xml:space="preserve">How have you handled the follow-through problem — getting teachers to actually run their Monday prototype instead of letting the workshop evaporate?</w:t>
      </w:r>
    </w:p>
    <w:p>
      <w:pPr>
        <w:pStyle w:val="ListParagraph"/>
        <w:numPr>
          <w:ilvl w:val="0"/>
          <w:numId w:val="2"/>
        </w:numPr>
        <w:spacing w:after="80" w:line="300"/>
      </w:pPr>
      <w:r>
        <w:rPr>
          <w:rFonts w:ascii="Calibri" w:cs="Calibri" w:eastAsia="Calibri" w:hAnsi="Calibri"/>
          <w:sz w:val="22"/>
          <w:szCs w:val="22"/>
        </w:rPr>
        <w:t xml:space="preserve">Has anyone tried using a real school problem (instead of an abstract one like gift-giving) as the design prompt? Did the playfulness survive the higher stakes, or did the workshop drift into committee work?</w:t>
      </w:r>
    </w:p>
    <w:p>
      <w:pPr>
        <w:pBdr>
          <w:left w:val="single" w:color="4338CA" w:sz="18" w:space="12"/>
        </w:pBdr>
        <w:spacing w:after="160" w:before="120" w:line="320"/>
        <w:ind w:left="360"/>
      </w:pPr>
      <w:r>
        <w:rPr>
          <w:rFonts w:ascii="Calibri" w:cs="Calibri" w:eastAsia="Calibri" w:hAnsi="Calibri"/>
          <w:i/>
          <w:iCs/>
          <w:color w:val="1F2937"/>
          <w:sz w:val="22"/>
          <w:szCs w:val="22"/>
        </w:rPr>
        <w:t xml:space="preserve">Bias toward action. I had this image on my wall as a designer, and it is still on my wall now as an educator. The workshop's job is to give teachers permission, language, and one rough prototype to walk out with. Everything else is decoration.</w:t>
      </w:r>
    </w:p>
    <w:p>
      <w:pPr>
        <w:spacing w:after="160" w:line="320"/>
      </w:pPr>
      <w:r>
        <w:rPr>
          <w:rFonts w:ascii="Calibri" w:cs="Calibri" w:eastAsia="Calibri" w:hAnsi="Calibri"/>
          <w:i/>
          <w:iCs/>
          <w:color w:val="475569"/>
          <w:sz w:val="22"/>
          <w:szCs w:val="22"/>
        </w:rPr>
        <w:t xml:space="preserve">— Victor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64748B"/>
        <w:sz w:val="18"/>
        <w:szCs w:val="18"/>
      </w:rPr>
      <w:t xml:space="preserve">Victor Moronu  ·  TEACH-NOW M42U3A1</w:t>
    </w:r>
    <w:r>
      <w:rPr>
        <w:rFonts w:ascii="Calibri" w:cs="Calibri" w:eastAsia="Calibri" w:hAnsi="Calibri"/>
        <w:color w:val="64748B"/>
        <w:sz w:val="18"/>
        <w:szCs w:val="18"/>
      </w:rPr>
      <w:t xml:space="preserve">	Discussion Forum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2937"/>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4338CA"/>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M42U3A1 Discussion Forum — Design Thinking Workshop at Greenfield Prep</dc:title>
  <dc:creator>Victor Moronu</dc:creator>
  <cp:lastModifiedBy>Un-named</cp:lastModifiedBy>
  <cp:revision>1</cp:revision>
  <dcterms:created xsi:type="dcterms:W3CDTF">2026-05-13T07:35:15.238Z</dcterms:created>
  <dcterms:modified xsi:type="dcterms:W3CDTF">2026-05-13T07:35:15.239Z</dcterms:modified>
</cp:coreProperties>
</file>

<file path=docProps/custom.xml><?xml version="1.0" encoding="utf-8"?>
<Properties xmlns="http://schemas.openxmlformats.org/officeDocument/2006/custom-properties" xmlns:vt="http://schemas.openxmlformats.org/officeDocument/2006/docPropsVTypes"/>
</file>