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Requirements Specification</w:t>
      </w:r>
    </w:p>
    <w:p>
      <w:pPr>
        <w:spacing w:after="100" w:before="200"/>
        <w:jc w:val="center"/>
      </w:pPr>
      <w:r>
        <w:rPr>
          <w:color w:val="444444"/>
          <w:sz w:val="30"/>
          <w:szCs w:val="30"/>
        </w:rPr>
        <w:t xml:space="preserve">Bug/Issue Triage Tool &amp; AI-Powered Root Cause Correlation System</w:t>
      </w:r>
    </w:p>
    <w:p>
      <w:pPr>
        <w:spacing w:before="100"/>
        <w:jc w:val="center"/>
      </w:pPr>
      <w:r>
        <w:rPr>
          <w:color w:val="444444"/>
          <w:sz w:val="26"/>
          <w:szCs w:val="26"/>
        </w:rPr>
        <w:t xml:space="preserve">for Embedded Video &amp; Broadband Devices</w:t>
      </w:r>
    </w:p>
    <w:p>
      <w:pPr>
        <w:spacing w:before="100"/>
        <w:jc w:val="center"/>
      </w:pPr>
      <w:r>
        <w:rPr>
          <w:i/>
          <w:iCs/>
          <w:color w:val="666666"/>
          <w:sz w:val="22"/>
          <w:szCs w:val="22"/>
        </w:rPr>
        <w:t xml:space="preserve">(Set-Top Boxes, Residential Gateways, Cable Modems, ONTs, Wi-Fi Extenders)</w:t>
      </w:r>
    </w:p>
    <w:p>
      <w:pPr>
        <w:spacing w:before="900"/>
      </w:pPr>
    </w:p>
    <w:p>
      <w:pPr>
        <w:jc w:val="center"/>
      </w:pPr>
      <w:r>
        <w:rPr>
          <w:color w:val="666666"/>
          <w:sz w:val="22"/>
          <w:szCs w:val="22"/>
        </w:rPr>
        <w:t xml:space="preserve">Version 2.1  |  Consolidated Draft</w:t>
      </w:r>
    </w:p>
    <w:p>
      <w:pPr>
        <w:spacing w:before="100"/>
        <w:jc w:val="center"/>
      </w:pPr>
      <w:r>
        <w:rPr>
          <w:color w:val="666666"/>
          <w:sz w:val="22"/>
          <w:szCs w:val="22"/>
        </w:rPr>
        <w:t xml:space="preserve">Document Owner: Engineering / QA Tools</w:t>
      </w:r>
    </w:p>
    <w:p>
      <w:pPr>
        <w:spacing w:before="260"/>
        <w:jc w:val="center"/>
      </w:pPr>
      <w:r>
        <w:rPr>
          <w:i/>
          <w:iCs/>
          <w:color w:val="888888"/>
          <w:sz w:val="18"/>
          <w:szCs w:val="18"/>
        </w:rPr>
        <w:t xml:space="preserve">This document consolidates: (1) the Bug/Issue Triage Tool requirements, and</w:t>
      </w:r>
    </w:p>
    <w:p>
      <w:pPr>
        <w:jc w:val="center"/>
      </w:pPr>
      <w:r>
        <w:rPr>
          <w:i/>
          <w:iCs/>
          <w:color w:val="888888"/>
          <w:sz w:val="18"/>
          <w:szCs w:val="18"/>
        </w:rPr>
        <w:t xml:space="preserve">(2) the AI-Powered Triage &amp; Root-Cause Correlation reference architecture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50"/>
      </w:pPr>
      <w:r>
        <w:t xml:space="preserve">This document specifies the functional and non-functional requirements for a combined system serving engineering, QA, and support teams working on embedded video and broadband customer-premises equipment (CPE) — set-top boxes (STBs), residential gateways, cable/DSL/fiber modems (DOCSIS, VDSL, GPON/XGS-PON), and Wi-Fi extenders. The system has two integrated layers:</w:t>
      </w:r>
    </w:p>
    <w:p>
      <w:pPr>
        <w:pStyle w:val="ListParagraph"/>
        <w:numPr>
          <w:ilvl w:val="0"/>
          <w:numId w:val="2"/>
        </w:numPr>
        <w:spacing w:after="80"/>
      </w:pPr>
      <w:r>
        <w:t xml:space="preserve">A Bug/Issue Triage Tool that standardizes intake, enrichment, deduplication, and classification of defects from lab, field-trial, and production sources.</w:t>
      </w:r>
    </w:p>
    <w:p>
      <w:pPr>
        <w:pStyle w:val="ListParagraph"/>
        <w:numPr>
          <w:ilvl w:val="0"/>
          <w:numId w:val="2"/>
        </w:numPr>
        <w:spacing w:after="80"/>
      </w:pPr>
      <w:r>
        <w:t xml:space="preserve">An AI-Powered Correlation &amp; Root Cause Analysis layer that stores source code, device logs, and technical documents in formats an AI agent can query and correlate, so it can point an engineer at the specific commit, function, or configuration most likely responsible for a given issue.</w:t>
      </w:r>
    </w:p>
    <w:p>
      <w:pPr>
        <w:spacing w:after="150"/>
      </w:pPr>
      <w:r>
        <w:t xml:space="preserve">Together, these reduce the time between a defect being observed and it being correctly classified, routed, and root-caused.</w:t>
      </w:r>
    </w:p>
    <w:p>
      <w:pPr>
        <w:pStyle w:val="Heading2"/>
        <w:spacing w:after="150" w:before="300"/>
      </w:pPr>
      <w:r>
        <w:t xml:space="preserve">1.2 Scope</w:t>
      </w:r>
    </w:p>
    <w:p>
      <w:pPr>
        <w:spacing w:after="150"/>
      </w:pPr>
      <w:r>
        <w:t xml:space="preserve">In scope:</w:t>
      </w:r>
    </w:p>
    <w:p>
      <w:pPr>
        <w:pStyle w:val="ListParagraph"/>
        <w:numPr>
          <w:ilvl w:val="0"/>
          <w:numId w:val="2"/>
        </w:numPr>
        <w:spacing w:after="80"/>
      </w:pPr>
      <w:r>
        <w:t xml:space="preserve">Manual and automated issue intake from lab test benches, field trial fleets, RDK/OpenSync-based device logging, customer support tickets, and crash/telemetry pipelines.</w:t>
      </w:r>
    </w:p>
    <w:p>
      <w:pPr>
        <w:pStyle w:val="ListParagraph"/>
        <w:numPr>
          <w:ilvl w:val="0"/>
          <w:numId w:val="2"/>
        </w:numPr>
        <w:spacing w:after="80"/>
      </w:pPr>
      <w:r>
        <w:t xml:space="preserve">Ingestion and parsing of device logs, kernel/coredumps, crash reports, and RF/PHY diagnostics.</w:t>
      </w:r>
    </w:p>
    <w:p>
      <w:pPr>
        <w:pStyle w:val="ListParagraph"/>
        <w:numPr>
          <w:ilvl w:val="0"/>
          <w:numId w:val="2"/>
        </w:numPr>
        <w:spacing w:after="80"/>
      </w:pPr>
      <w:r>
        <w:t xml:space="preserve">Automated classification, severity scoring, and duplicate/signature detection.</w:t>
      </w:r>
    </w:p>
    <w:p>
      <w:pPr>
        <w:pStyle w:val="ListParagraph"/>
        <w:numPr>
          <w:ilvl w:val="0"/>
          <w:numId w:val="2"/>
        </w:numPr>
        <w:spacing w:after="80"/>
      </w:pPr>
      <w:r>
        <w:t xml:space="preserve">Device- and network-context capture (hardware revision, chipset, firmware/software version, operator/ISP, region, CPE model).</w:t>
      </w:r>
    </w:p>
    <w:p>
      <w:pPr>
        <w:pStyle w:val="ListParagraph"/>
        <w:numPr>
          <w:ilvl w:val="0"/>
          <w:numId w:val="2"/>
        </w:numPr>
        <w:spacing w:after="80"/>
      </w:pPr>
      <w:r>
        <w:t xml:space="preserve">Domain-specific triage fields for video devices (tuner, HDMI/CI+, DRM, transport stream, codec, EPG, middleware) and broadband devices (WAN/PHY, DOCSIS/PON registration, Wi-Fi, DHCP/PPPoE, throughput, QoE).</w:t>
      </w:r>
    </w:p>
    <w:p>
      <w:pPr>
        <w:pStyle w:val="ListParagraph"/>
        <w:numPr>
          <w:ilvl w:val="0"/>
          <w:numId w:val="2"/>
        </w:numPr>
        <w:spacing w:after="80"/>
      </w:pPr>
      <w:r>
        <w:t xml:space="preserve">Dashboards, reporting, and escalation workflows; integration with downstream bug trackers, CI/regression systems, and device management platforms.</w:t>
      </w:r>
    </w:p>
    <w:p>
      <w:pPr>
        <w:pStyle w:val="ListParagraph"/>
        <w:numPr>
          <w:ilvl w:val="0"/>
          <w:numId w:val="2"/>
        </w:numPr>
        <w:spacing w:after="80"/>
      </w:pPr>
      <w:r>
        <w:t xml:space="preserve">Storage and indexing of source code, logs, and documents in formats suited to AI-driven correlation (vector search, keyword search, knowledge graph).</w:t>
      </w:r>
    </w:p>
    <w:p>
      <w:pPr>
        <w:pStyle w:val="ListParagraph"/>
        <w:numPr>
          <w:ilvl w:val="0"/>
          <w:numId w:val="2"/>
        </w:numPr>
        <w:spacing w:after="80"/>
      </w:pPr>
      <w:r>
        <w:t xml:space="preserve">An AI agent capable of investigating an issue across code, logs, and documents, and proposing a root cause with supporting evidence.</w:t>
      </w:r>
    </w:p>
    <w:p>
      <w:pPr>
        <w:spacing w:after="150"/>
      </w:pPr>
      <w:r>
        <w:t xml:space="preserve">Out of scope:</w:t>
      </w:r>
    </w:p>
    <w:p>
      <w:pPr>
        <w:pStyle w:val="ListParagraph"/>
        <w:numPr>
          <w:ilvl w:val="0"/>
          <w:numId w:val="2"/>
        </w:numPr>
        <w:spacing w:after="80"/>
      </w:pPr>
      <w:r>
        <w:t xml:space="preserve">Full lifecycle defect management (sprint planning, release management) — remains the responsibility of the downstream issue tracker.</w:t>
      </w:r>
    </w:p>
    <w:p>
      <w:pPr>
        <w:pStyle w:val="ListParagraph"/>
        <w:numPr>
          <w:ilvl w:val="0"/>
          <w:numId w:val="2"/>
        </w:numPr>
        <w:spacing w:after="80"/>
      </w:pPr>
      <w:r>
        <w:t xml:space="preserve">Firmware build/CI pipeline orchestration — the system integrates with, but does not replace, CI/CD.</w:t>
      </w:r>
    </w:p>
    <w:p>
      <w:pPr>
        <w:pStyle w:val="ListParagraph"/>
        <w:numPr>
          <w:ilvl w:val="0"/>
          <w:numId w:val="2"/>
        </w:numPr>
        <w:spacing w:after="80"/>
      </w:pPr>
      <w:r>
        <w:t xml:space="preserve">Customer-facing support ticketing/CRM functionality.</w:t>
      </w:r>
    </w:p>
    <w:p>
      <w:pPr>
        <w:pStyle w:val="ListParagraph"/>
        <w:numPr>
          <w:ilvl w:val="0"/>
          <w:numId w:val="2"/>
        </w:numPr>
        <w:spacing w:after="80"/>
      </w:pPr>
      <w:r>
        <w:t xml:space="preserve">Fully autonomous remediation (e.g., auto-committing code fixes) — the AI layer is advisory unless and until accuracy is proven in production (see Section 6.8).</w:t>
      </w:r>
    </w:p>
    <w:p>
      <w:pPr>
        <w:spacing w:after="200"/>
      </w:pPr>
    </w:p>
    <w:p>
      <w:pPr>
        <w:pStyle w:val="Heading2"/>
        <w:spacing w:after="150" w:before="300"/>
      </w:pPr>
      <w:r>
        <w:t xml:space="preserve">1.3 Intended Audience</w:t>
      </w:r>
    </w:p>
    <w:p>
      <w:pPr>
        <w:pStyle w:val="ListParagraph"/>
        <w:numPr>
          <w:ilvl w:val="0"/>
          <w:numId w:val="2"/>
        </w:numPr>
        <w:spacing w:after="80"/>
      </w:pPr>
      <w:r>
        <w:t xml:space="preserve">Firmware and embedded software engineers (video middleware, RDK, networking stack, driver teams).</w:t>
      </w:r>
    </w:p>
    <w:p>
      <w:pPr>
        <w:pStyle w:val="ListParagraph"/>
        <w:numPr>
          <w:ilvl w:val="0"/>
          <w:numId w:val="2"/>
        </w:numPr>
        <w:spacing w:after="80"/>
      </w:pPr>
      <w:r>
        <w:t xml:space="preserve">QA / test engineers running lab automation, interoperability, and field trial testing.</w:t>
      </w:r>
    </w:p>
    <w:p>
      <w:pPr>
        <w:pStyle w:val="ListParagraph"/>
        <w:numPr>
          <w:ilvl w:val="0"/>
          <w:numId w:val="2"/>
        </w:numPr>
        <w:spacing w:after="80"/>
      </w:pPr>
      <w:r>
        <w:t xml:space="preserve">Support and NOC/field engineers escalating issues from live deployments.</w:t>
      </w:r>
    </w:p>
    <w:p>
      <w:pPr>
        <w:pStyle w:val="ListParagraph"/>
        <w:numPr>
          <w:ilvl w:val="0"/>
          <w:numId w:val="2"/>
        </w:numPr>
        <w:spacing w:after="80"/>
      </w:pPr>
      <w:r>
        <w:t xml:space="preserve">Engineering managers and program managers tracking defect trends and release quality.</w:t>
      </w:r>
    </w:p>
    <w:p>
      <w:pPr>
        <w:pStyle w:val="ListParagraph"/>
        <w:numPr>
          <w:ilvl w:val="0"/>
          <w:numId w:val="2"/>
        </w:numPr>
        <w:spacing w:after="80"/>
      </w:pPr>
      <w:r>
        <w:t xml:space="preserve">Tool/DevOps/ML engineers responsible for implementing the triage tool and the AI correlation layer.</w:t>
      </w:r>
    </w:p>
    <w:p>
      <w:pPr>
        <w:spacing w:after="200"/>
      </w:pPr>
    </w:p>
    <w:p>
      <w:pPr>
        <w:pStyle w:val="Heading2"/>
        <w:spacing w:after="150" w:before="300"/>
      </w:pPr>
      <w:r>
        <w:t xml:space="preserve">1.4 Definitions, Acronyms and Abbreviations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774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74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CPE</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Customer-Premises Equipment (STB, gateway, modem, extender).</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STB</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Set-Top Box.</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DOCSIS</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Data Over Cable Service Interface Specification (cable modem PHY/MAC standard).</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GPON/XGS-PON</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Gigabit/10G Passive Optical Network fiber access standards.</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ONT/ONU</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Optical Network Terminal/Unit — fiber CPE.</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RDK</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Reference Design Kit — common open-source software stack for STBs and gateways.</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ACS</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Auto Configuration Server (TR-069/TR-369 remote management).</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DRM</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Digital Rights Management.</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SoC</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System on Chip (e.g., Broadcom, Amlogic, MaxLinear/Intel, Qualcomm chipsets).</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Coredump / Minidump</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A memory snapshot captured at the point of a crash, used for post-mortem analysis.</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Signature</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A normalized pattern (e.g., hashed stack trace, log template) used to match a new issue to a known defect.</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Embedding</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A numeric vector representation of text or code that captures semantic meaning, enabling similarity search.</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Vector database</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A database optimized for storing embeddings and retrieving items with the closest semantic meaning to a query.</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RAG</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Retrieval-Augmented Generation — retrieving relevant data first, then giving it to an AI model as context before it answers.</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Knowledge graph</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A database of nodes (entities) and edges (relationships) used to represent and query connections, e.g., commit → file → component → incident.</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Hybrid search</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Combining keyword (exact-match) search, vector (semantic) search, and/or graph traversal, then merging results.</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Log templating</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Collapsing many similar raw log lines into a small set of structured patterns (templates), e.g., via Drain3.</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Symbolication</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Resolving a raw crash memory address to a human-readable function name, file, and line number.</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SCIP</w:t>
            </w:r>
          </w:p>
        </w:tc>
        <w:tc>
          <w:tcPr>
            <w:tcW w:type="dxa" w:w="7740"/>
            <w:shd w:fill="FFFFFF" w:color="auto" w:val="clear"/>
            <w:tcMar>
              <w:top w:type="dxa" w:w="60"/>
              <w:left w:type="dxa" w:w="100"/>
              <w:bottom w:type="dxa" w:w="60"/>
              <w:right w:type="dxa" w:w="100"/>
            </w:tcMar>
            <w:vAlign w:val="center"/>
          </w:tcPr>
          <w:p>
            <w:pPr>
              <w:jc w:val="left"/>
            </w:pPr>
            <w:r>
              <w:rPr>
                <w:b w:val="false"/>
                <w:bCs w:val="false"/>
                <w:sz w:val="19"/>
                <w:szCs w:val="19"/>
              </w:rPr>
              <w:t xml:space="preserve">A language-agnostic code-indexing protocol used for precise, compiler-accurate code navigation.</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Agent (tool-calling)</w:t>
            </w:r>
          </w:p>
        </w:tc>
        <w:tc>
          <w:tcPr>
            <w:tcW w:type="dxa" w:w="7740"/>
            <w:shd w:fill="F2F2F2" w:color="auto" w:val="clear"/>
            <w:tcMar>
              <w:top w:type="dxa" w:w="60"/>
              <w:left w:type="dxa" w:w="100"/>
              <w:bottom w:type="dxa" w:w="60"/>
              <w:right w:type="dxa" w:w="100"/>
            </w:tcMar>
            <w:vAlign w:val="center"/>
          </w:tcPr>
          <w:p>
            <w:pPr>
              <w:jc w:val="left"/>
            </w:pPr>
            <w:r>
              <w:rPr>
                <w:b w:val="false"/>
                <w:bCs w:val="false"/>
                <w:sz w:val="19"/>
                <w:szCs w:val="19"/>
              </w:rPr>
              <w:t xml:space="preserve">An AI system that can invoke defined tools (queries, lookups) and reason over the results across multiple steps before answering.</w:t>
            </w:r>
          </w:p>
        </w:tc>
      </w:tr>
    </w:tbl>
    <w:p>
      <w:pPr>
        <w:spacing w:after="200"/>
      </w:pPr>
    </w:p>
    <w:p>
      <w:pPr>
        <w:pStyle w:val="Heading2"/>
        <w:spacing w:after="150" w:before="300"/>
      </w:pPr>
      <w:r>
        <w:t xml:space="preserve">1.5 References</w:t>
      </w:r>
    </w:p>
    <w:p>
      <w:pPr>
        <w:pStyle w:val="ListParagraph"/>
        <w:numPr>
          <w:ilvl w:val="0"/>
          <w:numId w:val="2"/>
        </w:numPr>
        <w:spacing w:after="80"/>
      </w:pPr>
      <w:r>
        <w:t xml:space="preserve">Existing defect tracker configuration (e.g., Jira project schemas) for teams this tool integrates with.</w:t>
      </w:r>
    </w:p>
    <w:p>
      <w:pPr>
        <w:pStyle w:val="ListParagraph"/>
        <w:numPr>
          <w:ilvl w:val="0"/>
          <w:numId w:val="2"/>
        </w:numPr>
        <w:spacing w:after="80"/>
      </w:pPr>
      <w:r>
        <w:t xml:space="preserve">RDK-B/RDK-V logging and telemetry specifications (Telemetry 2.0, RDK Logger, Crashupload/Breakpad minidumps), where applicable.</w:t>
      </w:r>
    </w:p>
    <w:p>
      <w:pPr>
        <w:pStyle w:val="ListParagraph"/>
        <w:numPr>
          <w:ilvl w:val="0"/>
          <w:numId w:val="2"/>
        </w:numPr>
        <w:spacing w:after="80"/>
      </w:pPr>
      <w:r>
        <w:t xml:space="preserve">Broadband Forum TR-069/TR-369 (USP), TR-181 data model documentation.</w:t>
      </w:r>
    </w:p>
    <w:p>
      <w:pPr>
        <w:pStyle w:val="ListParagraph"/>
        <w:numPr>
          <w:ilvl w:val="0"/>
          <w:numId w:val="2"/>
        </w:numPr>
        <w:spacing w:after="80"/>
      </w:pPr>
      <w:r>
        <w:t xml:space="preserve">DOCSIS 3.1/4.0 and ITU-T GPON/XGS-PON specifications, for RF/PHY diagnostic field definitions.</w:t>
      </w:r>
    </w:p>
    <w:p>
      <w:pPr>
        <w:pStyle w:val="ListParagraph"/>
        <w:numPr>
          <w:ilvl w:val="0"/>
          <w:numId w:val="2"/>
        </w:numPr>
        <w:spacing w:after="80"/>
      </w:pPr>
      <w:r>
        <w:t xml:space="preserve">Internal chipset vendor SDK debug/log documentation (Broadcom, Amlogic, Qualcomm, MaxLinear, etc.).</w:t>
      </w:r>
    </w:p>
    <w:p>
      <w:pPr>
        <w:pStyle w:val="ListParagraph"/>
        <w:numPr>
          <w:ilvl w:val="0"/>
          <w:numId w:val="2"/>
        </w:numPr>
        <w:spacing w:after="80"/>
      </w:pPr>
      <w:r>
        <w:t xml:space="preserve">OpenTelemetry semantic conventions, for cross-signal correlation of logs/traces/metrics.</w:t>
      </w:r>
    </w:p>
    <w:p>
      <w:pPr>
        <w:pStyle w:val="ListParagraph"/>
        <w:numPr>
          <w:ilvl w:val="0"/>
          <w:numId w:val="2"/>
        </w:numPr>
        <w:spacing w:after="80"/>
      </w:pPr>
      <w:r>
        <w:t xml:space="preserve">SCIP (Sourcegraph Code Intelligence Protocol) documentation, for precise code indexing.</w:t>
      </w:r>
    </w:p>
    <w:p>
      <w:r>
        <w:br w:type="page"/>
      </w:r>
    </w:p>
    <w:p>
      <w:pPr>
        <w:pStyle w:val="Heading1"/>
        <w:spacing w:after="200" w:before="400"/>
      </w:pPr>
      <w:r>
        <w:t xml:space="preserve">2. Product Overview</w:t>
      </w:r>
    </w:p>
    <w:p>
      <w:pPr>
        <w:pStyle w:val="Heading2"/>
        <w:spacing w:after="150" w:before="300"/>
      </w:pPr>
      <w:r>
        <w:t xml:space="preserve">2.1 Product Perspective</w:t>
      </w:r>
    </w:p>
    <w:p>
      <w:pPr>
        <w:spacing w:after="150"/>
      </w:pPr>
      <w:r>
        <w:t xml:space="preserve">The system acts as the front door for defects discovered anywhere in the device lifecycle — lab bench, automated test farm, field trial fleet, or live customer base — and as an investigative layer that helps engineers get from symptom to root cause faster. It normalizes disparate inputs into a consistent, enriched issue record; stores source code, logs, and documents in the format each is best suited to; links them with a shared identifier scheme and a knowledge graph; and exposes an AI agent that can query across all three to propose a root cause with cited evidence.</w:t>
      </w:r>
    </w:p>
    <w:p>
      <w:pPr>
        <w:pStyle w:val="Heading2"/>
        <w:spacing w:after="150" w:before="300"/>
      </w:pPr>
      <w:r>
        <w:t xml:space="preserve">2.2 User Personas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Persona</w:t>
            </w:r>
          </w:p>
        </w:tc>
        <w:tc>
          <w:tcPr>
            <w:tcW w:type="dxa" w:w="7240"/>
            <w:shd w:fill="1F3864" w:color="auto" w:val="clear"/>
            <w:tcMar>
              <w:top w:type="dxa" w:w="60"/>
              <w:left w:type="dxa" w:w="100"/>
              <w:bottom w:type="dxa" w:w="60"/>
              <w:right w:type="dxa" w:w="100"/>
            </w:tcMar>
            <w:vAlign w:val="center"/>
          </w:tcPr>
          <w:p>
            <w:pPr>
              <w:jc w:val="left"/>
            </w:pPr>
            <w:r>
              <w:rPr>
                <w:b/>
                <w:bCs/>
                <w:color w:val="FFFFFF"/>
                <w:sz w:val="19"/>
                <w:szCs w:val="19"/>
              </w:rPr>
              <w:t xml:space="preserve">Needs / Motivation</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Lab QA Engineer</w:t>
            </w:r>
          </w:p>
        </w:tc>
        <w:tc>
          <w:tcPr>
            <w:tcW w:type="dxa" w:w="7240"/>
            <w:shd w:fill="FFFFFF" w:color="auto" w:val="clear"/>
            <w:tcMar>
              <w:top w:type="dxa" w:w="60"/>
              <w:left w:type="dxa" w:w="100"/>
              <w:bottom w:type="dxa" w:w="60"/>
              <w:right w:type="dxa" w:w="100"/>
            </w:tcMar>
            <w:vAlign w:val="center"/>
          </w:tcPr>
          <w:p>
            <w:pPr>
              <w:jc w:val="left"/>
            </w:pPr>
            <w:r>
              <w:rPr>
                <w:b w:val="false"/>
                <w:bCs w:val="false"/>
                <w:sz w:val="19"/>
                <w:szCs w:val="19"/>
              </w:rPr>
              <w:t xml:space="preserve">Runs manual and automated test cases; needs to file an issue in seconds with logs auto-attached and device/firmware context pre-filled.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Firmware/Middleware Developer</w:t>
            </w:r>
          </w:p>
        </w:tc>
        <w:tc>
          <w:tcPr>
            <w:tcW w:type="dxa" w:w="7240"/>
            <w:shd w:fill="F2F2F2" w:color="auto" w:val="clear"/>
            <w:tcMar>
              <w:top w:type="dxa" w:w="60"/>
              <w:left w:type="dxa" w:w="100"/>
              <w:bottom w:type="dxa" w:w="60"/>
              <w:right w:type="dxa" w:w="100"/>
            </w:tcMar>
            <w:vAlign w:val="center"/>
          </w:tcPr>
          <w:p>
            <w:pPr>
              <w:jc w:val="left"/>
            </w:pPr>
            <w:r>
              <w:rPr>
                <w:b w:val="false"/>
                <w:bCs w:val="false"/>
                <w:sz w:val="19"/>
                <w:szCs w:val="19"/>
              </w:rPr>
              <w:t xml:space="preserve">Needs an incoming ticket to already contain a symbolized crash, relevant log window, first-pass classification, and — ideally — a proposed root cause with links to the responsible commit.</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Field/NOC Engineer</w:t>
            </w:r>
          </w:p>
        </w:tc>
        <w:tc>
          <w:tcPr>
            <w:tcW w:type="dxa" w:w="7240"/>
            <w:shd w:fill="FFFFFF" w:color="auto" w:val="clear"/>
            <w:tcMar>
              <w:top w:type="dxa" w:w="60"/>
              <w:left w:type="dxa" w:w="100"/>
              <w:bottom w:type="dxa" w:w="60"/>
              <w:right w:type="dxa" w:w="100"/>
            </w:tcMar>
            <w:vAlign w:val="center"/>
          </w:tcPr>
          <w:p>
            <w:pPr>
              <w:jc w:val="left"/>
            </w:pPr>
            <w:r>
              <w:rPr>
                <w:b w:val="false"/>
                <w:bCs w:val="false"/>
                <w:sz w:val="19"/>
                <w:szCs w:val="19"/>
              </w:rPr>
              <w:t xml:space="preserve">Triages issues from live deployments across thousands of devices; needs fleet-wide impact sizing and correlation to firmware/hardware cohorts.</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Support Engineer / Tier 2</w:t>
            </w:r>
          </w:p>
        </w:tc>
        <w:tc>
          <w:tcPr>
            <w:tcW w:type="dxa" w:w="7240"/>
            <w:shd w:fill="F2F2F2" w:color="auto" w:val="clear"/>
            <w:tcMar>
              <w:top w:type="dxa" w:w="60"/>
              <w:left w:type="dxa" w:w="100"/>
              <w:bottom w:type="dxa" w:w="60"/>
              <w:right w:type="dxa" w:w="100"/>
            </w:tcMar>
            <w:vAlign w:val="center"/>
          </w:tcPr>
          <w:p>
            <w:pPr>
              <w:jc w:val="left"/>
            </w:pPr>
            <w:r>
              <w:rPr>
                <w:b w:val="false"/>
                <w:bCs w:val="false"/>
                <w:sz w:val="19"/>
                <w:szCs w:val="19"/>
              </w:rPr>
              <w:t xml:space="preserve">Escalates unclear customer-reported issues; needs guided data collection and duplicate detection against known issues.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Engineering/Program Manager</w:t>
            </w:r>
          </w:p>
        </w:tc>
        <w:tc>
          <w:tcPr>
            <w:tcW w:type="dxa" w:w="7240"/>
            <w:shd w:fill="FFFFFF" w:color="auto" w:val="clear"/>
            <w:tcMar>
              <w:top w:type="dxa" w:w="60"/>
              <w:left w:type="dxa" w:w="100"/>
              <w:bottom w:type="dxa" w:w="60"/>
              <w:right w:type="dxa" w:w="100"/>
            </w:tcMar>
            <w:vAlign w:val="center"/>
          </w:tcPr>
          <w:p>
            <w:pPr>
              <w:jc w:val="left"/>
            </w:pPr>
            <w:r>
              <w:rPr>
                <w:b w:val="false"/>
                <w:bCs w:val="false"/>
                <w:sz w:val="19"/>
                <w:szCs w:val="19"/>
              </w:rPr>
              <w:t xml:space="preserve">Needs dashboards on defect inflow, backlog aging, severity distribution, and release quality trends.</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Tool/ML Administrator</w:t>
            </w:r>
          </w:p>
        </w:tc>
        <w:tc>
          <w:tcPr>
            <w:tcW w:type="dxa" w:w="7240"/>
            <w:shd w:fill="F2F2F2" w:color="auto" w:val="clear"/>
            <w:tcMar>
              <w:top w:type="dxa" w:w="60"/>
              <w:left w:type="dxa" w:w="100"/>
              <w:bottom w:type="dxa" w:w="60"/>
              <w:right w:type="dxa" w:w="100"/>
            </w:tcMar>
            <w:vAlign w:val="center"/>
          </w:tcPr>
          <w:p>
            <w:pPr>
              <w:jc w:val="left"/>
            </w:pPr>
            <w:r>
              <w:rPr>
                <w:b w:val="false"/>
                <w:bCs w:val="false"/>
                <w:sz w:val="19"/>
                <w:szCs w:val="19"/>
              </w:rPr>
              <w:t xml:space="preserve">Configures signature rules, integrations, taxonomies, the knowledge graph schema, and the AI agent's tools and permissions.</w:t>
            </w:r>
          </w:p>
        </w:tc>
      </w:tr>
    </w:tbl>
    <w:p>
      <w:pPr>
        <w:spacing w:after="200"/>
      </w:pPr>
    </w:p>
    <w:p>
      <w:pPr>
        <w:pStyle w:val="Heading2"/>
        <w:spacing w:after="150" w:before="300"/>
      </w:pPr>
      <w:r>
        <w:t xml:space="preserve">2.3 Assumptions and Dependencies</w:t>
      </w:r>
    </w:p>
    <w:p>
      <w:pPr>
        <w:pStyle w:val="ListParagraph"/>
        <w:numPr>
          <w:ilvl w:val="0"/>
          <w:numId w:val="2"/>
        </w:numPr>
        <w:spacing w:after="80"/>
      </w:pPr>
      <w:r>
        <w:t xml:space="preserve">Target devices run RDK-V/RDK-B, or a vendor Linux/Android TV/Yocto-based stack, and expose a standard log-pull mechanism (SSH, TR-069/TR-369 diagnostics, syslog forwarding, or a proprietary log-collection agent).</w:t>
      </w:r>
    </w:p>
    <w:p>
      <w:pPr>
        <w:pStyle w:val="ListParagraph"/>
        <w:numPr>
          <w:ilvl w:val="0"/>
          <w:numId w:val="2"/>
        </w:numPr>
        <w:spacing w:after="80"/>
      </w:pPr>
      <w:r>
        <w:t xml:space="preserve">A downstream issue tracker (e.g., Jira) already exists and its API is reachable from the triage tool.</w:t>
      </w:r>
    </w:p>
    <w:p>
      <w:pPr>
        <w:pStyle w:val="ListParagraph"/>
        <w:numPr>
          <w:ilvl w:val="0"/>
          <w:numId w:val="2"/>
        </w:numPr>
        <w:spacing w:after="80"/>
      </w:pPr>
      <w:r>
        <w:t xml:space="preserve">Devices in field trials/production report telemetry via an existing pipeline (e.g., Kafka/MQTT-based telemetry bus) that the system can subscribe to.</w:t>
      </w:r>
    </w:p>
    <w:p>
      <w:pPr>
        <w:pStyle w:val="ListParagraph"/>
        <w:numPr>
          <w:ilvl w:val="0"/>
          <w:numId w:val="2"/>
        </w:numPr>
        <w:spacing w:after="80"/>
      </w:pPr>
      <w:r>
        <w:t xml:space="preserve">Firmware builds are versioned consistently and build metadata (build ID, branch, SoC, ODM) is available.</w:t>
      </w:r>
    </w:p>
    <w:p>
      <w:pPr>
        <w:pStyle w:val="ListParagraph"/>
        <w:numPr>
          <w:ilvl w:val="0"/>
          <w:numId w:val="2"/>
        </w:numPr>
        <w:spacing w:after="80"/>
      </w:pPr>
      <w:r>
        <w:t xml:space="preserve">Source code repositories are accessible to an indexing service (CI or scheduled job) and debug symbols are archived per released firmware build.</w:t>
      </w:r>
    </w:p>
    <w:p>
      <w:r>
        <w:br w:type="page"/>
      </w:r>
    </w:p>
    <w:p>
      <w:pPr>
        <w:pStyle w:val="Heading1"/>
        <w:spacing w:after="200" w:before="400"/>
      </w:pPr>
      <w:r>
        <w:t xml:space="preserve">3. Functional Requirements — Triage Tool</w:t>
      </w:r>
    </w:p>
    <w:p>
      <w:pPr>
        <w:spacing w:after="150"/>
      </w:pPr>
      <w:r>
        <w:t xml:space="preserve">Priority key: M = Must Have, S = Should Have, C = Could Have (MoSCoW).</w:t>
      </w:r>
    </w:p>
    <w:p>
      <w:pPr>
        <w:spacing w:after="100"/>
      </w:pPr>
    </w:p>
    <w:p>
      <w:pPr>
        <w:pStyle w:val="Heading2"/>
        <w:spacing w:after="150" w:before="300"/>
      </w:pPr>
      <w:r>
        <w:t xml:space="preserve">3.1 Issue Intake &amp; Creation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FR-001</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allow manual creation of an issue via a web form, capturing title, description, steps to reproduce, expected/actual result, and severity.</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FR-002</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automated issue creation triggered by device crash/coredump/watchdog-reboot events reported through telemetry.</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FR-003</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issue creation via a CLI/API, so lab automation frameworks can file issues directly from test failures.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FR-004</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bulk import of issues from CSV/spreadsheet for migration purposes.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C</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FR-005</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creation from a browser extension or remote-diagnostics plugin that pre-fills device context from an active session.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FR-006</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allow attachment of log bundles, pcaps, screenshots, or short screen recordings at time of creation.</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FR-007</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auto-attach the most recent N minutes of on-device rolling logs when an issue is filed against a connected/reachable device.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3.2 Device &amp; Firmware Metadata Capture</w:t>
      </w:r>
    </w:p>
    <w:p>
      <w:pPr>
        <w:spacing w:after="150"/>
      </w:pPr>
      <w:r>
        <w:t xml:space="preserve">Every issue must be traceable to an exact hardware/software configuration.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FR-010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device model, hardware revision, and serial/MAC identifier for every issue.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FR-011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firmware/software version, build ID, build branch, and build date.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FR-012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SoC/chipset vendor and vendor SDK version.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FR-013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the operator/ISP and deployment region associated with the device or device cohort.</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FR-014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bootloader version and secure-boot/provisioning state where applicable.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FR-015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auto-populate device/firmware metadata from a connected device or telemetry event, minimizing manual entry.</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FR-016</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device/firmware taxonomy (model families, chipset generations) administrable without code changes.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3.3 Log &amp; Diagnostic Data Ingestion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FR-020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ingest and index plain-text syslogs, including RDK-standard log components.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FR-021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parse native and vendor-proprietary coredump/crash formats and extract a symbolized stack trace when debug symbols are available.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FR-022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parse kernel panic / watchdog-reboot logs and extract the panic reason, offending module, and last known process state.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FR-023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ingestion of packet captures (pcap/pcapng) and surface summary statistics.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FR-024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ingestion of RF/PHY diagnostic data (DOCSIS SNR/power, GPON optical Rx/Tx power, Wi-Fi RSSI/channel data).</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FR-025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ingestion of middleware/application-layer logs (EPG loading, app crashes, DRM license failures).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FR-026</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normalize timestamps across log sources to a single timeline per issue, accounting for device clock drift.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FR-027</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configurable log parsers/plugins so new log formats can be added without core changes.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3.4 Automated Triage &amp; Classification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FR-030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automatically assign a suggested component/subsystem based on log content and crash signature.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FR-031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automatically assign a suggested severity based on configurable rules.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FR-032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calculate a fleet-impact score for field-reported issues based on affected device count/percentage, regions, and operators.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FR-033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human triager to accept, override, or reclassify any automated suggestion, recording the override for rule tuning.</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FR-034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configurable routing rules that assign new issues to an owning team/queue based on component classification.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3.5 Duplicate Detection &amp; Signature Matching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FR-040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generate a normalized signature (e.g., hashed stack trace, canonicalized panic string) for crash-type issues.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FR-041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compare new issue signatures against existing open and recently-closed issues and flag likely duplicates with a confidence score.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FR-042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triager to confirm, reject, or merge a suggested duplicate, rolling up occurrence counts onto the master issue.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FR-043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fuzzy matching for non-crash issues (free-text description similarity) as a secondary method.</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C</w:t>
            </w:r>
          </w:p>
        </w:tc>
      </w:tr>
    </w:tbl>
    <w:p>
      <w:pPr>
        <w:spacing w:after="200"/>
      </w:pPr>
    </w:p>
    <w:p>
      <w:pPr>
        <w:pStyle w:val="Heading2"/>
        <w:spacing w:after="150" w:before="300"/>
      </w:pPr>
      <w:r>
        <w:t xml:space="preserve">3.6 Video / Set-Top Box–Specific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FR-050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tuner type/standard, channel/frequency, and lock status at time of issue.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FR-051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HDMI/CI+ state (resolution, HDCP version/status, connected display EDID) when relevant.</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FR-052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transport stream and codec details (container, video/audio codec, resolution, bitrate) for playback issues.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FR-053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DRM system, license acquisition status, and error codes for protected-content playback failures.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FR-054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middleware/EPG state for navigation and guide-related issues.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FR-055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structured issue sub-type taxonomy for video defects (black screen, pixelation, A/V sync, app crash, EPG failure, HDMI-CEC failure).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3.7 Broadband / Gateway-Specific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FR-060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WAN access technology (DOCSIS 3.0/3.1/4.0, VDSL2, GPON/XGS-PON, Ethernet) and registration/link state.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FR-061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DOCSIS-specific diagnostics (SNR, power levels, T3/T4 timeouts, channel bonding state).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FR-062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PON-specific diagnostics (optical Rx/Tx power, ONT registration, ranging status).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FR-063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Wi-Fi diagnostics (band, channel, RSSI, connected client count, mesh/backhaul link quality).</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FR-064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WAN provisioning state (DHCP/PPPoE result, IPv4/IPv6 addressing, DNS resolution status).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FR-065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capture throughput/QoE metrics (speed test results, latency, packet loss, buffer bloat indicators).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FR-066</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structured issue sub-type taxonomy for broadband defects.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3.8 Bug Tracker &amp; Tooling Integration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FR-070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create and update linked tickets in a downstream tracker via API, keeping status in sync bi-directionally.</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FR-071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attach all triage-collected artifacts to the downstream ticket, linking to object storage where inline attachment isn't feasible.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FR-072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integrate with CI/regression test systems to auto-file issues from automated test-run failures.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FR-073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integrate with device/remote-management platforms (ACS, RDK Manager) to trigger on-demand diagnostics or log pulls.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FR-074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REST API and webhook support for custom integrations.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FR-075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integrate with chat/collaboration tools for notifications and quick-triage actions.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3.9 Collaboration &amp; Workflow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FR-080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a configurable triage workflow/state machine.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FR-081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comments, @mentions, and file attachments on an issue thread.</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FR-082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full audit history of field changes, status transitions, and classification overrides.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FR-083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linking related issues (duplicate, blocks, related-to, regression-of).</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FR-084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tagging an issue as a regression and linking it to the last-known-good firmware version.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3.10 Reporting &amp; Dashboards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FR-090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dashboard of open issues by severity, component, and firmware version.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FR-091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trend charts of issue inflow/outflow and backlog aging over time.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FR-092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fleet-health view showing top crash signatures by device count/percentage.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FR-093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exporting reports and scheduling recurring report delivery.</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FR-094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 per-firmware-release quality view comparing defect density against prior releases.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3.11 Search &amp; Filtering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FR-100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full-text search across issue titles, descriptions, comments, and ingested log content.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FR-101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faceted filtering by device model, firmware version, chipset, component, severity, status, region, and operator.</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FR-102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saved searches/filters per user or team.</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C</w:t>
            </w:r>
          </w:p>
        </w:tc>
      </w:tr>
    </w:tbl>
    <w:p>
      <w:pPr>
        <w:spacing w:after="200"/>
      </w:pPr>
    </w:p>
    <w:p>
      <w:pPr>
        <w:pStyle w:val="Heading2"/>
        <w:spacing w:after="150" w:before="300"/>
      </w:pPr>
      <w:r>
        <w:t xml:space="preserve">3.12 Notifications &amp; Escalation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FR-110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notify the assigned owner/team when an issue is created, reassigned, or reaches a status change.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FR-111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configurable auto-escalation rules based on severity and fleet impact.</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FR-112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SLA timers per severity level with breach alerts.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r>
        <w:br w:type="page"/>
      </w:r>
    </w:p>
    <w:p>
      <w:pPr>
        <w:pStyle w:val="Heading1"/>
        <w:spacing w:after="200" w:before="400"/>
      </w:pPr>
      <w:r>
        <w:t xml:space="preserve">4. Functional Requirements — AI-Powered Correlation &amp; Root Cause Analysis</w:t>
      </w:r>
    </w:p>
    <w:p>
      <w:pPr>
        <w:spacing w:after="150"/>
      </w:pPr>
      <w:r>
        <w:t xml:space="preserve">This section specifies how source code, logs, and documents are stored, linked, and queried so that an AI agent can correlate them and propose root causes. It reflects a polyglot-persistence architecture: each data type is stored in the format best suited to it, tied together with a shared identifier schema and a knowledge graph, and exposed to an AI agent through hybrid retrieval.</w:t>
      </w:r>
    </w:p>
    <w:p>
      <w:pPr>
        <w:spacing w:after="100"/>
      </w:pPr>
    </w:p>
    <w:p>
      <w:pPr>
        <w:pStyle w:val="Heading2"/>
        <w:spacing w:after="150" w:before="300"/>
      </w:pPr>
      <w:r>
        <w:t xml:space="preserve">4.1 Log Storage &amp; Templating</w:t>
      </w:r>
    </w:p>
    <w:p>
      <w:pPr>
        <w:spacing w:after="150"/>
      </w:pPr>
      <w:r>
        <w:t xml:space="preserve">Raw device logs must be turned into structured, countable signatures before they are useful to an AI system, and stored in a format built for high-volume aggregation rather than raw text search.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AI-FR-001</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apply log templating (e.g., a Drain-family streaming parser) to collapse raw log lines into a compact set of structured templates with variables extracted (IPs, timestamps, IDs masked/parameterized).</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AI-FR-002</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assign a stable signature ID to each log template so it can be referenced consistently across logs, issues, and the knowledge graph.</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AI-FR-003</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store structured/templated logs in a columnar analytical store optimized for high-volume aggregation and scanning (e.g., ClickHouse-class technology), rather than as raw text dumps.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AI-FR-004</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tag every ingested log event with the shared identifier fields defined in Section 8 (firmware build ID, component, device model, timestamp).</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AI-FR-005</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querying log signature frequency over time, filterable by firmware version, device model, region, and operator, to detect anomalies (e.g., spikes following a firmware rollout).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AI-FR-006</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adopt structured logging conventions (e.g., OpenTelemetry semantic conventions) for any new/instrumentable log sources, including trace/span correlation identifiers where applicable.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3"/>
        <w:spacing w:after="100" w:before="200"/>
      </w:pPr>
      <w:r>
        <w:t xml:space="preserve">4.1.1 Scale-Agnostic Deployment (Hybrid Model)</w:t>
      </w:r>
    </w:p>
    <w:p>
      <w:pPr>
        <w:spacing w:after="150"/>
      </w:pPr>
      <w:r>
        <w:t xml:space="preserve">The templating engine (AI-FR-001) shall be usable both as a lightweight, standalone tool for ad-hoc analysis of a small number of devices (e.g., a lab bench debugging session with 1–10 units), and as a continuously-running service for full fleet ingestion — without requiring a different engine, a different template format, or a data migration when moving between the two. This "hybrid model" ensures small-scale investigative use and large-scale fleet monitoring are two deployment modes of the same component, not two separate systems.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AI-FR-007</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templating engine shall support a standalone/offline operating mode that runs against a local log file (or a small ad-hoc batch of files) without requiring the fleet-scale ingestion pipeline, streaming infrastructure, or columnar database to be deployed.</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AI-FR-008</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template ID/signature scheme (AI-FR-002) shall be generated identically regardless of operating mode, so a signature produced during standalone/offline analysis of one device is directly comparable to, and reusable by, the fleet-scale pipeline without reprocessing.</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AI-FR-009</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exporting standalone-mode template output (template list, occurrence counts, extracted variables) in a lightweight portable format (e.g., JSON/SQLite) suitable for a single investigation, in addition to the fleet-scale columnar store used in continuous ingestion.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AI-FR-017</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template-set diffing between two or more log sources (e.g., a failing device vs. a known-good device), surfacing templates present in one but not the other, to support root-cause analysis when fleet-wide statistical detection (AI-FR-005) is not applicable due to low device count.</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AI-FR-018</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allow the standalone/offline mode to be promoted to continuous fleet ingestion for the same device population without redesigning the template schema, the shared identifier tagging (Section 8.2), or any downstream consumer (e.g., the AI agent's search_logs tool).</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4.2 Source Code Indexing &amp; Representation</w:t>
      </w:r>
    </w:p>
    <w:p>
      <w:pPr>
        <w:spacing w:after="150"/>
      </w:pPr>
      <w:r>
        <w:t xml:space="preserve">Code must be understood by structure, not just by keyword, so the AI can resolve a crash symbol to the exact function, file, line, and commit responsible.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AI-FR-010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precise, compiler-accurate code index (e.g., SCIP-based) providing go-to-definition, find-references, and cross-repository navigation for all supported languages (including C/C++ for embedded firmware).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AI-FR-011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regenerate the code index automatically on each merge/build in CI, so it stays current with the codebase.</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AI-FR-012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chunk source code along syntactic boundaries (functions, classes) rather than fixed line counts, for any semantic/embedding-based code search.</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AI-FR-013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semantic (embedding-based) code search in addition to precise indexing, to support natural-language queries such as "find code that handles HDMI reconnection."</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AI-FR-014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extract and maintain a call/dependency graph between functions, files, and components, feeding the knowledge graph defined in Section 4.4.</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AI-FR-015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resolve a raw crash stack address to a function name, file, and line number (symbolication) using the debug symbols matching the exact firmware build that produced the crash.</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AI-FR-016</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track, for each function/file, the history of commits that modified it, to support blame/bug-introduction correlation (e.g., SZZ-style analysis).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4.3 Document &amp; Knowledge Base Indexing</w:t>
      </w:r>
    </w:p>
    <w:p>
      <w:pPr>
        <w:spacing w:after="150"/>
      </w:pPr>
      <w:r>
        <w:t xml:space="preserve">Design specs, wikis, and historical bug reports must be retrievable both by meaning and by exact terminology.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AI-FR-020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chunk documents at semantic boundaries (sections/paragraphs) with overlap, and generate embeddings for each chunk for semantic (meaning-based) search.</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AI-FR-021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tag every indexed document chunk with metadata: source system, component, firmware version (if applicable), document type, and timestamp.</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AI-FR-022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keyword/inverted-index (e.g., BM25-class) search path alongside the vector index, for exact-match queries (error codes, parameter names, ticket IDs).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AI-FR-023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re-index documents on update using content hashing, so re-ingestion is idempotent and avoids duplicate chunks.</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AI-FR-024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index closed/historical bug reports and incident write-ups as first-class searchable documents, linked to their resolving commit(s) where known.</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4.4 Knowledge Graph &amp; Correlation Layer</w:t>
      </w:r>
    </w:p>
    <w:p>
      <w:pPr>
        <w:spacing w:after="150"/>
      </w:pPr>
      <w:r>
        <w:t xml:space="preserve">Vector and keyword search answer "what looks similar"; a graph is required to answer "what is connected to what."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AI-FR-030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knowledge graph representing, at minimum, the entities: commit, file, component, log signature, document, and incident/issue.</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AI-FR-031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at minimum, the relationships: commit→modified→file, file→belongs to→component, component→emits→log signature, document→documents→component, incident→caused by→commit.</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AI-FR-032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graph traversal queries (e.g., "which commits touched this component in the last N days") accessible to both the reporting UI and the AI agent.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AI-FR-033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keep the knowledge graph updated incrementally as new commits, issues, and documents are ingested, without requiring a full rebuild.</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pPr>
        <w:pStyle w:val="Heading2"/>
        <w:spacing w:after="150" w:before="300"/>
      </w:pPr>
      <w:r>
        <w:t xml:space="preserve">4.5 Shared Identifier Schema</w:t>
      </w:r>
    </w:p>
    <w:p>
      <w:pPr>
        <w:spacing w:after="150"/>
      </w:pPr>
      <w:r>
        <w:t xml:space="preserve">This is the mechanism that ties the code, log, and document stores together; without it, no amount of search quality will let the AI connect the three.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AI-FR-040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define and enforce a shared identifier schema applied consistently across all ingested data: firmware_build_id, component, commit_sha, log_signature_id, device_model, and incident_id.</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AI-FR-041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reject or flag ingestion of any record missing a resolvable firmware_build_id and component, where those fields are structurally required for correlation.</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AI-FR-042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maintain a canonical, administrable taxonomy for component names, so the same subsystem is never represented under two different labels across code, logs, and docs.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4.6 Hybrid Retrieval</w:t>
      </w:r>
    </w:p>
    <w:p>
      <w:pPr>
        <w:spacing w:after="150"/>
      </w:pPr>
      <w:r>
        <w:t xml:space="preserve">Real triage queries mix exact identifiers (error codes, symbols) with vague symptom descriptions and connection questions — no single retrieval method covers all three.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AI-FR-050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hybrid retrieval that runs vector (semantic) search, keyword search, and graph traversal in parallel and merges results (e.g., via reciprocal rank fusion) into a single ranked result set.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AI-FR-051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preserve exact-match precision for identifiers (error codes, TR-181 parameter names, function symbols, log signature IDs) even when semantic/embedding search would otherwise blur them together.</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AI-FR-052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expose hybrid retrieval as a callable capability to both the triage UI (for human search) and the AI agent (as a tool).</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pPr>
        <w:spacing w:after="200"/>
      </w:pPr>
    </w:p>
    <w:p>
      <w:pPr>
        <w:pStyle w:val="Heading2"/>
        <w:spacing w:after="150" w:before="300"/>
      </w:pPr>
      <w:r>
        <w:t xml:space="preserve">4.7 AI Agent / Root-Cause Reasoning</w:t>
      </w:r>
    </w:p>
    <w:p>
      <w:pPr>
        <w:spacing w:after="150"/>
      </w:pPr>
      <w:r>
        <w:t xml:space="preserve">The storage and retrieval layers above are consumed by an agent that investigates an issue step by step, the way an engineer would, rather than answering from a single retrieval pass.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3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3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AI-FR-060</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provide an AI agent capable of multi-step investigation (a "reason → act → observe" loop) using a defined set of tools rather than answering from a single-shot prompt.</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AI-FR-061</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agent's tool set shall include, at minimum: search_logs, symbolicate_crash, search_code, graph_query, search_docs, and blame_history (commit-history lookup).</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AI-FR-062</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have the agent narrow the candidate set (e.g., by component ownership, dependency graph, or time-window correlation with a firmware rollout) before final ranking/reasoning, rather than reasoning over the full corpus.</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AI-FR-063</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require the agent to cite the specific log signature(s), commit(s), and/or document(s) supporting each claim in a proposed root cause, so an engineer can verify it directly.</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AI-FR-064</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present agent-proposed root causes as advisory (human-confirmed) rather than automatically applied, until measured accuracy meets the threshold defined in Section 6.8.</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AI-FR-065</w:t>
            </w:r>
          </w:p>
        </w:tc>
        <w:tc>
          <w:tcPr>
            <w:tcW w:type="dxa" w:w="73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record engineer feedback (confirmed / rejected / corrected) on each agent-proposed root cause, to support ongoing accuracy measurement and tuning.</w:t>
            </w:r>
          </w:p>
        </w:tc>
        <w:tc>
          <w:tcPr>
            <w:tcW w:type="dxa" w:w="13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AI-FR-066</w:t>
            </w:r>
          </w:p>
        </w:tc>
        <w:tc>
          <w:tcPr>
            <w:tcW w:type="dxa" w:w="73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an agent evaluation harness that replays historical, ground-truth-labeled incidents to measure top-k root-cause accuracy before any change to the agent is deployed broadly.</w:t>
            </w:r>
          </w:p>
        </w:tc>
        <w:tc>
          <w:tcPr>
            <w:tcW w:type="dxa" w:w="13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bl>
    <w:p>
      <w:pPr>
        <w:spacing w:after="200"/>
      </w:pPr>
    </w:p>
    <w:p>
      <w:r>
        <w:br w:type="page"/>
      </w:r>
    </w:p>
    <w:p>
      <w:pPr>
        <w:pStyle w:val="Heading1"/>
        <w:spacing w:after="200" w:before="400"/>
      </w:pPr>
      <w:r>
        <w:t xml:space="preserve">5. Non-Functional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000"/>
        <w:gridCol w:w="84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60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840"/>
            <w:shd w:fill="1F3864" w:color="auto" w:val="clear"/>
            <w:tcMar>
              <w:top w:type="dxa" w:w="60"/>
              <w:left w:type="dxa" w:w="100"/>
              <w:bottom w:type="dxa" w:w="60"/>
              <w:right w:type="dxa" w:w="100"/>
            </w:tcMar>
            <w:vAlign w:val="center"/>
          </w:tcPr>
          <w:p>
            <w:pPr>
              <w:jc w:val="center"/>
            </w:pPr>
            <w:r>
              <w:rPr>
                <w:b/>
                <w:bCs/>
                <w:color w:val="FFFFFF"/>
                <w:sz w:val="19"/>
                <w:szCs w:val="19"/>
              </w:rPr>
              <w:t xml:space="preserve">Priority</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NFR-01</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Performance</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ingest and parse a standard log bundle (up to 50 MB) and return an initial classification within 30 seconds.</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NFR-02</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Scalability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telemetry ingestion from a field fleet of at least 1,000,000 deployed devices without degradation of triage latency.</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NFR-03</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Availability</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Core intake and API services shall maintain 99.9% uptime; ingestion pipelines shall queue and retry on downstream outages without data loss.</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NFR-04</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Security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enforce role-based access control and encrypt device logs/PII (e.g., account identifiers, MAC addresses) at rest and in transit.</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NFR-05</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Data Retention</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configurable retention policies for raw log/crash artifacts, distinct from issue metadata retention, to manage storage cost at fleet scale.</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NFR-06</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Auditability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All classification overrides, merges, status changes, and agent-proposed root causes shall be attributable to a user or automated process, with timestamps.</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NFR-07</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Extensibility</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New device families, log formats, and signature-matching rules shall be addable via configuration, not core code changes.</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NFR-08</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Usability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A lab QA engineer shall be able to file a fully-contextualized issue in under 60 seconds when working with a connected device.</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NFR-09</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Compliance</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The system shall support data-residency and anonymization requirements where field data includes customer-identifiable information (e.g., GDPR-relevant fields for EU operators).</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NFR-10</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Interoperability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The system shall expose open APIs (REST, webhooks) and avoid vendor lock-in on core issue, code-index, and graph data.</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NFR-11</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AI Retrieval Latency</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Hybrid retrieval queries (vector + keyword + graph) shall return ranked results within 2 seconds for interactive (human-facing) use.</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NFR-12</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AI Correlation Accuracy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The AI agent's proposed root cause shall appear within the top 5 candidates in at least the accuracy benchmark agreed during UAT, measured against a labeled historical incident set, before being enabled for broad advisory use.</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NFR-13</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Build-Exact Symbolication</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Crash symbolication shall only use debug symbols matching the exact firmware build ID that produced the crash; mismatched-build symbolication shall be flagged as unreliable rather than silently returned.</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NFR-14</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Explainability</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Every AI-proposed root cause shall include machine-checkable citations (log signature IDs, commit SHAs, document references) rather than unsupported free-text claims.</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r>
        <w:tc>
          <w:tcPr>
            <w:tcW w:type="dxa" w:w="1000"/>
            <w:shd w:fill="FFFFFF" w:color="auto" w:val="clear"/>
            <w:tcMar>
              <w:top w:type="dxa" w:w="60"/>
              <w:left w:type="dxa" w:w="100"/>
              <w:bottom w:type="dxa" w:w="60"/>
              <w:right w:type="dxa" w:w="100"/>
            </w:tcMar>
            <w:vAlign w:val="center"/>
          </w:tcPr>
          <w:p>
            <w:pPr>
              <w:jc w:val="left"/>
            </w:pPr>
            <w:r>
              <w:rPr>
                <w:b w:val="false"/>
                <w:bCs w:val="false"/>
                <w:sz w:val="19"/>
                <w:szCs w:val="19"/>
              </w:rPr>
              <w:t xml:space="preserve">NFR-15</w:t>
            </w:r>
          </w:p>
        </w:tc>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Index Freshness</w:t>
            </w:r>
          </w:p>
        </w:tc>
        <w:tc>
          <w:tcPr>
            <w:tcW w:type="dxa" w:w="6000"/>
            <w:shd w:fill="FFFFFF" w:color="auto" w:val="clear"/>
            <w:tcMar>
              <w:top w:type="dxa" w:w="60"/>
              <w:left w:type="dxa" w:w="100"/>
              <w:bottom w:type="dxa" w:w="60"/>
              <w:right w:type="dxa" w:w="100"/>
            </w:tcMar>
            <w:vAlign w:val="center"/>
          </w:tcPr>
          <w:p>
            <w:pPr>
              <w:jc w:val="left"/>
            </w:pPr>
            <w:r>
              <w:rPr>
                <w:b w:val="false"/>
                <w:bCs w:val="false"/>
                <w:sz w:val="19"/>
                <w:szCs w:val="19"/>
              </w:rPr>
              <w:t xml:space="preserve">The code index and knowledge graph shall reflect merged commits within 1 hour (or one CI cycle) of merge.</w:t>
            </w:r>
          </w:p>
        </w:tc>
        <w:tc>
          <w:tcPr>
            <w:tcW w:type="dxa" w:w="840"/>
            <w:shd w:fill="FFFFFF" w:color="auto" w:val="clear"/>
            <w:tcMar>
              <w:top w:type="dxa" w:w="60"/>
              <w:left w:type="dxa" w:w="100"/>
              <w:bottom w:type="dxa" w:w="60"/>
              <w:right w:type="dxa" w:w="100"/>
            </w:tcMar>
            <w:vAlign w:val="center"/>
          </w:tcPr>
          <w:p>
            <w:pPr>
              <w:jc w:val="center"/>
            </w:pPr>
            <w:r>
              <w:rPr>
                <w:b w:val="false"/>
                <w:bCs w:val="false"/>
                <w:sz w:val="19"/>
                <w:szCs w:val="19"/>
              </w:rPr>
              <w:t xml:space="preserve">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9"/>
                <w:szCs w:val="19"/>
              </w:rPr>
              <w:t xml:space="preserve">NFR-16</w:t>
            </w:r>
          </w:p>
        </w:tc>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Scale-Agnostic Operation</w:t>
            </w:r>
          </w:p>
        </w:tc>
        <w:tc>
          <w:tcPr>
            <w:tcW w:type="dxa" w:w="6000"/>
            <w:shd w:fill="F2F2F2" w:color="auto" w:val="clear"/>
            <w:tcMar>
              <w:top w:type="dxa" w:w="60"/>
              <w:left w:type="dxa" w:w="100"/>
              <w:bottom w:type="dxa" w:w="60"/>
              <w:right w:type="dxa" w:w="100"/>
            </w:tcMar>
            <w:vAlign w:val="center"/>
          </w:tcPr>
          <w:p>
            <w:pPr>
              <w:jc w:val="left"/>
            </w:pPr>
            <w:r>
              <w:rPr>
                <w:b w:val="false"/>
                <w:bCs w:val="false"/>
                <w:sz w:val="19"/>
                <w:szCs w:val="19"/>
              </w:rPr>
              <w:t xml:space="preserve">The log templating component shall operate correctly and usefully across the full range from a single-device ad-hoc investigation to a full production fleet, without requiring a different tool, template format, or re-architecture at either end of that range.</w:t>
            </w:r>
          </w:p>
        </w:tc>
        <w:tc>
          <w:tcPr>
            <w:tcW w:type="dxa" w:w="840"/>
            <w:shd w:fill="F2F2F2" w:color="auto" w:val="clear"/>
            <w:tcMar>
              <w:top w:type="dxa" w:w="60"/>
              <w:left w:type="dxa" w:w="100"/>
              <w:bottom w:type="dxa" w:w="60"/>
              <w:right w:type="dxa" w:w="100"/>
            </w:tcMar>
            <w:vAlign w:val="center"/>
          </w:tcPr>
          <w:p>
            <w:pPr>
              <w:jc w:val="center"/>
            </w:pPr>
            <w:r>
              <w:rPr>
                <w:b w:val="false"/>
                <w:bCs w:val="false"/>
                <w:sz w:val="19"/>
                <w:szCs w:val="19"/>
              </w:rPr>
              <w:t xml:space="preserve">M</w:t>
            </w:r>
          </w:p>
        </w:tc>
      </w:tr>
    </w:tbl>
    <w:p>
      <w:r>
        <w:br w:type="page"/>
      </w:r>
    </w:p>
    <w:p>
      <w:pPr>
        <w:pStyle w:val="Heading1"/>
        <w:spacing w:after="200" w:before="400"/>
      </w:pPr>
      <w:r>
        <w:t xml:space="preserve">6. System Architecture Overview (High-Level)</w:t>
      </w:r>
    </w:p>
    <w:p>
      <w:pPr>
        <w:pStyle w:val="Heading2"/>
        <w:spacing w:after="150" w:before="300"/>
      </w:pPr>
      <w:r>
        <w:t xml:space="preserve">6.1 Logical Components</w:t>
      </w:r>
    </w:p>
    <w:p>
      <w:pPr>
        <w:pStyle w:val="ListParagraph"/>
        <w:numPr>
          <w:ilvl w:val="0"/>
          <w:numId w:val="2"/>
        </w:numPr>
        <w:spacing w:after="80"/>
      </w:pPr>
      <w:r>
        <w:t xml:space="preserve">Intake Layer — web UI, CLI/API, and telemetry-stream consumers that accept new issue submissions and events.</w:t>
      </w:r>
    </w:p>
    <w:p>
      <w:pPr>
        <w:pStyle w:val="ListParagraph"/>
        <w:numPr>
          <w:ilvl w:val="0"/>
          <w:numId w:val="2"/>
        </w:numPr>
        <w:spacing w:after="80"/>
      </w:pPr>
      <w:r>
        <w:t xml:space="preserve">Parsing &amp; Enrichment Engine — pluggable parsers for logs, coredumps, pcaps, and RF/PHY diagnostics; device/firmware metadata resolver; log templating.</w:t>
      </w:r>
    </w:p>
    <w:p>
      <w:pPr>
        <w:pStyle w:val="ListParagraph"/>
        <w:numPr>
          <w:ilvl w:val="0"/>
          <w:numId w:val="2"/>
        </w:numPr>
        <w:spacing w:after="80"/>
      </w:pPr>
      <w:r>
        <w:t xml:space="preserve">Classification Engine — rules-based and/or ML-assisted component, severity, and duplicate-signature classification.</w:t>
      </w:r>
    </w:p>
    <w:p>
      <w:pPr>
        <w:pStyle w:val="ListParagraph"/>
        <w:numPr>
          <w:ilvl w:val="0"/>
          <w:numId w:val="2"/>
        </w:numPr>
        <w:spacing w:after="80"/>
      </w:pPr>
      <w:r>
        <w:t xml:space="preserve">Polyglot Data Layer — see Section 6.3.</w:t>
      </w:r>
    </w:p>
    <w:p>
      <w:pPr>
        <w:pStyle w:val="ListParagraph"/>
        <w:numPr>
          <w:ilvl w:val="0"/>
          <w:numId w:val="2"/>
        </w:numPr>
        <w:spacing w:after="80"/>
      </w:pPr>
      <w:r>
        <w:t xml:space="preserve">Correlation Layer — the knowledge graph and shared identifier schema linking code, logs, and documents.</w:t>
      </w:r>
    </w:p>
    <w:p>
      <w:pPr>
        <w:pStyle w:val="ListParagraph"/>
        <w:numPr>
          <w:ilvl w:val="0"/>
          <w:numId w:val="2"/>
        </w:numPr>
        <w:spacing w:after="80"/>
      </w:pPr>
      <w:r>
        <w:t xml:space="preserve">AI Agent Layer — the tool-calling agent that performs hybrid retrieval and multi-step root-cause investigation.</w:t>
      </w:r>
    </w:p>
    <w:p>
      <w:pPr>
        <w:pStyle w:val="ListParagraph"/>
        <w:numPr>
          <w:ilvl w:val="0"/>
          <w:numId w:val="2"/>
        </w:numPr>
        <w:spacing w:after="80"/>
      </w:pPr>
      <w:r>
        <w:t xml:space="preserve">Integration Layer — connectors to downstream issue trackers, CI systems, ACS/device-management platforms, and chat tools.</w:t>
      </w:r>
    </w:p>
    <w:p>
      <w:pPr>
        <w:pStyle w:val="ListParagraph"/>
        <w:numPr>
          <w:ilvl w:val="0"/>
          <w:numId w:val="2"/>
        </w:numPr>
        <w:spacing w:after="80"/>
      </w:pPr>
      <w:r>
        <w:t xml:space="preserve">Reporting &amp; Dashboard Layer — query/aggregation services backing dashboards and scheduled reports.</w:t>
      </w:r>
    </w:p>
    <w:p>
      <w:pPr>
        <w:pStyle w:val="ListParagraph"/>
        <w:numPr>
          <w:ilvl w:val="0"/>
          <w:numId w:val="2"/>
        </w:numPr>
        <w:spacing w:after="80"/>
      </w:pPr>
      <w:r>
        <w:t xml:space="preserve">Admin/Configuration — taxonomy, routing rule, signature-rule, and graph-schema management, plus RBAC administration.</w:t>
      </w:r>
    </w:p>
    <w:p>
      <w:pPr>
        <w:spacing w:after="200"/>
      </w:pPr>
    </w:p>
    <w:p>
      <w:pPr>
        <w:pStyle w:val="Heading2"/>
        <w:spacing w:after="150" w:before="300"/>
      </w:pPr>
      <w:r>
        <w:t xml:space="preserve">6.2 Deployment Modes: Standalone vs. Fleet-Scale</w:t>
      </w:r>
    </w:p>
    <w:p>
      <w:pPr>
        <w:spacing w:after="150"/>
      </w:pPr>
      <w:r>
        <w:t xml:space="preserve">The Parsing &amp; Enrichment Engine (specifically log templating, Section 4.1.1) is designed to run in two modes against the same underlying format:</w:t>
      </w:r>
    </w:p>
    <w:p>
      <w:pPr>
        <w:pStyle w:val="ListParagraph"/>
        <w:numPr>
          <w:ilvl w:val="0"/>
          <w:numId w:val="2"/>
        </w:numPr>
        <w:spacing w:after="80"/>
      </w:pPr>
      <w:r>
        <w:t xml:space="preserve">Standalone / investigative mode — a single engineer runs the templating engine directly against logs pulled from a small number of devices (as few as one), with output written to a lightweight local file rather than the fleet-scale store. No streaming pipeline or columnar database is required for this mode.</w:t>
      </w:r>
    </w:p>
    <w:p>
      <w:pPr>
        <w:pStyle w:val="ListParagraph"/>
        <w:numPr>
          <w:ilvl w:val="0"/>
          <w:numId w:val="2"/>
        </w:numPr>
        <w:spacing w:after="80"/>
      </w:pPr>
      <w:r>
        <w:t xml:space="preserve">Fleet / continuous mode — the same engine runs as a service consuming a live telemetry stream from the full device population, writing into the columnar analytical store (Section 6.3) for aggregation and anomaly detection.</w:t>
      </w:r>
    </w:p>
    <w:p>
      <w:pPr>
        <w:spacing w:after="150"/>
      </w:pPr>
      <w:r>
        <w:t xml:space="preserve">Because both modes share the same template format and signature-ID scheme (AI-FR-008), findings from a standalone investigation remain valid and reusable once a device population graduates to fleet-scale monitoring — this is a deployment-mode choice, not two separate architectures.</w:t>
      </w:r>
    </w:p>
    <w:p>
      <w:pPr>
        <w:spacing w:after="200"/>
      </w:pPr>
    </w:p>
    <w:p>
      <w:pPr>
        <w:pStyle w:val="Heading2"/>
        <w:spacing w:after="150" w:before="300"/>
      </w:pPr>
      <w:r>
        <w:t xml:space="preserve">6.3 Polyglot Data Layer — Storage Choice per Data Type</w:t>
      </w:r>
    </w:p>
    <w:p>
      <w:pPr>
        <w:spacing w:after="150"/>
      </w:pPr>
      <w:r>
        <w:t xml:space="preserve">No single database fits code, logs, and documents equally well. Each data type is stored in the technology category best matched to its access pattern; specific product choices are a build-vs-buy decision (Section 11), but the categories below are a requirement.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44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Data Type</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Storage Category</w:t>
            </w:r>
          </w:p>
        </w:tc>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Representative Format</w:t>
            </w:r>
          </w:p>
        </w:tc>
        <w:tc>
          <w:tcPr>
            <w:tcW w:type="dxa" w:w="2440"/>
            <w:shd w:fill="1F3864" w:color="auto" w:val="clear"/>
            <w:tcMar>
              <w:top w:type="dxa" w:w="60"/>
              <w:left w:type="dxa" w:w="100"/>
              <w:bottom w:type="dxa" w:w="60"/>
              <w:right w:type="dxa" w:w="100"/>
            </w:tcMar>
            <w:vAlign w:val="center"/>
          </w:tcPr>
          <w:p>
            <w:pPr>
              <w:jc w:val="left"/>
            </w:pPr>
            <w:r>
              <w:rPr>
                <w:b/>
                <w:bCs/>
                <w:color w:val="FFFFFF"/>
                <w:sz w:val="19"/>
                <w:szCs w:val="19"/>
              </w:rPr>
              <w:t xml:space="preserve">Rationale</w:t>
            </w:r>
          </w:p>
        </w:tc>
      </w:tr>
      <w:tr>
        <w:tc>
          <w:tcPr>
            <w:tcW w:type="dxa" w:w="2000"/>
            <w:shd w:fill="FFFFFF" w:color="auto" w:val="clear"/>
            <w:tcMar>
              <w:top w:type="dxa" w:w="60"/>
              <w:left w:type="dxa" w:w="100"/>
              <w:bottom w:type="dxa" w:w="60"/>
              <w:right w:type="dxa" w:w="100"/>
            </w:tcMar>
            <w:vAlign w:val="center"/>
          </w:tcPr>
          <w:p>
            <w:pPr>
              <w:jc w:val="left"/>
            </w:pPr>
            <w:r>
              <w:rPr>
                <w:b/>
                <w:bCs/>
                <w:sz w:val="19"/>
                <w:szCs w:val="19"/>
              </w:rPr>
              <w:t xml:space="preserve">Logs / telemetry</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Columnar analytical store</w:t>
            </w:r>
          </w:p>
        </w:tc>
        <w:tc>
          <w:tcPr>
            <w:tcW w:type="dxa" w:w="3000"/>
            <w:shd w:fill="FFFFFF" w:color="auto" w:val="clear"/>
            <w:tcMar>
              <w:top w:type="dxa" w:w="60"/>
              <w:left w:type="dxa" w:w="100"/>
              <w:bottom w:type="dxa" w:w="60"/>
              <w:right w:type="dxa" w:w="100"/>
            </w:tcMar>
            <w:vAlign w:val="center"/>
          </w:tcPr>
          <w:p>
            <w:pPr>
              <w:jc w:val="left"/>
            </w:pPr>
            <w:r>
              <w:rPr>
                <w:b w:val="false"/>
                <w:bCs w:val="false"/>
                <w:sz w:val="19"/>
                <w:szCs w:val="19"/>
              </w:rPr>
              <w:t xml:space="preserve">Templated log events, tagged with shared IDs</w:t>
            </w:r>
          </w:p>
        </w:tc>
        <w:tc>
          <w:tcPr>
            <w:tcW w:type="dxa" w:w="2440"/>
            <w:shd w:fill="FFFFFF" w:color="auto" w:val="clear"/>
            <w:tcMar>
              <w:top w:type="dxa" w:w="60"/>
              <w:left w:type="dxa" w:w="100"/>
              <w:bottom w:type="dxa" w:w="60"/>
              <w:right w:type="dxa" w:w="100"/>
            </w:tcMar>
            <w:vAlign w:val="center"/>
          </w:tcPr>
          <w:p>
            <w:pPr>
              <w:jc w:val="left"/>
            </w:pPr>
            <w:r>
              <w:rPr>
                <w:b w:val="false"/>
                <w:bCs w:val="false"/>
                <w:sz w:val="19"/>
                <w:szCs w:val="19"/>
              </w:rPr>
              <w:t xml:space="preserve">Optimized for high-volume aggregation/counting, not single-document lookup</w:t>
            </w:r>
          </w:p>
        </w:tc>
      </w:tr>
      <w:tr>
        <w:tc>
          <w:tcPr>
            <w:tcW w:type="dxa" w:w="2000"/>
            <w:shd w:fill="F2F2F2" w:color="auto" w:val="clear"/>
            <w:tcMar>
              <w:top w:type="dxa" w:w="60"/>
              <w:left w:type="dxa" w:w="100"/>
              <w:bottom w:type="dxa" w:w="60"/>
              <w:right w:type="dxa" w:w="100"/>
            </w:tcMar>
            <w:vAlign w:val="center"/>
          </w:tcPr>
          <w:p>
            <w:pPr>
              <w:jc w:val="left"/>
            </w:pPr>
            <w:r>
              <w:rPr>
                <w:b/>
                <w:bCs/>
                <w:sz w:val="19"/>
                <w:szCs w:val="19"/>
              </w:rPr>
              <w:t xml:space="preserve">Crash dumps / coredumps</w:t>
            </w:r>
          </w:p>
        </w:tc>
        <w:tc>
          <w:tcPr>
            <w:tcW w:type="dxa" w:w="2200"/>
            <w:shd w:fill="F2F2F2" w:color="auto" w:val="clear"/>
            <w:tcMar>
              <w:top w:type="dxa" w:w="60"/>
              <w:left w:type="dxa" w:w="100"/>
              <w:bottom w:type="dxa" w:w="60"/>
              <w:right w:type="dxa" w:w="100"/>
            </w:tcMar>
            <w:vAlign w:val="center"/>
          </w:tcPr>
          <w:p>
            <w:pPr>
              <w:jc w:val="left"/>
            </w:pPr>
            <w:r>
              <w:rPr>
                <w:b w:val="false"/>
                <w:bCs w:val="false"/>
                <w:sz w:val="19"/>
                <w:szCs w:val="19"/>
              </w:rPr>
              <w:t xml:space="preserve">Object storage + symbolication service</w:t>
            </w:r>
          </w:p>
        </w:tc>
        <w:tc>
          <w:tcPr>
            <w:tcW w:type="dxa" w:w="3000"/>
            <w:shd w:fill="F2F2F2" w:color="auto" w:val="clear"/>
            <w:tcMar>
              <w:top w:type="dxa" w:w="60"/>
              <w:left w:type="dxa" w:w="100"/>
              <w:bottom w:type="dxa" w:w="60"/>
              <w:right w:type="dxa" w:w="100"/>
            </w:tcMar>
            <w:vAlign w:val="center"/>
          </w:tcPr>
          <w:p>
            <w:pPr>
              <w:jc w:val="left"/>
            </w:pPr>
            <w:r>
              <w:rPr>
                <w:b w:val="false"/>
                <w:bCs w:val="false"/>
                <w:sz w:val="19"/>
                <w:szCs w:val="19"/>
              </w:rPr>
              <w:t xml:space="preserve">Raw minidump + symbolicated stack frames keyed by build ID</w:t>
            </w:r>
          </w:p>
        </w:tc>
        <w:tc>
          <w:tcPr>
            <w:tcW w:type="dxa" w:w="2440"/>
            <w:shd w:fill="F2F2F2" w:color="auto" w:val="clear"/>
            <w:tcMar>
              <w:top w:type="dxa" w:w="60"/>
              <w:left w:type="dxa" w:w="100"/>
              <w:bottom w:type="dxa" w:w="60"/>
              <w:right w:type="dxa" w:w="100"/>
            </w:tcMar>
            <w:vAlign w:val="center"/>
          </w:tcPr>
          <w:p>
            <w:pPr>
              <w:jc w:val="left"/>
            </w:pPr>
            <w:r>
              <w:rPr>
                <w:b w:val="false"/>
                <w:bCs w:val="false"/>
                <w:sz w:val="19"/>
                <w:szCs w:val="19"/>
              </w:rPr>
              <w:t xml:space="preserve">Large binary artifacts; symbolication must be build-exact</w:t>
            </w:r>
          </w:p>
        </w:tc>
      </w:tr>
      <w:tr>
        <w:tc>
          <w:tcPr>
            <w:tcW w:type="dxa" w:w="2000"/>
            <w:shd w:fill="FFFFFF" w:color="auto" w:val="clear"/>
            <w:tcMar>
              <w:top w:type="dxa" w:w="60"/>
              <w:left w:type="dxa" w:w="100"/>
              <w:bottom w:type="dxa" w:w="60"/>
              <w:right w:type="dxa" w:w="100"/>
            </w:tcMar>
            <w:vAlign w:val="center"/>
          </w:tcPr>
          <w:p>
            <w:pPr>
              <w:jc w:val="left"/>
            </w:pPr>
            <w:r>
              <w:rPr>
                <w:b/>
                <w:bCs/>
                <w:sz w:val="19"/>
                <w:szCs w:val="19"/>
              </w:rPr>
              <w:t xml:space="preserve">Source code</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Precise code index + graph + optional embeddings</w:t>
            </w:r>
          </w:p>
        </w:tc>
        <w:tc>
          <w:tcPr>
            <w:tcW w:type="dxa" w:w="3000"/>
            <w:shd w:fill="FFFFFF" w:color="auto" w:val="clear"/>
            <w:tcMar>
              <w:top w:type="dxa" w:w="60"/>
              <w:left w:type="dxa" w:w="100"/>
              <w:bottom w:type="dxa" w:w="60"/>
              <w:right w:type="dxa" w:w="100"/>
            </w:tcMar>
            <w:vAlign w:val="center"/>
          </w:tcPr>
          <w:p>
            <w:pPr>
              <w:jc w:val="left"/>
            </w:pPr>
            <w:r>
              <w:rPr>
                <w:b w:val="false"/>
                <w:bCs w:val="false"/>
                <w:sz w:val="19"/>
                <w:szCs w:val="19"/>
              </w:rPr>
              <w:t xml:space="preserve">SCIP-class symbol index, call/dependency graph, AST-based chunks</w:t>
            </w:r>
          </w:p>
        </w:tc>
        <w:tc>
          <w:tcPr>
            <w:tcW w:type="dxa" w:w="2440"/>
            <w:shd w:fill="FFFFFF" w:color="auto" w:val="clear"/>
            <w:tcMar>
              <w:top w:type="dxa" w:w="60"/>
              <w:left w:type="dxa" w:w="100"/>
              <w:bottom w:type="dxa" w:w="60"/>
              <w:right w:type="dxa" w:w="100"/>
            </w:tcMar>
            <w:vAlign w:val="center"/>
          </w:tcPr>
          <w:p>
            <w:pPr>
              <w:jc w:val="left"/>
            </w:pPr>
            <w:r>
              <w:rPr>
                <w:b w:val="false"/>
                <w:bCs w:val="false"/>
                <w:sz w:val="19"/>
                <w:szCs w:val="19"/>
              </w:rPr>
              <w:t xml:space="preserve">Structural/compiler-accurate resolution that embeddings alone cannot guarantee</w:t>
            </w:r>
          </w:p>
        </w:tc>
      </w:tr>
      <w:tr>
        <w:tc>
          <w:tcPr>
            <w:tcW w:type="dxa" w:w="2000"/>
            <w:shd w:fill="F2F2F2" w:color="auto" w:val="clear"/>
            <w:tcMar>
              <w:top w:type="dxa" w:w="60"/>
              <w:left w:type="dxa" w:w="100"/>
              <w:bottom w:type="dxa" w:w="60"/>
              <w:right w:type="dxa" w:w="100"/>
            </w:tcMar>
            <w:vAlign w:val="center"/>
          </w:tcPr>
          <w:p>
            <w:pPr>
              <w:jc w:val="left"/>
            </w:pPr>
            <w:r>
              <w:rPr>
                <w:b/>
                <w:bCs/>
                <w:sz w:val="19"/>
                <w:szCs w:val="19"/>
              </w:rPr>
              <w:t xml:space="preserve">Documents / past incidents</w:t>
            </w:r>
          </w:p>
        </w:tc>
        <w:tc>
          <w:tcPr>
            <w:tcW w:type="dxa" w:w="2200"/>
            <w:shd w:fill="F2F2F2" w:color="auto" w:val="clear"/>
            <w:tcMar>
              <w:top w:type="dxa" w:w="60"/>
              <w:left w:type="dxa" w:w="100"/>
              <w:bottom w:type="dxa" w:w="60"/>
              <w:right w:type="dxa" w:w="100"/>
            </w:tcMar>
            <w:vAlign w:val="center"/>
          </w:tcPr>
          <w:p>
            <w:pPr>
              <w:jc w:val="left"/>
            </w:pPr>
            <w:r>
              <w:rPr>
                <w:b w:val="false"/>
                <w:bCs w:val="false"/>
                <w:sz w:val="19"/>
                <w:szCs w:val="19"/>
              </w:rPr>
              <w:t xml:space="preserve">Hybrid vector + keyword index</w:t>
            </w:r>
          </w:p>
        </w:tc>
        <w:tc>
          <w:tcPr>
            <w:tcW w:type="dxa" w:w="3000"/>
            <w:shd w:fill="F2F2F2" w:color="auto" w:val="clear"/>
            <w:tcMar>
              <w:top w:type="dxa" w:w="60"/>
              <w:left w:type="dxa" w:w="100"/>
              <w:bottom w:type="dxa" w:w="60"/>
              <w:right w:type="dxa" w:w="100"/>
            </w:tcMar>
            <w:vAlign w:val="center"/>
          </w:tcPr>
          <w:p>
            <w:pPr>
              <w:jc w:val="left"/>
            </w:pPr>
            <w:r>
              <w:rPr>
                <w:b w:val="false"/>
                <w:bCs w:val="false"/>
                <w:sz w:val="19"/>
                <w:szCs w:val="19"/>
              </w:rPr>
              <w:t xml:space="preserve">Semantic chunks with metadata, plus inverted index</w:t>
            </w:r>
          </w:p>
        </w:tc>
        <w:tc>
          <w:tcPr>
            <w:tcW w:type="dxa" w:w="2440"/>
            <w:shd w:fill="F2F2F2" w:color="auto" w:val="clear"/>
            <w:tcMar>
              <w:top w:type="dxa" w:w="60"/>
              <w:left w:type="dxa" w:w="100"/>
              <w:bottom w:type="dxa" w:w="60"/>
              <w:right w:type="dxa" w:w="100"/>
            </w:tcMar>
            <w:vAlign w:val="center"/>
          </w:tcPr>
          <w:p>
            <w:pPr>
              <w:jc w:val="left"/>
            </w:pPr>
            <w:r>
              <w:rPr>
                <w:b w:val="false"/>
                <w:bCs w:val="false"/>
                <w:sz w:val="19"/>
                <w:szCs w:val="19"/>
              </w:rPr>
              <w:t xml:space="preserve">Handles both conceptual queries and exact-identifier queries</w:t>
            </w:r>
          </w:p>
        </w:tc>
      </w:tr>
      <w:tr>
        <w:tc>
          <w:tcPr>
            <w:tcW w:type="dxa" w:w="2000"/>
            <w:shd w:fill="FFFFFF" w:color="auto" w:val="clear"/>
            <w:tcMar>
              <w:top w:type="dxa" w:w="60"/>
              <w:left w:type="dxa" w:w="100"/>
              <w:bottom w:type="dxa" w:w="60"/>
              <w:right w:type="dxa" w:w="100"/>
            </w:tcMar>
            <w:vAlign w:val="center"/>
          </w:tcPr>
          <w:p>
            <w:pPr>
              <w:jc w:val="left"/>
            </w:pPr>
            <w:r>
              <w:rPr>
                <w:b/>
                <w:bCs/>
                <w:sz w:val="19"/>
                <w:szCs w:val="19"/>
              </w:rPr>
              <w:t xml:space="preserve">Relationships / correlation</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Knowledge graph</w:t>
            </w:r>
          </w:p>
        </w:tc>
        <w:tc>
          <w:tcPr>
            <w:tcW w:type="dxa" w:w="3000"/>
            <w:shd w:fill="FFFFFF" w:color="auto" w:val="clear"/>
            <w:tcMar>
              <w:top w:type="dxa" w:w="60"/>
              <w:left w:type="dxa" w:w="100"/>
              <w:bottom w:type="dxa" w:w="60"/>
              <w:right w:type="dxa" w:w="100"/>
            </w:tcMar>
            <w:vAlign w:val="center"/>
          </w:tcPr>
          <w:p>
            <w:pPr>
              <w:jc w:val="left"/>
            </w:pPr>
            <w:r>
              <w:rPr>
                <w:b w:val="false"/>
                <w:bCs w:val="false"/>
                <w:sz w:val="19"/>
                <w:szCs w:val="19"/>
              </w:rPr>
              <w:t xml:space="preserve">Nodes: commit, file, component, log signature, document, incident</w:t>
            </w:r>
          </w:p>
        </w:tc>
        <w:tc>
          <w:tcPr>
            <w:tcW w:type="dxa" w:w="2440"/>
            <w:shd w:fill="FFFFFF" w:color="auto" w:val="clear"/>
            <w:tcMar>
              <w:top w:type="dxa" w:w="60"/>
              <w:left w:type="dxa" w:w="100"/>
              <w:bottom w:type="dxa" w:w="60"/>
              <w:right w:type="dxa" w:w="100"/>
            </w:tcMar>
            <w:vAlign w:val="center"/>
          </w:tcPr>
          <w:p>
            <w:pPr>
              <w:jc w:val="left"/>
            </w:pPr>
            <w:r>
              <w:rPr>
                <w:b w:val="false"/>
                <w:bCs w:val="false"/>
                <w:sz w:val="19"/>
                <w:szCs w:val="19"/>
              </w:rPr>
              <w:t xml:space="preserve">Multi-hop relationship queries that neither vector nor keyword search can answer</w:t>
            </w:r>
          </w:p>
        </w:tc>
      </w:tr>
    </w:tbl>
    <w:p>
      <w:pPr>
        <w:spacing w:after="200"/>
      </w:pPr>
    </w:p>
    <w:p>
      <w:pPr>
        <w:pStyle w:val="Heading2"/>
        <w:spacing w:after="150" w:before="300"/>
      </w:pPr>
      <w:r>
        <w:t xml:space="preserve">6.4 Correlation Flow</w:t>
      </w:r>
    </w:p>
    <w:p>
      <w:pPr>
        <w:spacing w:after="150"/>
      </w:pPr>
      <w:r>
        <w:t xml:space="preserve">At a high level: source data (code, logs, documents) is ingested and stored in its respective format; every record is tagged with the shared identifier schema (Section 4.5); the knowledge graph is built/updated from those shared identifiers; and the AI agent queries across all layers through hybrid retrieval to investigate an issue and propose a root cause with citations.</w:t>
      </w:r>
    </w:p>
    <w:p>
      <w:pPr>
        <w:spacing w:after="200"/>
      </w:pPr>
    </w:p>
    <w:p>
      <w:pPr>
        <w:pStyle w:val="Heading2"/>
        <w:spacing w:after="150" w:before="300"/>
      </w:pPr>
      <w:r>
        <w:t xml:space="preserve">6.5 Retrieval &amp; Agent Flow</w:t>
      </w:r>
    </w:p>
    <w:p>
      <w:pPr>
        <w:spacing w:after="150"/>
      </w:pPr>
      <w:r>
        <w:t xml:space="preserve">At triage time, the agent operates a loop: (1) reason about what evidence is needed, (2) call a tool (search logs, symbolicate a crash, query the graph, search code or docs), (3) read the result, (4) decide the next step — repeating until it has enough evidence to state a root cause with cited sources, or until it exhausts a bounded number of steps and escalates to a human.</w:t>
      </w:r>
    </w:p>
    <w:p>
      <w:pPr>
        <w:spacing w:after="200"/>
      </w:pPr>
    </w:p>
    <w:p>
      <w:pPr>
        <w:pStyle w:val="Heading2"/>
        <w:spacing w:after="150" w:before="300"/>
      </w:pPr>
      <w:r>
        <w:t xml:space="preserve">6.6 Narrow-Then-Reason Pattern</w:t>
      </w:r>
    </w:p>
    <w:p>
      <w:pPr>
        <w:spacing w:after="150"/>
      </w:pPr>
      <w:r>
        <w:t xml:space="preserve">To keep retrieval accurate and cost-bounded, the agent shall first narrow the candidate set using cheap, high-precision signals (component ownership, dependency graph proximity, temporal correlation with a firmware rollout) before applying deeper reasoning/ranking to the shortlist, rather than reasoning over the full corpus for every query.</w:t>
      </w:r>
    </w:p>
    <w:p>
      <w:pPr>
        <w:spacing w:after="200"/>
      </w:pPr>
    </w:p>
    <w:p>
      <w:pPr>
        <w:pStyle w:val="Heading2"/>
        <w:spacing w:after="150" w:before="300"/>
      </w:pPr>
      <w:r>
        <w:t xml:space="preserve">6.7 Provenance &amp; Trust</w:t>
      </w:r>
    </w:p>
    <w:p>
      <w:pPr>
        <w:spacing w:after="150"/>
      </w:pPr>
      <w:r>
        <w:t xml:space="preserve">Every AI-proposed conclusion shall carry citations back to the specific log signature, commit, or document that supports it (NFR-14). This is required both for engineer trust and for the feedback loop in AI-FR-065 that measures and improves accuracy over time.</w:t>
      </w:r>
    </w:p>
    <w:p>
      <w:pPr>
        <w:spacing w:after="200"/>
      </w:pPr>
    </w:p>
    <w:p>
      <w:pPr>
        <w:pStyle w:val="Heading2"/>
        <w:spacing w:after="150" w:before="300"/>
      </w:pPr>
      <w:r>
        <w:t xml:space="preserve">6.8 Accuracy Gating</w:t>
      </w:r>
    </w:p>
    <w:p>
      <w:pPr>
        <w:spacing w:after="150"/>
      </w:pPr>
      <w:r>
        <w:t xml:space="preserve">The AI agent's root-cause suggestions shall remain advisory-only (AI-FR-064) until measured top-5 accuracy against a labeled historical-incident evaluation set (AI-FR-066) meets an organization-agreed threshold. Accuracy shall continue to be tracked in production via the confirmed/rejected feedback loop (AI-FR-065), and any material regression shall gate further rollout expansion.</w:t>
      </w:r>
    </w:p>
    <w:p>
      <w:r>
        <w:br w:type="page"/>
      </w:r>
    </w:p>
    <w:p>
      <w:pPr>
        <w:pStyle w:val="Heading1"/>
        <w:spacing w:after="200" w:before="400"/>
      </w:pPr>
      <w:r>
        <w:t xml:space="preserve">7. User Roles &amp; Permissions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4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4600"/>
            <w:shd w:fill="1F3864" w:color="auto" w:val="clear"/>
            <w:tcMar>
              <w:top w:type="dxa" w:w="60"/>
              <w:left w:type="dxa" w:w="100"/>
              <w:bottom w:type="dxa" w:w="60"/>
              <w:right w:type="dxa" w:w="100"/>
            </w:tcMar>
            <w:vAlign w:val="center"/>
          </w:tcPr>
          <w:p>
            <w:pPr>
              <w:jc w:val="left"/>
            </w:pPr>
            <w:r>
              <w:rPr>
                <w:b/>
                <w:bCs/>
                <w:color w:val="FFFFFF"/>
                <w:sz w:val="19"/>
                <w:szCs w:val="19"/>
              </w:rPr>
              <w:t xml:space="preserve">Permissions</w:t>
            </w:r>
          </w:p>
        </w:tc>
        <w:tc>
          <w:tcPr>
            <w:tcW w:type="dxa" w:w="3240"/>
            <w:shd w:fill="1F3864" w:color="auto" w:val="clear"/>
            <w:tcMar>
              <w:top w:type="dxa" w:w="60"/>
              <w:left w:type="dxa" w:w="100"/>
              <w:bottom w:type="dxa" w:w="60"/>
              <w:right w:type="dxa" w:w="100"/>
            </w:tcMar>
            <w:vAlign w:val="center"/>
          </w:tcPr>
          <w:p>
            <w:pPr>
              <w:jc w:val="left"/>
            </w:pPr>
            <w:r>
              <w:rPr>
                <w:b/>
                <w:bCs/>
                <w:color w:val="FFFFFF"/>
                <w:sz w:val="19"/>
                <w:szCs w:val="19"/>
              </w:rPr>
              <w:t xml:space="preserve">Restrictions</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Reporter</w:t>
            </w:r>
          </w:p>
        </w:tc>
        <w:tc>
          <w:tcPr>
            <w:tcW w:type="dxa" w:w="4600"/>
            <w:shd w:fill="FFFFFF" w:color="auto" w:val="clear"/>
            <w:tcMar>
              <w:top w:type="dxa" w:w="60"/>
              <w:left w:type="dxa" w:w="100"/>
              <w:bottom w:type="dxa" w:w="60"/>
              <w:right w:type="dxa" w:w="100"/>
            </w:tcMar>
            <w:vAlign w:val="center"/>
          </w:tcPr>
          <w:p>
            <w:pPr>
              <w:jc w:val="left"/>
            </w:pPr>
            <w:r>
              <w:rPr>
                <w:b w:val="false"/>
                <w:bCs w:val="false"/>
                <w:sz w:val="19"/>
                <w:szCs w:val="19"/>
              </w:rPr>
              <w:t xml:space="preserve">Create issues, view/comment on own issues, attach artifacts.</w:t>
            </w:r>
          </w:p>
        </w:tc>
        <w:tc>
          <w:tcPr>
            <w:tcW w:type="dxa" w:w="3240"/>
            <w:shd w:fill="FFFFFF" w:color="auto" w:val="clear"/>
            <w:tcMar>
              <w:top w:type="dxa" w:w="60"/>
              <w:left w:type="dxa" w:w="100"/>
              <w:bottom w:type="dxa" w:w="60"/>
              <w:right w:type="dxa" w:w="100"/>
            </w:tcMar>
            <w:vAlign w:val="center"/>
          </w:tcPr>
          <w:p>
            <w:pPr>
              <w:jc w:val="left"/>
            </w:pPr>
            <w:r>
              <w:rPr>
                <w:b w:val="false"/>
                <w:bCs w:val="false"/>
                <w:sz w:val="19"/>
                <w:szCs w:val="19"/>
              </w:rPr>
              <w:t xml:space="preserve">Cannot reclassify, merge, or change ownership.</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Triager</w:t>
            </w:r>
          </w:p>
        </w:tc>
        <w:tc>
          <w:tcPr>
            <w:tcW w:type="dxa" w:w="4600"/>
            <w:shd w:fill="F2F2F2" w:color="auto" w:val="clear"/>
            <w:tcMar>
              <w:top w:type="dxa" w:w="60"/>
              <w:left w:type="dxa" w:w="100"/>
              <w:bottom w:type="dxa" w:w="60"/>
              <w:right w:type="dxa" w:w="100"/>
            </w:tcMar>
            <w:vAlign w:val="center"/>
          </w:tcPr>
          <w:p>
            <w:pPr>
              <w:jc w:val="left"/>
            </w:pPr>
            <w:r>
              <w:rPr>
                <w:b w:val="false"/>
                <w:bCs w:val="false"/>
                <w:sz w:val="19"/>
                <w:szCs w:val="19"/>
              </w:rPr>
              <w:t xml:space="preserve">All Reporter permissions, plus: accept/override classification, confirm/reject duplicates, assign owner/team, confirm/reject AI-proposed root causes.</w:t>
            </w:r>
          </w:p>
        </w:tc>
        <w:tc>
          <w:tcPr>
            <w:tcW w:type="dxa" w:w="3240"/>
            <w:shd w:fill="F2F2F2" w:color="auto" w:val="clear"/>
            <w:tcMar>
              <w:top w:type="dxa" w:w="60"/>
              <w:left w:type="dxa" w:w="100"/>
              <w:bottom w:type="dxa" w:w="60"/>
              <w:right w:type="dxa" w:w="100"/>
            </w:tcMar>
            <w:vAlign w:val="center"/>
          </w:tcPr>
          <w:p>
            <w:pPr>
              <w:jc w:val="left"/>
            </w:pPr>
            <w:r>
              <w:rPr>
                <w:b w:val="false"/>
                <w:bCs w:val="false"/>
                <w:sz w:val="19"/>
                <w:szCs w:val="19"/>
              </w:rPr>
              <w:t xml:space="preserve">Cannot modify system-wide taxonomy, signature rules, or the knowledge-graph schema.</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Engineer/Assignee</w:t>
            </w:r>
          </w:p>
        </w:tc>
        <w:tc>
          <w:tcPr>
            <w:tcW w:type="dxa" w:w="4600"/>
            <w:shd w:fill="FFFFFF" w:color="auto" w:val="clear"/>
            <w:tcMar>
              <w:top w:type="dxa" w:w="60"/>
              <w:left w:type="dxa" w:w="100"/>
              <w:bottom w:type="dxa" w:w="60"/>
              <w:right w:type="dxa" w:w="100"/>
            </w:tcMar>
            <w:vAlign w:val="center"/>
          </w:tcPr>
          <w:p>
            <w:pPr>
              <w:jc w:val="left"/>
            </w:pPr>
            <w:r>
              <w:rPr>
                <w:b w:val="false"/>
                <w:bCs w:val="false"/>
                <w:sz w:val="19"/>
                <w:szCs w:val="19"/>
              </w:rPr>
              <w:t xml:space="preserve">View/comment/update assigned issues, change status, request additional diagnostics, invoke the AI agent for investigation.</w:t>
            </w:r>
          </w:p>
        </w:tc>
        <w:tc>
          <w:tcPr>
            <w:tcW w:type="dxa" w:w="3240"/>
            <w:shd w:fill="FFFFFF" w:color="auto" w:val="clear"/>
            <w:tcMar>
              <w:top w:type="dxa" w:w="60"/>
              <w:left w:type="dxa" w:w="100"/>
              <w:bottom w:type="dxa" w:w="60"/>
              <w:right w:type="dxa" w:w="100"/>
            </w:tcMar>
            <w:vAlign w:val="center"/>
          </w:tcPr>
          <w:p>
            <w:pPr>
              <w:jc w:val="left"/>
            </w:pPr>
            <w:r>
              <w:rPr>
                <w:b w:val="false"/>
                <w:bCs w:val="false"/>
                <w:sz w:val="19"/>
                <w:szCs w:val="19"/>
              </w:rPr>
              <w:t xml:space="preserve">Scoped to assigned/team issues by default.</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Manager</w:t>
            </w:r>
          </w:p>
        </w:tc>
        <w:tc>
          <w:tcPr>
            <w:tcW w:type="dxa" w:w="4600"/>
            <w:shd w:fill="F2F2F2" w:color="auto" w:val="clear"/>
            <w:tcMar>
              <w:top w:type="dxa" w:w="60"/>
              <w:left w:type="dxa" w:w="100"/>
              <w:bottom w:type="dxa" w:w="60"/>
              <w:right w:type="dxa" w:w="100"/>
            </w:tcMar>
            <w:vAlign w:val="center"/>
          </w:tcPr>
          <w:p>
            <w:pPr>
              <w:jc w:val="left"/>
            </w:pPr>
            <w:r>
              <w:rPr>
                <w:b w:val="false"/>
                <w:bCs w:val="false"/>
                <w:sz w:val="19"/>
                <w:szCs w:val="19"/>
              </w:rPr>
              <w:t xml:space="preserve">Full read access across teams, dashboard/report configuration, SLA and escalation rule configuration, AI accuracy/feedback dashboards.</w:t>
            </w:r>
          </w:p>
        </w:tc>
        <w:tc>
          <w:tcPr>
            <w:tcW w:type="dxa" w:w="3240"/>
            <w:shd w:fill="F2F2F2" w:color="auto" w:val="clear"/>
            <w:tcMar>
              <w:top w:type="dxa" w:w="60"/>
              <w:left w:type="dxa" w:w="100"/>
              <w:bottom w:type="dxa" w:w="60"/>
              <w:right w:type="dxa" w:w="100"/>
            </w:tcMar>
            <w:vAlign w:val="center"/>
          </w:tcPr>
          <w:p>
            <w:pPr>
              <w:jc w:val="left"/>
            </w:pPr>
            <w:r>
              <w:rPr>
                <w:b w:val="false"/>
                <w:bCs w:val="false"/>
                <w:sz w:val="19"/>
                <w:szCs w:val="19"/>
              </w:rPr>
              <w:t xml:space="preserve">May be restricted from editing individual issue technical fields.</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Administrator</w:t>
            </w:r>
          </w:p>
        </w:tc>
        <w:tc>
          <w:tcPr>
            <w:tcW w:type="dxa" w:w="4600"/>
            <w:shd w:fill="FFFFFF" w:color="auto" w:val="clear"/>
            <w:tcMar>
              <w:top w:type="dxa" w:w="60"/>
              <w:left w:type="dxa" w:w="100"/>
              <w:bottom w:type="dxa" w:w="60"/>
              <w:right w:type="dxa" w:w="100"/>
            </w:tcMar>
            <w:vAlign w:val="center"/>
          </w:tcPr>
          <w:p>
            <w:pPr>
              <w:jc w:val="left"/>
            </w:pPr>
            <w:r>
              <w:rPr>
                <w:b w:val="false"/>
                <w:bCs w:val="false"/>
                <w:sz w:val="19"/>
                <w:szCs w:val="19"/>
              </w:rPr>
              <w:t xml:space="preserve">Full access: taxonomy, integrations, signature rules, RBAC, retention policy, knowledge-graph schema, and AI agent tool configuration.</w:t>
            </w:r>
          </w:p>
        </w:tc>
        <w:tc>
          <w:tcPr>
            <w:tcW w:type="dxa" w:w="3240"/>
            <w:shd w:fill="FFFFFF" w:color="auto" w:val="clear"/>
            <w:tcMar>
              <w:top w:type="dxa" w:w="60"/>
              <w:left w:type="dxa" w:w="100"/>
              <w:bottom w:type="dxa" w:w="60"/>
              <w:right w:type="dxa" w:w="100"/>
            </w:tcMar>
            <w:vAlign w:val="center"/>
          </w:tcPr>
          <w:p>
            <w:pPr>
              <w:jc w:val="left"/>
            </w:pPr>
            <w:r>
              <w:rPr>
                <w:b w:val="false"/>
                <w:bCs w:val="false"/>
                <w:sz w:val="19"/>
                <w:szCs w:val="19"/>
              </w:rPr>
              <w:t xml:space="preserve">—</w:t>
            </w:r>
          </w:p>
        </w:tc>
      </w:tr>
    </w:tbl>
    <w:p>
      <w:r>
        <w:br w:type="page"/>
      </w:r>
    </w:p>
    <w:p>
      <w:pPr>
        <w:pStyle w:val="Heading1"/>
        <w:spacing w:after="200" w:before="400"/>
      </w:pPr>
      <w:r>
        <w:t xml:space="preserve">8. Data Requirements</w:t>
      </w:r>
    </w:p>
    <w:p>
      <w:pPr>
        <w:pStyle w:val="Heading2"/>
        <w:spacing w:after="150" w:before="300"/>
      </w:pPr>
      <w:r>
        <w:t xml:space="preserve">8.1 Core Issue Record (minimum fields)</w:t>
      </w:r>
    </w:p>
    <w:p>
      <w:pPr>
        <w:pStyle w:val="ListParagraph"/>
        <w:numPr>
          <w:ilvl w:val="0"/>
          <w:numId w:val="2"/>
        </w:numPr>
        <w:spacing w:after="80"/>
      </w:pPr>
      <w:r>
        <w:t xml:space="preserve">Issue ID, title, description, reproduction steps, expected/actual behavior</w:t>
      </w:r>
    </w:p>
    <w:p>
      <w:pPr>
        <w:pStyle w:val="ListParagraph"/>
        <w:numPr>
          <w:ilvl w:val="0"/>
          <w:numId w:val="2"/>
        </w:numPr>
        <w:spacing w:after="80"/>
      </w:pPr>
      <w:r>
        <w:t xml:space="preserve">Status, severity, priority, component/subsystem, sub-type (video/broadband taxonomy)</w:t>
      </w:r>
    </w:p>
    <w:p>
      <w:pPr>
        <w:pStyle w:val="ListParagraph"/>
        <w:numPr>
          <w:ilvl w:val="0"/>
          <w:numId w:val="2"/>
        </w:numPr>
        <w:spacing w:after="80"/>
      </w:pPr>
      <w:r>
        <w:t xml:space="preserve">Device model, hardware revision, serial/identifier (hashed/anonymized where required), firmware version, build ID, SoC/chipset</w:t>
      </w:r>
    </w:p>
    <w:p>
      <w:pPr>
        <w:pStyle w:val="ListParagraph"/>
        <w:numPr>
          <w:ilvl w:val="0"/>
          <w:numId w:val="2"/>
        </w:numPr>
        <w:spacing w:after="80"/>
      </w:pPr>
      <w:r>
        <w:t xml:space="preserve">Operator/ISP, region, deployment environment (lab / field trial / production)</w:t>
      </w:r>
    </w:p>
    <w:p>
      <w:pPr>
        <w:pStyle w:val="ListParagraph"/>
        <w:numPr>
          <w:ilvl w:val="0"/>
          <w:numId w:val="2"/>
        </w:numPr>
        <w:spacing w:after="80"/>
      </w:pPr>
      <w:r>
        <w:t xml:space="preserve">Reporter, assignee, owning team, creation/update timestamps</w:t>
      </w:r>
    </w:p>
    <w:p>
      <w:pPr>
        <w:pStyle w:val="ListParagraph"/>
        <w:numPr>
          <w:ilvl w:val="0"/>
          <w:numId w:val="2"/>
        </w:numPr>
        <w:spacing w:after="80"/>
      </w:pPr>
      <w:r>
        <w:t xml:space="preserve">Linked artifacts (logs, coredumps, pcaps, screenshots) with storage references</w:t>
      </w:r>
    </w:p>
    <w:p>
      <w:pPr>
        <w:pStyle w:val="ListParagraph"/>
        <w:numPr>
          <w:ilvl w:val="0"/>
          <w:numId w:val="2"/>
        </w:numPr>
        <w:spacing w:after="80"/>
      </w:pPr>
      <w:r>
        <w:t xml:space="preserve">Signature hash(es), duplicate/merge links, related-issue links</w:t>
      </w:r>
    </w:p>
    <w:p>
      <w:pPr>
        <w:pStyle w:val="ListParagraph"/>
        <w:numPr>
          <w:ilvl w:val="0"/>
          <w:numId w:val="2"/>
        </w:numPr>
        <w:spacing w:after="80"/>
      </w:pPr>
      <w:r>
        <w:t xml:space="preserve">Downstream tracker reference (e.g., Jira key) and sync status</w:t>
      </w:r>
    </w:p>
    <w:p>
      <w:pPr>
        <w:pStyle w:val="ListParagraph"/>
        <w:numPr>
          <w:ilvl w:val="0"/>
          <w:numId w:val="2"/>
        </w:numPr>
        <w:spacing w:after="80"/>
      </w:pPr>
      <w:r>
        <w:t xml:space="preserve">Audit trail of field changes and classification overrides</w:t>
      </w:r>
    </w:p>
    <w:p>
      <w:pPr>
        <w:pStyle w:val="ListParagraph"/>
        <w:numPr>
          <w:ilvl w:val="0"/>
          <w:numId w:val="2"/>
        </w:numPr>
        <w:spacing w:after="80"/>
      </w:pPr>
      <w:r>
        <w:t xml:space="preserve">Linked AI-proposed root cause(s), citations, and human feedback (confirmed/rejected/corrected)</w:t>
      </w:r>
    </w:p>
    <w:p>
      <w:pPr>
        <w:spacing w:after="200"/>
      </w:pPr>
    </w:p>
    <w:p>
      <w:pPr>
        <w:pStyle w:val="Heading2"/>
        <w:spacing w:after="150" w:before="300"/>
      </w:pPr>
      <w:r>
        <w:t xml:space="preserve">8.2 Shared Identifier Schema</w:t>
      </w:r>
    </w:p>
    <w:p>
      <w:pPr>
        <w:spacing w:after="150"/>
      </w:pPr>
      <w:r>
        <w:t xml:space="preserve">The following labels shall be applied consistently across every data type — issues, logs, code, and documents — so the correlation layer can join them. This is the single most important data requirement in the system (see AI-FR-040).</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Shared Label</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Example Value</w:t>
            </w:r>
          </w:p>
        </w:tc>
        <w:tc>
          <w:tcPr>
            <w:tcW w:type="dxa" w:w="5040"/>
            <w:shd w:fill="1F3864" w:color="auto" w:val="clear"/>
            <w:tcMar>
              <w:top w:type="dxa" w:w="60"/>
              <w:left w:type="dxa" w:w="100"/>
              <w:bottom w:type="dxa" w:w="60"/>
              <w:right w:type="dxa" w:w="100"/>
            </w:tcMar>
            <w:vAlign w:val="center"/>
          </w:tcPr>
          <w:p>
            <w:pPr>
              <w:jc w:val="left"/>
            </w:pPr>
            <w:r>
              <w:rPr>
                <w:b/>
                <w:bCs/>
                <w:color w:val="FFFFFF"/>
                <w:sz w:val="19"/>
                <w:szCs w:val="19"/>
              </w:rPr>
              <w:t xml:space="preserve">Why It Matters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firmware_build_id</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RDKV-4.2.118</w:t>
            </w:r>
          </w:p>
        </w:tc>
        <w:tc>
          <w:tcPr>
            <w:tcW w:type="dxa" w:w="5040"/>
            <w:shd w:fill="FFFFFF" w:color="auto" w:val="clear"/>
            <w:tcMar>
              <w:top w:type="dxa" w:w="60"/>
              <w:left w:type="dxa" w:w="100"/>
              <w:bottom w:type="dxa" w:w="60"/>
              <w:right w:type="dxa" w:w="100"/>
            </w:tcMar>
            <w:vAlign w:val="center"/>
          </w:tcPr>
          <w:p>
            <w:pPr>
              <w:jc w:val="left"/>
            </w:pPr>
            <w:r>
              <w:rPr>
                <w:b w:val="false"/>
                <w:bCs w:val="false"/>
                <w:sz w:val="19"/>
                <w:szCs w:val="19"/>
              </w:rPr>
              <w:t xml:space="preserve">A crash can only be symbolicated using debug symbols from the exact build that produced it</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component</w:t>
            </w:r>
          </w:p>
        </w:tc>
        <w:tc>
          <w:tcPr>
            <w:tcW w:type="dxa" w:w="2200"/>
            <w:shd w:fill="F2F2F2" w:color="auto" w:val="clear"/>
            <w:tcMar>
              <w:top w:type="dxa" w:w="60"/>
              <w:left w:type="dxa" w:w="100"/>
              <w:bottom w:type="dxa" w:w="60"/>
              <w:right w:type="dxa" w:w="100"/>
            </w:tcMar>
            <w:vAlign w:val="center"/>
          </w:tcPr>
          <w:p>
            <w:pPr>
              <w:jc w:val="left"/>
            </w:pPr>
            <w:r>
              <w:rPr>
                <w:b w:val="false"/>
                <w:bCs w:val="false"/>
                <w:sz w:val="19"/>
                <w:szCs w:val="19"/>
              </w:rPr>
              <w:t xml:space="preserve">Tuner</w:t>
            </w:r>
          </w:p>
        </w:tc>
        <w:tc>
          <w:tcPr>
            <w:tcW w:type="dxa" w:w="5040"/>
            <w:shd w:fill="F2F2F2" w:color="auto" w:val="clear"/>
            <w:tcMar>
              <w:top w:type="dxa" w:w="60"/>
              <w:left w:type="dxa" w:w="100"/>
              <w:bottom w:type="dxa" w:w="60"/>
              <w:right w:type="dxa" w:w="100"/>
            </w:tcMar>
            <w:vAlign w:val="center"/>
          </w:tcPr>
          <w:p>
            <w:pPr>
              <w:jc w:val="left"/>
            </w:pPr>
            <w:r>
              <w:rPr>
                <w:b w:val="false"/>
                <w:bCs w:val="false"/>
                <w:sz w:val="19"/>
                <w:szCs w:val="19"/>
              </w:rPr>
              <w:t xml:space="preserve">Routes issues to the right owning team and links logs, code, and docs about the same subsystem</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commit_sha</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a91f3c2</w:t>
            </w:r>
          </w:p>
        </w:tc>
        <w:tc>
          <w:tcPr>
            <w:tcW w:type="dxa" w:w="5040"/>
            <w:shd w:fill="FFFFFF" w:color="auto" w:val="clear"/>
            <w:tcMar>
              <w:top w:type="dxa" w:w="60"/>
              <w:left w:type="dxa" w:w="100"/>
              <w:bottom w:type="dxa" w:w="60"/>
              <w:right w:type="dxa" w:w="100"/>
            </w:tcMar>
            <w:vAlign w:val="center"/>
          </w:tcPr>
          <w:p>
            <w:pPr>
              <w:jc w:val="left"/>
            </w:pPr>
            <w:r>
              <w:rPr>
                <w:b w:val="false"/>
                <w:bCs w:val="false"/>
                <w:sz w:val="19"/>
                <w:szCs w:val="19"/>
              </w:rPr>
              <w:t xml:space="preserve">Connects a code change to the incidents and log signatures that appeared after it shipped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log_signature_id</w:t>
            </w:r>
          </w:p>
        </w:tc>
        <w:tc>
          <w:tcPr>
            <w:tcW w:type="dxa" w:w="2200"/>
            <w:shd w:fill="F2F2F2" w:color="auto" w:val="clear"/>
            <w:tcMar>
              <w:top w:type="dxa" w:w="60"/>
              <w:left w:type="dxa" w:w="100"/>
              <w:bottom w:type="dxa" w:w="60"/>
              <w:right w:type="dxa" w:w="100"/>
            </w:tcMar>
            <w:vAlign w:val="center"/>
          </w:tcPr>
          <w:p>
            <w:pPr>
              <w:jc w:val="left"/>
            </w:pPr>
            <w:r>
              <w:rPr>
                <w:b w:val="false"/>
                <w:bCs w:val="false"/>
                <w:sz w:val="19"/>
                <w:szCs w:val="19"/>
              </w:rPr>
              <w:t xml:space="preserve">sig_00417</w:t>
            </w:r>
          </w:p>
        </w:tc>
        <w:tc>
          <w:tcPr>
            <w:tcW w:type="dxa" w:w="5040"/>
            <w:shd w:fill="F2F2F2" w:color="auto" w:val="clear"/>
            <w:tcMar>
              <w:top w:type="dxa" w:w="60"/>
              <w:left w:type="dxa" w:w="100"/>
              <w:bottom w:type="dxa" w:w="60"/>
              <w:right w:type="dxa" w:w="100"/>
            </w:tcMar>
            <w:vAlign w:val="center"/>
          </w:tcPr>
          <w:p>
            <w:pPr>
              <w:jc w:val="left"/>
            </w:pPr>
            <w:r>
              <w:rPr>
                <w:b w:val="false"/>
                <w:bCs w:val="false"/>
                <w:sz w:val="19"/>
                <w:szCs w:val="19"/>
              </w:rPr>
              <w:t xml:space="preserve">Stable fingerprint for a templated log message</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device_model</w:t>
            </w:r>
          </w:p>
        </w:tc>
        <w:tc>
          <w:tcPr>
            <w:tcW w:type="dxa" w:w="2200"/>
            <w:shd w:fill="FFFFFF" w:color="auto" w:val="clear"/>
            <w:tcMar>
              <w:top w:type="dxa" w:w="60"/>
              <w:left w:type="dxa" w:w="100"/>
              <w:bottom w:type="dxa" w:w="60"/>
              <w:right w:type="dxa" w:w="100"/>
            </w:tcMar>
            <w:vAlign w:val="center"/>
          </w:tcPr>
          <w:p>
            <w:pPr>
              <w:jc w:val="left"/>
            </w:pPr>
            <w:r>
              <w:rPr>
                <w:b w:val="false"/>
                <w:bCs w:val="false"/>
                <w:sz w:val="19"/>
                <w:szCs w:val="19"/>
              </w:rPr>
              <w:t xml:space="preserve">XR400</w:t>
            </w:r>
          </w:p>
        </w:tc>
        <w:tc>
          <w:tcPr>
            <w:tcW w:type="dxa" w:w="5040"/>
            <w:shd w:fill="FFFFFF" w:color="auto" w:val="clear"/>
            <w:tcMar>
              <w:top w:type="dxa" w:w="60"/>
              <w:left w:type="dxa" w:w="100"/>
              <w:bottom w:type="dxa" w:w="60"/>
              <w:right w:type="dxa" w:w="100"/>
            </w:tcMar>
            <w:vAlign w:val="center"/>
          </w:tcPr>
          <w:p>
            <w:pPr>
              <w:jc w:val="left"/>
            </w:pPr>
            <w:r>
              <w:rPr>
                <w:b w:val="false"/>
                <w:bCs w:val="false"/>
                <w:sz w:val="19"/>
                <w:szCs w:val="19"/>
              </w:rPr>
              <w:t xml:space="preserve">Distinguishes fleet-wide issues from those limited to one hardware family</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incident_id</w:t>
            </w:r>
          </w:p>
        </w:tc>
        <w:tc>
          <w:tcPr>
            <w:tcW w:type="dxa" w:w="2200"/>
            <w:shd w:fill="F2F2F2" w:color="auto" w:val="clear"/>
            <w:tcMar>
              <w:top w:type="dxa" w:w="60"/>
              <w:left w:type="dxa" w:w="100"/>
              <w:bottom w:type="dxa" w:w="60"/>
              <w:right w:type="dxa" w:w="100"/>
            </w:tcMar>
            <w:vAlign w:val="center"/>
          </w:tcPr>
          <w:p>
            <w:pPr>
              <w:jc w:val="left"/>
            </w:pPr>
            <w:r>
              <w:rPr>
                <w:b w:val="false"/>
                <w:bCs w:val="false"/>
                <w:sz w:val="19"/>
                <w:szCs w:val="19"/>
              </w:rPr>
              <w:t xml:space="preserve">INC-3877</w:t>
            </w:r>
          </w:p>
        </w:tc>
        <w:tc>
          <w:tcPr>
            <w:tcW w:type="dxa" w:w="5040"/>
            <w:shd w:fill="F2F2F2" w:color="auto" w:val="clear"/>
            <w:tcMar>
              <w:top w:type="dxa" w:w="60"/>
              <w:left w:type="dxa" w:w="100"/>
              <w:bottom w:type="dxa" w:w="60"/>
              <w:right w:type="dxa" w:w="100"/>
            </w:tcMar>
            <w:vAlign w:val="center"/>
          </w:tcPr>
          <w:p>
            <w:pPr>
              <w:jc w:val="left"/>
            </w:pPr>
            <w:r>
              <w:rPr>
                <w:b w:val="false"/>
                <w:bCs w:val="false"/>
                <w:sz w:val="19"/>
                <w:szCs w:val="19"/>
              </w:rPr>
              <w:t xml:space="preserve">Links a historical write-up to the commits and components it involved</w:t>
            </w:r>
          </w:p>
        </w:tc>
      </w:tr>
    </w:tbl>
    <w:p>
      <w:pPr>
        <w:spacing w:after="200"/>
      </w:pPr>
    </w:p>
    <w:p>
      <w:pPr>
        <w:pStyle w:val="Heading2"/>
        <w:spacing w:after="150" w:before="300"/>
      </w:pPr>
      <w:r>
        <w:t xml:space="preserve">8.3 Data Retention &amp; Privacy</w:t>
      </w:r>
    </w:p>
    <w:p>
      <w:pPr>
        <w:spacing w:after="150"/>
      </w:pPr>
      <w:r>
        <w:t xml:space="preserve">Field-collected data may include identifiers considered personal data under regional regulations (e.g., a device MAC address tied to a subscriber account). The system shall support anonymization/pseudonymization of such identifiers at ingestion where required by the deployment region, and shall support configurable, per-artifact-type retention windows to balance debugging usefulness against storage cost and compliance obligations.</w:t>
      </w:r>
    </w:p>
    <w:p>
      <w:r>
        <w:br w:type="page"/>
      </w:r>
    </w:p>
    <w:p>
      <w:pPr>
        <w:pStyle w:val="Heading1"/>
        <w:spacing w:after="200" w:before="400"/>
      </w:pPr>
      <w:r>
        <w:t xml:space="preserve">9. External Interface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External System</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Interface Type</w:t>
            </w:r>
          </w:p>
        </w:tc>
        <w:tc>
          <w:tcPr>
            <w:tcW w:type="dxa" w:w="464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Issue Tracker (Jira/Bugzilla)</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REST API</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Create/update ticket, sync status and comments, attach artifacts.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Telemetry / Crash Pipeline</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Kafka/MQTT or HTTP webhook</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Consume crash/reboot/watchdog events and device health telemetry.</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Device Management / ACS</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TR-069/TR-369 (USP), or vendor RDK management API</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Trigger on-demand diagnostics, log pull, and remote reboot from within an issue.</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CI / Regression Test System</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REST API / webhook</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Auto-file issues from failed test runs; trigger code-index regeneration on merge.</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Source Code Hosting</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Git provider API / webhook</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Retrieve commits, diffs, blame history; trigger re-indexing.</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Code Intelligence Service</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SCIP-compatible indexer API</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Precise symbol resolution, call graph, cross-repo navigation.</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Crash Symbolication Service</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Minidump/Breakpad-compatible API</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Resolve crash addresses to function/file/line using build-matched debug symbols.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Vector / Hybrid Search Service</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REST/gRPC API</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Semantic + keyword search over documents and code chunks.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Knowledge Graph Database</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Graph query API (e.g., Cypher-compatible)</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Store and query entity relationships for correlation.</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Object Storage</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S3-compatible API</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Store large raw artifacts (coredumps, pcaps) referenced by issue records.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Chat/Collaboration (Slack/Teams)</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Webhook / bot API</w:t>
            </w:r>
          </w:p>
        </w:tc>
        <w:tc>
          <w:tcPr>
            <w:tcW w:type="dxa" w:w="4640"/>
            <w:shd w:fill="FFFFFF" w:color="auto" w:val="clear"/>
            <w:tcMar>
              <w:top w:type="dxa" w:w="60"/>
              <w:left w:type="dxa" w:w="100"/>
              <w:bottom w:type="dxa" w:w="60"/>
              <w:right w:type="dxa" w:w="100"/>
            </w:tcMar>
            <w:vAlign w:val="center"/>
          </w:tcPr>
          <w:p>
            <w:pPr>
              <w:jc w:val="left"/>
            </w:pPr>
            <w:r>
              <w:rPr>
                <w:b w:val="false"/>
                <w:bCs w:val="false"/>
                <w:sz w:val="19"/>
                <w:szCs w:val="19"/>
              </w:rPr>
              <w:t xml:space="preserve">Notifications, quick-triage actions, escalation alerts.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SSO/Identity Provider</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SAML/OIDC</w:t>
            </w:r>
          </w:p>
        </w:tc>
        <w:tc>
          <w:tcPr>
            <w:tcW w:type="dxa" w:w="4640"/>
            <w:shd w:fill="F2F2F2" w:color="auto" w:val="clear"/>
            <w:tcMar>
              <w:top w:type="dxa" w:w="60"/>
              <w:left w:type="dxa" w:w="100"/>
              <w:bottom w:type="dxa" w:w="60"/>
              <w:right w:type="dxa" w:w="100"/>
            </w:tcMar>
            <w:vAlign w:val="center"/>
          </w:tcPr>
          <w:p>
            <w:pPr>
              <w:jc w:val="left"/>
            </w:pPr>
            <w:r>
              <w:rPr>
                <w:b w:val="false"/>
                <w:bCs w:val="false"/>
                <w:sz w:val="19"/>
                <w:szCs w:val="19"/>
              </w:rPr>
              <w:t xml:space="preserve">User authentication and role mapping.</w:t>
            </w:r>
          </w:p>
        </w:tc>
      </w:tr>
    </w:tbl>
    <w:p>
      <w:r>
        <w:br w:type="page"/>
      </w:r>
    </w:p>
    <w:p>
      <w:pPr>
        <w:pStyle w:val="Heading1"/>
        <w:spacing w:after="200" w:before="400"/>
      </w:pPr>
      <w:r>
        <w:t xml:space="preserve">10. Assumptions, Dependencies &amp; Constraints</w:t>
      </w:r>
    </w:p>
    <w:p>
      <w:pPr>
        <w:pStyle w:val="Heading2"/>
        <w:spacing w:after="150" w:before="300"/>
      </w:pPr>
      <w:r>
        <w:t xml:space="preserve">10.1 Assumptions</w:t>
      </w:r>
    </w:p>
    <w:p>
      <w:pPr>
        <w:pStyle w:val="ListParagraph"/>
        <w:numPr>
          <w:ilvl w:val="0"/>
          <w:numId w:val="2"/>
        </w:numPr>
        <w:spacing w:after="80"/>
      </w:pPr>
      <w:r>
        <w:t xml:space="preserve">Downstream issue tracker and CI systems expose usable APIs; the triage tool is not expected to replace them.</w:t>
      </w:r>
    </w:p>
    <w:p>
      <w:pPr>
        <w:pStyle w:val="ListParagraph"/>
        <w:numPr>
          <w:ilvl w:val="0"/>
          <w:numId w:val="2"/>
        </w:numPr>
        <w:spacing w:after="80"/>
      </w:pPr>
      <w:r>
        <w:t xml:space="preserve">Devices in the field support at least a minimal remote diagnostics/log-pull capability; fully unmanaged legacy devices are out of scope for automated enrichment.</w:t>
      </w:r>
    </w:p>
    <w:p>
      <w:pPr>
        <w:pStyle w:val="ListParagraph"/>
        <w:numPr>
          <w:ilvl w:val="0"/>
          <w:numId w:val="2"/>
        </w:numPr>
        <w:spacing w:after="80"/>
      </w:pPr>
      <w:r>
        <w:t xml:space="preserve">Debug symbol files for shipped firmware builds are archived and retrievable for coredump symbolication.</w:t>
      </w:r>
    </w:p>
    <w:p>
      <w:pPr>
        <w:pStyle w:val="ListParagraph"/>
        <w:numPr>
          <w:ilvl w:val="0"/>
          <w:numId w:val="2"/>
        </w:numPr>
        <w:spacing w:after="80"/>
      </w:pPr>
      <w:r>
        <w:t xml:space="preserve">Source repositories can be indexed by an automated service without violating access-control policy (or the indexing service is granted appropriate scoped access).</w:t>
      </w:r>
    </w:p>
    <w:p>
      <w:pPr>
        <w:pStyle w:val="Heading2"/>
        <w:spacing w:after="150" w:before="300"/>
      </w:pPr>
      <w:r>
        <w:t xml:space="preserve">10.2 Constraints</w:t>
      </w:r>
    </w:p>
    <w:p>
      <w:pPr>
        <w:pStyle w:val="ListParagraph"/>
        <w:numPr>
          <w:ilvl w:val="0"/>
          <w:numId w:val="2"/>
        </w:numPr>
        <w:spacing w:after="80"/>
      </w:pPr>
      <w:r>
        <w:t xml:space="preserve">Must operate within existing data-residency/privacy constraints for each operator/region the fleet spans.</w:t>
      </w:r>
    </w:p>
    <w:p>
      <w:pPr>
        <w:pStyle w:val="ListParagraph"/>
        <w:numPr>
          <w:ilvl w:val="0"/>
          <w:numId w:val="2"/>
        </w:numPr>
        <w:spacing w:after="80"/>
      </w:pPr>
      <w:r>
        <w:t xml:space="preserve">Must not require firmware changes on already-deployed devices to gain baseline log-ingestion functionality.</w:t>
      </w:r>
    </w:p>
    <w:p>
      <w:pPr>
        <w:pStyle w:val="ListParagraph"/>
        <w:numPr>
          <w:ilvl w:val="0"/>
          <w:numId w:val="2"/>
        </w:numPr>
        <w:spacing w:after="80"/>
      </w:pPr>
      <w:r>
        <w:t xml:space="preserve">Storage costs for raw diagnostic artifacts at fleet scale must be bounded by configurable retention policy.</w:t>
      </w:r>
    </w:p>
    <w:p>
      <w:pPr>
        <w:pStyle w:val="ListParagraph"/>
        <w:numPr>
          <w:ilvl w:val="0"/>
          <w:numId w:val="2"/>
        </w:numPr>
        <w:spacing w:after="80"/>
      </w:pPr>
      <w:r>
        <w:t xml:space="preserve">The AI agent must not take autonomous remediation actions (e.g., committing code) — see Section 1.2 scope exclusion — until an explicit future phase authorizes it.</w:t>
      </w:r>
    </w:p>
    <w:p>
      <w:pPr>
        <w:spacing w:after="200"/>
      </w:pPr>
    </w:p>
    <w:p>
      <w:pPr>
        <w:pStyle w:val="Heading1"/>
        <w:spacing w:after="200" w:before="400"/>
      </w:pPr>
      <w:r>
        <w:t xml:space="preserve">11. Build vs. Buy Guidance</w:t>
      </w:r>
    </w:p>
    <w:p>
      <w:pPr>
        <w:spacing w:after="150"/>
      </w:pPr>
      <w:r>
        <w:t xml:space="preserve">Not every layer needs to be built from scratch. The recommended split: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6440"/>
            <w:shd w:fill="1F3864" w:color="auto" w:val="clear"/>
            <w:tcMar>
              <w:top w:type="dxa" w:w="60"/>
              <w:left w:type="dxa" w:w="100"/>
              <w:bottom w:type="dxa" w:w="60"/>
              <w:right w:type="dxa" w:w="100"/>
            </w:tcMar>
            <w:vAlign w:val="center"/>
          </w:tcPr>
          <w:p>
            <w:pPr>
              <w:jc w:val="left"/>
            </w:pPr>
            <w:r>
              <w:rPr>
                <w:b/>
                <w:bCs/>
                <w:color w:val="FFFFFF"/>
                <w:sz w:val="19"/>
                <w:szCs w:val="19"/>
              </w:rPr>
              <w:t xml:space="preserve">Recommended Approach</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Log storage &amp; search</w:t>
            </w:r>
          </w:p>
        </w:tc>
        <w:tc>
          <w:tcPr>
            <w:tcW w:type="dxa" w:w="6440"/>
            <w:shd w:fill="FFFFFF" w:color="auto" w:val="clear"/>
            <w:tcMar>
              <w:top w:type="dxa" w:w="60"/>
              <w:left w:type="dxa" w:w="100"/>
              <w:bottom w:type="dxa" w:w="60"/>
              <w:right w:type="dxa" w:w="100"/>
            </w:tcMar>
            <w:vAlign w:val="center"/>
          </w:tcPr>
          <w:p>
            <w:pPr>
              <w:jc w:val="left"/>
            </w:pPr>
            <w:r>
              <w:rPr>
                <w:b w:val="false"/>
                <w:bCs w:val="false"/>
                <w:sz w:val="19"/>
                <w:szCs w:val="19"/>
              </w:rPr>
              <w:t xml:space="preserve">Adopt an existing observability/log platform rather than build one</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Code indexing</w:t>
            </w:r>
          </w:p>
        </w:tc>
        <w:tc>
          <w:tcPr>
            <w:tcW w:type="dxa" w:w="6440"/>
            <w:shd w:fill="F2F2F2" w:color="auto" w:val="clear"/>
            <w:tcMar>
              <w:top w:type="dxa" w:w="60"/>
              <w:left w:type="dxa" w:w="100"/>
              <w:bottom w:type="dxa" w:w="60"/>
              <w:right w:type="dxa" w:w="100"/>
            </w:tcMar>
            <w:vAlign w:val="center"/>
          </w:tcPr>
          <w:p>
            <w:pPr>
              <w:jc w:val="left"/>
            </w:pPr>
            <w:r>
              <w:rPr>
                <w:b w:val="false"/>
                <w:bCs w:val="false"/>
                <w:sz w:val="19"/>
                <w:szCs w:val="19"/>
              </w:rPr>
              <w:t xml:space="preserve">Adopt an existing code-intelligence tool/protocol (e.g., SCIP-compatible) rather than write per-language parsers</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Crash symbolication</w:t>
            </w:r>
          </w:p>
        </w:tc>
        <w:tc>
          <w:tcPr>
            <w:tcW w:type="dxa" w:w="6440"/>
            <w:shd w:fill="FFFFFF" w:color="auto" w:val="clear"/>
            <w:tcMar>
              <w:top w:type="dxa" w:w="60"/>
              <w:left w:type="dxa" w:w="100"/>
              <w:bottom w:type="dxa" w:w="60"/>
              <w:right w:type="dxa" w:w="100"/>
            </w:tcMar>
            <w:vAlign w:val="center"/>
          </w:tcPr>
          <w:p>
            <w:pPr>
              <w:jc w:val="left"/>
            </w:pPr>
            <w:r>
              <w:rPr>
                <w:b w:val="false"/>
                <w:bCs w:val="false"/>
                <w:sz w:val="19"/>
                <w:szCs w:val="19"/>
              </w:rPr>
              <w:t xml:space="preserve">Adopt an existing crash-reporting/symbolication service</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Shared ID schema, knowledge graph, agent tools</w:t>
            </w:r>
          </w:p>
        </w:tc>
        <w:tc>
          <w:tcPr>
            <w:tcW w:type="dxa" w:w="6440"/>
            <w:shd w:fill="F2F2F2" w:color="auto" w:val="clear"/>
            <w:tcMar>
              <w:top w:type="dxa" w:w="60"/>
              <w:left w:type="dxa" w:w="100"/>
              <w:bottom w:type="dxa" w:w="60"/>
              <w:right w:type="dxa" w:w="100"/>
            </w:tcMar>
            <w:vAlign w:val="center"/>
          </w:tcPr>
          <w:p>
            <w:pPr>
              <w:jc w:val="left"/>
            </w:pPr>
            <w:r>
              <w:rPr>
                <w:b w:val="false"/>
                <w:bCs w:val="false"/>
                <w:sz w:val="19"/>
                <w:szCs w:val="19"/>
              </w:rPr>
              <w:t xml:space="preserve">Build in-house — specific to this codebase and device fleet; no off-the-shelf product understands embedded CPE quirks out of the box</w:t>
            </w:r>
          </w:p>
        </w:tc>
      </w:tr>
    </w:tbl>
    <w:p>
      <w:pPr>
        <w:spacing w:after="200"/>
      </w:pPr>
    </w:p>
    <w:p>
      <w:pPr>
        <w:pStyle w:val="Heading1"/>
        <w:spacing w:after="200" w:before="400"/>
      </w:pPr>
      <w:r>
        <w:t xml:space="preserve">12. Acceptance Criteria (Summary)</w:t>
      </w:r>
    </w:p>
    <w:p>
      <w:pPr>
        <w:pStyle w:val="ListParagraph"/>
        <w:numPr>
          <w:ilvl w:val="0"/>
          <w:numId w:val="2"/>
        </w:numPr>
        <w:spacing w:after="80"/>
      </w:pPr>
      <w:r>
        <w:t xml:space="preserve">A lab engineer can file a fully-contextualized issue (device, firmware, logs auto-attached) in under 60 seconds.</w:t>
      </w:r>
    </w:p>
    <w:p>
      <w:pPr>
        <w:pStyle w:val="ListParagraph"/>
        <w:numPr>
          <w:ilvl w:val="0"/>
          <w:numId w:val="2"/>
        </w:numPr>
        <w:spacing w:after="80"/>
      </w:pPr>
      <w:r>
        <w:t xml:space="preserve">A crash event from a field-deployed device automatically generates a triaged, classified issue with a symbolized stack trace, without manual intervention, within an agreed SLA (e.g., 5 minutes).</w:t>
      </w:r>
    </w:p>
    <w:p>
      <w:pPr>
        <w:pStyle w:val="ListParagraph"/>
        <w:numPr>
          <w:ilvl w:val="0"/>
          <w:numId w:val="2"/>
        </w:numPr>
        <w:spacing w:after="80"/>
      </w:pPr>
      <w:r>
        <w:t xml:space="preserve">Duplicate crash signatures are correctly grouped with at least the accuracy threshold agreed in UAT.</w:t>
      </w:r>
    </w:p>
    <w:p>
      <w:pPr>
        <w:pStyle w:val="ListParagraph"/>
        <w:numPr>
          <w:ilvl w:val="0"/>
          <w:numId w:val="2"/>
        </w:numPr>
        <w:spacing w:after="80"/>
      </w:pPr>
      <w:r>
        <w:t xml:space="preserve">Issues sync bi-directionally with the downstream tracker with no data loss.</w:t>
      </w:r>
    </w:p>
    <w:p>
      <w:pPr>
        <w:pStyle w:val="ListParagraph"/>
        <w:numPr>
          <w:ilvl w:val="0"/>
          <w:numId w:val="2"/>
        </w:numPr>
        <w:spacing w:after="80"/>
      </w:pPr>
      <w:r>
        <w:t xml:space="preserve">Dashboards correctly reflect open/closed counts, severity distribution, and per-firmware defect density, verified against the downstream tracker as source of truth.</w:t>
      </w:r>
    </w:p>
    <w:p>
      <w:pPr>
        <w:pStyle w:val="ListParagraph"/>
        <w:numPr>
          <w:ilvl w:val="0"/>
          <w:numId w:val="2"/>
        </w:numPr>
        <w:spacing w:after="80"/>
      </w:pPr>
      <w:r>
        <w:t xml:space="preserve">Role-based access control correctly restricts classification and administrative actions per the roles defined in Section 7.</w:t>
      </w:r>
    </w:p>
    <w:p>
      <w:pPr>
        <w:pStyle w:val="ListParagraph"/>
        <w:numPr>
          <w:ilvl w:val="0"/>
          <w:numId w:val="2"/>
        </w:numPr>
        <w:spacing w:after="80"/>
      </w:pPr>
      <w:r>
        <w:t xml:space="preserve">For a labeled set of historical incidents, the AI agent's proposed root cause appears within the top 5 candidates at or above the agreed accuracy threshold (NFR-12).</w:t>
      </w:r>
    </w:p>
    <w:p>
      <w:pPr>
        <w:pStyle w:val="ListParagraph"/>
        <w:numPr>
          <w:ilvl w:val="0"/>
          <w:numId w:val="2"/>
        </w:numPr>
        <w:spacing w:after="80"/>
      </w:pPr>
      <w:r>
        <w:t xml:space="preserve">Every AI-proposed root cause includes verifiable citations (log signature, commit, and/or document references) per NFR-14.</w:t>
      </w:r>
    </w:p>
    <w:p>
      <w:pPr>
        <w:pStyle w:val="ListParagraph"/>
        <w:numPr>
          <w:ilvl w:val="0"/>
          <w:numId w:val="2"/>
        </w:numPr>
        <w:spacing w:after="80"/>
      </w:pPr>
      <w:r>
        <w:t xml:space="preserve">A crash can only be symbolicated using debug symbols from its exact firmware build; mismatched-build attempts are flagged, not silently returned (NFR-13).</w:t>
      </w:r>
    </w:p>
    <w:p>
      <w:pPr>
        <w:pStyle w:val="ListParagraph"/>
        <w:numPr>
          <w:ilvl w:val="0"/>
          <w:numId w:val="2"/>
        </w:numPr>
        <w:spacing w:after="80"/>
      </w:pPr>
      <w:r>
        <w:t xml:space="preserve">An engineer can run the log templating engine standalone against logs from a single device (no fleet pipeline deployed) and receive a usable template/anomaly list; the same signature IDs produced in this mode match those the fleet pipeline would produce for identical log content (AI-FR-007, AI-FR-008).</w:t>
      </w:r>
    </w:p>
    <w:p>
      <w:pPr>
        <w:spacing w:after="200"/>
      </w:pPr>
    </w:p>
    <w:p>
      <w:pPr>
        <w:pStyle w:val="Heading1"/>
        <w:spacing w:after="200" w:before="400"/>
      </w:pPr>
      <w:r>
        <w:t xml:space="preserve">13. Open Questions</w:t>
      </w:r>
    </w:p>
    <w:p>
      <w:pPr>
        <w:pStyle w:val="ListParagraph"/>
        <w:numPr>
          <w:ilvl w:val="0"/>
          <w:numId w:val="2"/>
        </w:numPr>
        <w:spacing w:after="80"/>
      </w:pPr>
      <w:r>
        <w:t xml:space="preserve">Which downstream issue tracker(s) must be supported at launch — single tracker or multiple simultaneously?</w:t>
      </w:r>
    </w:p>
    <w:p>
      <w:pPr>
        <w:pStyle w:val="ListParagraph"/>
        <w:numPr>
          <w:ilvl w:val="0"/>
          <w:numId w:val="2"/>
        </w:numPr>
        <w:spacing w:after="80"/>
      </w:pPr>
      <w:r>
        <w:t xml:space="preserve">Which specific chipset vendors/SDKs must symbolication support at launch (Broadcom, Amlogic, Qualcomm, MaxLinear, others)?</w:t>
      </w:r>
    </w:p>
    <w:p>
      <w:pPr>
        <w:pStyle w:val="ListParagraph"/>
        <w:numPr>
          <w:ilvl w:val="0"/>
          <w:numId w:val="2"/>
        </w:numPr>
        <w:spacing w:after="80"/>
      </w:pPr>
      <w:r>
        <w:t xml:space="preserve">What accuracy threshold on the historical-incident evaluation set is required before the AI agent moves from advisory-only to a more prominent role in triage?</w:t>
      </w:r>
    </w:p>
    <w:p>
      <w:pPr>
        <w:pStyle w:val="ListParagraph"/>
        <w:numPr>
          <w:ilvl w:val="0"/>
          <w:numId w:val="2"/>
        </w:numPr>
        <w:spacing w:after="80"/>
      </w:pPr>
      <w:r>
        <w:t xml:space="preserve">What is the expected field-fleet scale at launch vs. 3-year horizon, to size ingestion/storage requirements for both the triage tool and the AI correlation layer?</w:t>
      </w:r>
    </w:p>
    <w:p>
      <w:pPr>
        <w:pStyle w:val="ListParagraph"/>
        <w:numPr>
          <w:ilvl w:val="0"/>
          <w:numId w:val="2"/>
        </w:numPr>
        <w:spacing w:after="80"/>
      </w:pPr>
      <w:r>
        <w:t xml:space="preserve">Are there existing telemetry, code-hosting, or vector/graph database platforms already standardized on elsewhere in the org that this system should reuse rather than duplicate?</w:t>
      </w:r>
    </w:p>
    <w:p>
      <w:pPr>
        <w:pStyle w:val="ListParagraph"/>
        <w:numPr>
          <w:ilvl w:val="0"/>
          <w:numId w:val="2"/>
        </w:numPr>
        <w:spacing w:after="80"/>
      </w:pPr>
      <w:r>
        <w:t xml:space="preserve">What data-residency constraints apply to sending code, logs, or documents to a third-party or cloud-hosted LLM, versus requiring a self-hosted 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Triage Tool &amp; AI Correlation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2026-07-09T02:17:55.733Z</dcterms:created>
  <dcterms:modified xsi:type="dcterms:W3CDTF">2026-07-09T02:17:55.733Z</dcterms:modified>
</cp:coreProperties>
</file>

<file path=docProps/custom.xml><?xml version="1.0" encoding="utf-8"?>
<Properties xmlns="http://schemas.openxmlformats.org/officeDocument/2006/custom-properties" xmlns:vt="http://schemas.openxmlformats.org/officeDocument/2006/docPropsVTypes"/>
</file>