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Calibri" w:cs="Calibri" w:eastAsia="Calibri" w:hAnsi="Calibri"/>
          <w:b/>
          <w:bCs/>
          <w:color w:val="0D9488"/>
          <w:sz w:val="22"/>
          <w:szCs w:val="22"/>
        </w:rPr>
        <w:t xml:space="preserve">MULTI-PLANE RUNTIME CONTROL PLATFORM</w:t>
      </w:r>
    </w:p>
    <w:p>
      <w:pPr>
        <w:spacing w:after="300"/>
      </w:pPr>
      <w:r>
        <w:rPr>
          <w:rFonts w:ascii="Calibri" w:cs="Calibri" w:eastAsia="Calibri" w:hAnsi="Calibri"/>
          <w:b/>
          <w:bCs/>
          <w:color w:val="0B1F3A"/>
          <w:sz w:val="44"/>
          <w:szCs w:val="44"/>
        </w:rPr>
        <w:t xml:space="preserve">Executive Narrative &amp; Architecture Overview</w:t>
      </w:r>
    </w:p>
    <w:p>
      <w:pPr>
        <w:spacing w:after="1600"/>
      </w:pPr>
      <w:r>
        <w:rPr>
          <w:rFonts w:ascii="Calibri" w:cs="Calibri" w:eastAsia="Calibri" w:hAnsi="Calibri"/>
          <w:i/>
          <w:iCs/>
          <w:color w:val="334155"/>
          <w:sz w:val="24"/>
          <w:szCs w:val="24"/>
        </w:rPr>
        <w:t xml:space="preserve">A governance and control layer for distributed device capabilities — use cases, communication model, and the static/dynamic tooling architecture.</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Executive Summary</w:t>
      </w:r>
    </w:p>
    <w:p>
      <w:pPr>
        <w:spacing w:after="160" w:line="300"/>
      </w:pPr>
      <w:r>
        <w:rPr>
          <w:rFonts w:ascii="Calibri" w:cs="Calibri" w:eastAsia="Calibri" w:hAnsi="Calibri"/>
          <w:color w:val="334155"/>
          <w:sz w:val="22"/>
          <w:szCs w:val="22"/>
        </w:rPr>
        <w:t xml:space="preserve">This module is the operational control layer for a multi-plane runtime environment. Its purpose is to make device capabilities discoverable, governable, and upgradeable across different operational contexts without forcing every action through the same risk profile. In practical terms, it gives the organization a disciplined way to diagnose, manage, control, and update distributed device capabilities while preserving safety, scalability, and deployment agility.</w:t>
      </w:r>
    </w:p>
    <w:p>
      <w:pPr>
        <w:spacing w:after="160" w:line="300"/>
      </w:pPr>
      <w:r>
        <w:rPr>
          <w:rFonts w:ascii="Calibri" w:cs="Calibri" w:eastAsia="Calibri" w:hAnsi="Calibri"/>
          <w:color w:val="334155"/>
          <w:sz w:val="22"/>
          <w:szCs w:val="22"/>
        </w:rPr>
        <w:t xml:space="preserve">At a business level, the module addresses a common but costly problem: as device ecosystems become more distributed and more complex, teams end up with fragmented visibility, inconsistent update paths, and slower incident response. The result is operational drag, higher support cost, and delayed product velocity. This module reduces that complexity by creating a single, policy-aware control model for how capabilities are exposed and changed.</w:t>
      </w:r>
    </w:p>
    <w:p>
      <w:pPr>
        <w:pStyle w:val="Heading2"/>
        <w:spacing w:after="150" w:before="300"/>
      </w:pPr>
      <w:r>
        <w:t xml:space="preserve">The Business Context</w:t>
      </w:r>
    </w:p>
    <w:p>
      <w:pPr>
        <w:spacing w:after="160" w:line="300"/>
      </w:pPr>
      <w:r>
        <w:rPr>
          <w:rFonts w:ascii="Calibri" w:cs="Calibri" w:eastAsia="Calibri" w:hAnsi="Calibri"/>
          <w:color w:val="334155"/>
          <w:sz w:val="22"/>
          <w:szCs w:val="22"/>
        </w:rPr>
        <w:t xml:space="preserve">Modern product environments do not behave like a single system. They are composed of multiple planes of activity with different intent and different risk:</w:t>
      </w:r>
    </w:p>
    <w:p>
      <w:pPr>
        <w:pStyle w:val="ListParagraph"/>
        <w:numPr>
          <w:ilvl w:val="0"/>
          <w:numId w:val="2"/>
        </w:numPr>
        <w:spacing w:after="100" w:line="280"/>
      </w:pPr>
      <w:r>
        <w:rPr>
          <w:rFonts w:ascii="Calibri" w:cs="Calibri" w:eastAsia="Calibri" w:hAnsi="Calibri"/>
          <w:color w:val="334155"/>
          <w:sz w:val="22"/>
          <w:szCs w:val="22"/>
        </w:rPr>
        <w:t xml:space="preserve">Triage — read-only visibility and diagnostics</w:t>
      </w:r>
    </w:p>
    <w:p>
      <w:pPr>
        <w:pStyle w:val="ListParagraph"/>
        <w:numPr>
          <w:ilvl w:val="0"/>
          <w:numId w:val="2"/>
        </w:numPr>
        <w:spacing w:after="100" w:line="280"/>
      </w:pPr>
      <w:r>
        <w:rPr>
          <w:rFonts w:ascii="Calibri" w:cs="Calibri" w:eastAsia="Calibri" w:hAnsi="Calibri"/>
          <w:color w:val="334155"/>
          <w:sz w:val="22"/>
          <w:szCs w:val="22"/>
        </w:rPr>
        <w:t xml:space="preserve">Management — operational action and service oversight</w:t>
      </w:r>
    </w:p>
    <w:p>
      <w:pPr>
        <w:pStyle w:val="ListParagraph"/>
        <w:numPr>
          <w:ilvl w:val="0"/>
          <w:numId w:val="2"/>
        </w:numPr>
        <w:spacing w:after="100" w:line="280"/>
      </w:pPr>
      <w:r>
        <w:rPr>
          <w:rFonts w:ascii="Calibri" w:cs="Calibri" w:eastAsia="Calibri" w:hAnsi="Calibri"/>
          <w:color w:val="334155"/>
          <w:sz w:val="22"/>
          <w:szCs w:val="22"/>
        </w:rPr>
        <w:t xml:space="preserve">Control — runtime behaviors and policy changes</w:t>
      </w:r>
    </w:p>
    <w:p>
      <w:pPr>
        <w:pStyle w:val="ListParagraph"/>
        <w:numPr>
          <w:ilvl w:val="0"/>
          <w:numId w:val="2"/>
        </w:numPr>
        <w:spacing w:after="100" w:line="280"/>
      </w:pPr>
      <w:r>
        <w:rPr>
          <w:rFonts w:ascii="Calibri" w:cs="Calibri" w:eastAsia="Calibri" w:hAnsi="Calibri"/>
          <w:color w:val="334155"/>
          <w:sz w:val="22"/>
          <w:szCs w:val="22"/>
        </w:rPr>
        <w:t xml:space="preserve">Config-apply — high-impact configuration adoption and rollback</w:t>
      </w:r>
    </w:p>
    <w:p>
      <w:pPr>
        <w:spacing w:after="60"/>
      </w:pPr>
    </w:p>
    <w:p>
      <w:pPr>
        <w:spacing w:after="160" w:line="300"/>
      </w:pPr>
      <w:r>
        <w:rPr>
          <w:rFonts w:ascii="Calibri" w:cs="Calibri" w:eastAsia="Calibri" w:hAnsi="Calibri"/>
          <w:color w:val="334155"/>
          <w:sz w:val="22"/>
          <w:szCs w:val="22"/>
        </w:rPr>
        <w:t xml:space="preserve">Without a controlled model, the same system can be used for diagnostic reads, operational actions, and major configuration changes in ways that blur responsibility and increase operational risk. This module creates structure around that complexity.</w:t>
      </w:r>
    </w:p>
    <w:p>
      <w:pPr>
        <w:pStyle w:val="Heading2"/>
        <w:spacing w:after="150" w:before="300"/>
      </w:pPr>
      <w:r>
        <w:t xml:space="preserve">What the System Does</w:t>
      </w:r>
    </w:p>
    <w:p>
      <w:pPr>
        <w:spacing w:after="160" w:line="300"/>
      </w:pPr>
      <w:r>
        <w:rPr>
          <w:rFonts w:ascii="Calibri" w:cs="Calibri" w:eastAsia="Calibri" w:hAnsi="Calibri"/>
          <w:color w:val="334155"/>
          <w:sz w:val="22"/>
          <w:szCs w:val="22"/>
        </w:rPr>
        <w:t xml:space="preserve">The system acts as a coordinated runtime catalog and execution layer. It receives requests, identifies the right operational plane, validates the request, resolves the correct capability, and executes it using either a catalog route or a plugin-based route.</w:t>
      </w:r>
    </w:p>
    <w:p>
      <w:pPr>
        <w:spacing w:after="160" w:line="300"/>
      </w:pPr>
      <w:r>
        <w:rPr>
          <w:rFonts w:ascii="Calibri" w:cs="Calibri" w:eastAsia="Calibri" w:hAnsi="Calibri"/>
          <w:color w:val="334155"/>
          <w:sz w:val="22"/>
          <w:szCs w:val="22"/>
        </w:rPr>
        <w:t xml:space="preserve">The key value is not simply “command execution.” It is disciplined orchestration:</w:t>
      </w:r>
    </w:p>
    <w:p>
      <w:pPr>
        <w:pStyle w:val="ListParagraph"/>
        <w:numPr>
          <w:ilvl w:val="0"/>
          <w:numId w:val="2"/>
        </w:numPr>
        <w:spacing w:after="100" w:line="280"/>
      </w:pPr>
      <w:r>
        <w:rPr>
          <w:rFonts w:ascii="Calibri" w:cs="Calibri" w:eastAsia="Calibri" w:hAnsi="Calibri"/>
          <w:color w:val="334155"/>
          <w:sz w:val="22"/>
          <w:szCs w:val="22"/>
        </w:rPr>
        <w:t xml:space="preserve">Ensure the caller is asking for the right capability</w:t>
      </w:r>
    </w:p>
    <w:p>
      <w:pPr>
        <w:pStyle w:val="ListParagraph"/>
        <w:numPr>
          <w:ilvl w:val="0"/>
          <w:numId w:val="2"/>
        </w:numPr>
        <w:spacing w:after="100" w:line="280"/>
      </w:pPr>
      <w:r>
        <w:rPr>
          <w:rFonts w:ascii="Calibri" w:cs="Calibri" w:eastAsia="Calibri" w:hAnsi="Calibri"/>
          <w:color w:val="334155"/>
          <w:sz w:val="22"/>
          <w:szCs w:val="22"/>
        </w:rPr>
        <w:t xml:space="preserve">Ensure the request is valid for the right plane</w:t>
      </w:r>
    </w:p>
    <w:p>
      <w:pPr>
        <w:pStyle w:val="ListParagraph"/>
        <w:numPr>
          <w:ilvl w:val="0"/>
          <w:numId w:val="2"/>
        </w:numPr>
        <w:spacing w:after="100" w:line="280"/>
      </w:pPr>
      <w:r>
        <w:rPr>
          <w:rFonts w:ascii="Calibri" w:cs="Calibri" w:eastAsia="Calibri" w:hAnsi="Calibri"/>
          <w:color w:val="334155"/>
          <w:sz w:val="22"/>
          <w:szCs w:val="22"/>
        </w:rPr>
        <w:t xml:space="preserve">Execute under the correct governance</w:t>
      </w:r>
    </w:p>
    <w:p>
      <w:pPr>
        <w:pStyle w:val="ListParagraph"/>
        <w:numPr>
          <w:ilvl w:val="0"/>
          <w:numId w:val="2"/>
        </w:numPr>
        <w:spacing w:after="100" w:line="280"/>
      </w:pPr>
      <w:r>
        <w:rPr>
          <w:rFonts w:ascii="Calibri" w:cs="Calibri" w:eastAsia="Calibri" w:hAnsi="Calibri"/>
          <w:color w:val="334155"/>
          <w:sz w:val="22"/>
          <w:szCs w:val="22"/>
        </w:rPr>
        <w:t xml:space="preserve">Return structured responses and status</w:t>
      </w:r>
    </w:p>
    <w:p>
      <w:pPr>
        <w:pStyle w:val="ListParagraph"/>
        <w:numPr>
          <w:ilvl w:val="0"/>
          <w:numId w:val="2"/>
        </w:numPr>
        <w:spacing w:after="100" w:line="280"/>
      </w:pPr>
      <w:r>
        <w:rPr>
          <w:rFonts w:ascii="Calibri" w:cs="Calibri" w:eastAsia="Calibri" w:hAnsi="Calibri"/>
          <w:color w:val="334155"/>
          <w:sz w:val="22"/>
          <w:szCs w:val="22"/>
        </w:rPr>
        <w:t xml:space="preserve">Emit change notifications when capability state changes</w:t>
      </w:r>
    </w:p>
    <w:p>
      <w:pPr>
        <w:spacing w:after="60"/>
      </w:pPr>
    </w:p>
    <w:p>
      <w:pPr>
        <w:spacing w:after="160" w:line="300"/>
      </w:pPr>
      <w:r>
        <w:rPr>
          <w:rFonts w:ascii="Calibri" w:cs="Calibri" w:eastAsia="Calibri" w:hAnsi="Calibri"/>
          <w:color w:val="334155"/>
          <w:sz w:val="22"/>
          <w:szCs w:val="22"/>
        </w:rPr>
        <w:t xml:space="preserve">This is how it turns a fragmented set of runtime actions into an operational platform.</w:t>
      </w:r>
    </w:p>
    <w:p>
      <w:pPr>
        <w:pStyle w:val="Heading1"/>
        <w:spacing w:after="200" w:before="400"/>
      </w:pPr>
      <w:r>
        <w:t xml:space="preserve">Diagram 1 — Capability Model by Use Case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c>
          <w:tcPr>
            <w:tcW w:type="dxa" w:w="2520"/>
            <w:tcBorders>
              <w:top w:val="single" w:color="0D9488" w:sz="2"/>
              <w:left w:val="single" w:color="0D9488" w:sz="2"/>
              <w:bottom w:val="single" w:color="0D9488" w:sz="2"/>
              <w:right w:val="single" w:color="0D9488" w:sz="2"/>
            </w:tcBorders>
            <w:shd w:fill="0D9488"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TRIAGE</w:t>
            </w:r>
          </w:p>
          <w:p>
            <w:pPr>
              <w:spacing w:before="40"/>
              <w:jc w:val="center"/>
            </w:pPr>
            <w:r>
              <w:rPr>
                <w:rFonts w:ascii="Calibri" w:cs="Calibri" w:eastAsia="Calibri" w:hAnsi="Calibri"/>
                <w:color w:val="FFFFFF"/>
                <w:sz w:val="15"/>
                <w:szCs w:val="15"/>
              </w:rPr>
              <w:t xml:space="preserve">Read-only diagnostics</w:t>
            </w:r>
          </w:p>
        </w:tc>
        <w:tc>
          <w:tcPr>
            <w:tcW w:type="dxa" w:w="2520"/>
            <w:tcBorders>
              <w:top w:val="single" w:color="2563EB" w:sz="2"/>
              <w:left w:val="single" w:color="2563EB" w:sz="2"/>
              <w:bottom w:val="single" w:color="2563EB" w:sz="2"/>
              <w:right w:val="single" w:color="2563EB" w:sz="2"/>
            </w:tcBorders>
            <w:shd w:fill="2563EB"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MANAGEMENT</w:t>
            </w:r>
          </w:p>
          <w:p>
            <w:pPr>
              <w:spacing w:before="40"/>
              <w:jc w:val="center"/>
            </w:pPr>
            <w:r>
              <w:rPr>
                <w:rFonts w:ascii="Calibri" w:cs="Calibri" w:eastAsia="Calibri" w:hAnsi="Calibri"/>
                <w:color w:val="FFFFFF"/>
                <w:sz w:val="15"/>
                <w:szCs w:val="15"/>
              </w:rPr>
              <w:t xml:space="preserve">Operational checks</w:t>
            </w:r>
          </w:p>
        </w:tc>
        <w:tc>
          <w:tcPr>
            <w:tcW w:type="dxa" w:w="2520"/>
            <w:tcBorders>
              <w:top w:val="single" w:color="D97706" w:sz="2"/>
              <w:left w:val="single" w:color="D97706" w:sz="2"/>
              <w:bottom w:val="single" w:color="D97706" w:sz="2"/>
              <w:right w:val="single" w:color="D97706" w:sz="2"/>
            </w:tcBorders>
            <w:shd w:fill="D97706"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CONTROL</w:t>
            </w:r>
          </w:p>
          <w:p>
            <w:pPr>
              <w:spacing w:before="40"/>
              <w:jc w:val="center"/>
            </w:pPr>
            <w:r>
              <w:rPr>
                <w:rFonts w:ascii="Calibri" w:cs="Calibri" w:eastAsia="Calibri" w:hAnsi="Calibri"/>
                <w:color w:val="FFFFFF"/>
                <w:sz w:val="15"/>
                <w:szCs w:val="15"/>
              </w:rPr>
              <w:t xml:space="preserve">Runtime toggles</w:t>
            </w:r>
          </w:p>
        </w:tc>
        <w:tc>
          <w:tcPr>
            <w:tcW w:type="dxa" w:w="2520"/>
            <w:tcBorders>
              <w:top w:val="single" w:color="DC2626" w:sz="2"/>
              <w:left w:val="single" w:color="DC2626" w:sz="2"/>
              <w:bottom w:val="single" w:color="DC2626" w:sz="2"/>
              <w:right w:val="single" w:color="DC2626" w:sz="2"/>
            </w:tcBorders>
            <w:shd w:fill="DC2626"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CONFIG-APPLY</w:t>
            </w:r>
          </w:p>
          <w:p>
            <w:pPr>
              <w:spacing w:before="40"/>
              <w:jc w:val="center"/>
            </w:pPr>
            <w:r>
              <w:rPr>
                <w:rFonts w:ascii="Calibri" w:cs="Calibri" w:eastAsia="Calibri" w:hAnsi="Calibri"/>
                <w:color w:val="FFFFFF"/>
                <w:sz w:val="15"/>
                <w:szCs w:val="15"/>
              </w:rPr>
              <w:t xml:space="preserve">Apply / validate / rollback</w:t>
            </w:r>
          </w:p>
        </w:tc>
      </w:tr>
    </w:tbl>
    <w:p>
      <w:pPr>
        <w:spacing w:after="1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c>
          <w:tcPr>
            <w:tcW w:type="dxa" w:w="2520"/>
            <w:tcBorders>
              <w:top w:val="single" w:color="5EA69A" w:sz="2"/>
              <w:left w:val="single" w:color="5EA69A" w:sz="2"/>
              <w:bottom w:val="single" w:color="5EA69A" w:sz="2"/>
              <w:right w:val="single" w:color="5EA69A" w:sz="2"/>
            </w:tcBorders>
            <w:shd w:fill="5EA69A"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Low blast radius</w:t>
            </w:r>
          </w:p>
          <w:p/>
        </w:tc>
        <w:tc>
          <w:tcPr>
            <w:tcW w:type="dxa" w:w="2520"/>
            <w:tcBorders>
              <w:top w:val="single" w:color="5B87D6" w:sz="2"/>
              <w:left w:val="single" w:color="5B87D6" w:sz="2"/>
              <w:bottom w:val="single" w:color="5B87D6" w:sz="2"/>
              <w:right w:val="single" w:color="5B87D6" w:sz="2"/>
            </w:tcBorders>
            <w:shd w:fill="5B87D6"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Moderate operational risk</w:t>
            </w:r>
          </w:p>
          <w:p/>
        </w:tc>
        <w:tc>
          <w:tcPr>
            <w:tcW w:type="dxa" w:w="2520"/>
            <w:tcBorders>
              <w:top w:val="single" w:color="E0A64D" w:sz="2"/>
              <w:left w:val="single" w:color="E0A64D" w:sz="2"/>
              <w:bottom w:val="single" w:color="E0A64D" w:sz="2"/>
              <w:right w:val="single" w:color="E0A64D" w:sz="2"/>
            </w:tcBorders>
            <w:shd w:fill="E0A64D"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Controlled runtime change</w:t>
            </w:r>
          </w:p>
          <w:p/>
        </w:tc>
        <w:tc>
          <w:tcPr>
            <w:tcW w:type="dxa" w:w="2520"/>
            <w:tcBorders>
              <w:top w:val="single" w:color="D96666" w:sz="2"/>
              <w:left w:val="single" w:color="D96666" w:sz="2"/>
              <w:bottom w:val="single" w:color="D96666" w:sz="2"/>
              <w:right w:val="single" w:color="D96666" w:sz="2"/>
            </w:tcBorders>
            <w:shd w:fill="D96666" w:val="clear"/>
            <w:tcMar>
              <w:top w:type="dxa" w:w="160"/>
              <w:left w:type="dxa" w:w="120"/>
              <w:bottom w:type="dxa" w:w="160"/>
              <w:right w:type="dxa" w:w="120"/>
            </w:tcMar>
            <w:vAlign w:val="center"/>
          </w:tcPr>
          <w:p>
            <w:pPr>
              <w:jc w:val="center"/>
            </w:pPr>
            <w:r>
              <w:rPr>
                <w:rFonts w:ascii="Calibri" w:cs="Calibri" w:eastAsia="Calibri" w:hAnsi="Calibri"/>
                <w:b/>
                <w:bCs/>
                <w:color w:val="FFFFFF"/>
                <w:sz w:val="17"/>
                <w:szCs w:val="17"/>
              </w:rPr>
              <w:t xml:space="preserve">High-impact change path</w:t>
            </w:r>
          </w:p>
          <w:p/>
        </w:tc>
      </w:tr>
    </w:tbl>
    <w:p>
      <w:pPr>
        <w:spacing w:after="260" w:before="100"/>
      </w:pPr>
      <w:r>
        <w:rPr>
          <w:rFonts w:ascii="Calibri" w:cs="Calibri" w:eastAsia="Calibri" w:hAnsi="Calibri"/>
          <w:i/>
          <w:iCs/>
          <w:color w:val="64748B"/>
          <w:sz w:val="18"/>
          <w:szCs w:val="18"/>
        </w:rPr>
        <w:t xml:space="preserve">Figure 1. Every inbound request is classified by intent and mapped to a risk-appropriate operational plane.</w:t>
      </w:r>
    </w:p>
    <w:p>
      <w:pPr>
        <w:spacing w:after="160" w:line="300"/>
      </w:pPr>
      <w:r>
        <w:rPr>
          <w:rFonts w:ascii="Calibri" w:cs="Calibri" w:eastAsia="Calibri" w:hAnsi="Calibri"/>
          <w:color w:val="334155"/>
          <w:sz w:val="22"/>
          <w:szCs w:val="22"/>
        </w:rPr>
        <w:t xml:space="preserve">This diagram shows the operating model behind the product. The system recognizes that not all requests are equal. Some actions are meant only for observation, while others are intended to modify runtime behavior or change configuration. By separating those functions by plane, the organization reduces accidental change, supports better governance, and can assign the right level of operational ownership to each category.</w:t>
      </w:r>
    </w:p>
    <w:p>
      <w:pPr>
        <w:pStyle w:val="Heading1"/>
        <w:spacing w:after="200" w:before="400"/>
      </w:pPr>
      <w:r>
        <w:t xml:space="preserve">Diagram 2 — Request Flow and Execution Pattern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16"/>
        <w:gridCol w:w="2016"/>
        <w:gridCol w:w="2016"/>
        <w:gridCol w:w="2016"/>
        <w:gridCol w:w="2016"/>
      </w:tblGrid>
      <w:tr>
        <w:tc>
          <w:tcPr>
            <w:tcW w:type="dxa" w:w="2016"/>
            <w:tcBorders>
              <w:top w:val="single" w:color="0B1F3A" w:sz="2"/>
              <w:left w:val="single" w:color="0B1F3A" w:sz="2"/>
              <w:bottom w:val="single" w:color="0B1F3A" w:sz="2"/>
              <w:right w:val="single" w:color="0B1F3A" w:sz="2"/>
            </w:tcBorders>
            <w:shd w:fill="0B1F3A"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1. Request</w:t>
            </w:r>
          </w:p>
          <w:p>
            <w:pPr>
              <w:spacing w:before="40"/>
              <w:jc w:val="center"/>
            </w:pPr>
            <w:r>
              <w:rPr>
                <w:rFonts w:ascii="Calibri" w:cs="Calibri" w:eastAsia="Calibri" w:hAnsi="Calibri"/>
                <w:color w:val="FFFFFF"/>
                <w:sz w:val="14"/>
                <w:szCs w:val="14"/>
              </w:rPr>
              <w:t xml:space="preserve">Target plane + tool</w:t>
            </w:r>
          </w:p>
        </w:tc>
        <w:tc>
          <w:tcPr>
            <w:tcW w:type="dxa" w:w="2016"/>
            <w:tcBorders>
              <w:top w:val="single" w:color="1B3A63" w:sz="2"/>
              <w:left w:val="single" w:color="1B3A63" w:sz="2"/>
              <w:bottom w:val="single" w:color="1B3A63" w:sz="2"/>
              <w:right w:val="single" w:color="1B3A63" w:sz="2"/>
            </w:tcBorders>
            <w:shd w:fill="1B3A63"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2. Validate</w:t>
            </w:r>
          </w:p>
          <w:p>
            <w:pPr>
              <w:spacing w:before="40"/>
              <w:jc w:val="center"/>
            </w:pPr>
            <w:r>
              <w:rPr>
                <w:rFonts w:ascii="Calibri" w:cs="Calibri" w:eastAsia="Calibri" w:hAnsi="Calibri"/>
                <w:color w:val="FFFFFF"/>
                <w:sz w:val="14"/>
                <w:szCs w:val="14"/>
              </w:rPr>
              <w:t xml:space="preserve">Metadata &amp; access</w:t>
            </w:r>
          </w:p>
        </w:tc>
        <w:tc>
          <w:tcPr>
            <w:tcW w:type="dxa" w:w="2016"/>
            <w:tcBorders>
              <w:top w:val="single" w:color="2563EB" w:sz="2"/>
              <w:left w:val="single" w:color="2563EB" w:sz="2"/>
              <w:bottom w:val="single" w:color="2563EB" w:sz="2"/>
              <w:right w:val="single" w:color="2563EB" w:sz="2"/>
            </w:tcBorders>
            <w:shd w:fill="2563EB"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3. Resolve</w:t>
            </w:r>
          </w:p>
          <w:p>
            <w:pPr>
              <w:spacing w:before="40"/>
              <w:jc w:val="center"/>
            </w:pPr>
            <w:r>
              <w:rPr>
                <w:rFonts w:ascii="Calibri" w:cs="Calibri" w:eastAsia="Calibri" w:hAnsi="Calibri"/>
                <w:color w:val="FFFFFF"/>
                <w:sz w:val="14"/>
                <w:szCs w:val="14"/>
              </w:rPr>
              <w:t xml:space="preserve">Plugin or catalog</w:t>
            </w:r>
          </w:p>
        </w:tc>
        <w:tc>
          <w:tcPr>
            <w:tcW w:type="dxa" w:w="2016"/>
            <w:tcBorders>
              <w:top w:val="single" w:color="0D9488" w:sz="2"/>
              <w:left w:val="single" w:color="0D9488" w:sz="2"/>
              <w:bottom w:val="single" w:color="0D9488" w:sz="2"/>
              <w:right w:val="single" w:color="0D9488" w:sz="2"/>
            </w:tcBorders>
            <w:shd w:fill="0D9488"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4. Execute</w:t>
            </w:r>
          </w:p>
          <w:p>
            <w:pPr>
              <w:spacing w:before="40"/>
              <w:jc w:val="center"/>
            </w:pPr>
            <w:r>
              <w:rPr>
                <w:rFonts w:ascii="Calibri" w:cs="Calibri" w:eastAsia="Calibri" w:hAnsi="Calibri"/>
                <w:color w:val="FFFFFF"/>
                <w:sz w:val="14"/>
                <w:szCs w:val="14"/>
              </w:rPr>
              <w:t xml:space="preserve">Under governance</w:t>
            </w:r>
          </w:p>
        </w:tc>
        <w:tc>
          <w:tcPr>
            <w:tcW w:type="dxa" w:w="2016"/>
            <w:tcBorders>
              <w:top w:val="single" w:color="0F172A" w:sz="2"/>
              <w:left w:val="single" w:color="0F172A" w:sz="2"/>
              <w:bottom w:val="single" w:color="0F172A" w:sz="2"/>
              <w:right w:val="single" w:color="0F172A" w:sz="2"/>
            </w:tcBorders>
            <w:shd w:fill="0F172A" w:val="clear"/>
            <w:tcMar>
              <w:top w:type="dxa" w:w="160"/>
              <w:left w:type="dxa" w:w="120"/>
              <w:bottom w:type="dxa" w:w="160"/>
              <w:right w:type="dxa" w:w="120"/>
            </w:tcMar>
            <w:vAlign w:val="center"/>
          </w:tcPr>
          <w:p>
            <w:pPr>
              <w:jc w:val="center"/>
            </w:pPr>
            <w:r>
              <w:rPr>
                <w:rFonts w:ascii="Calibri" w:cs="Calibri" w:eastAsia="Calibri" w:hAnsi="Calibri"/>
                <w:b/>
                <w:bCs/>
                <w:color w:val="FFFFFF"/>
                <w:sz w:val="16"/>
                <w:szCs w:val="16"/>
              </w:rPr>
              <w:t xml:space="preserve">5. Respond</w:t>
            </w:r>
          </w:p>
          <w:p>
            <w:pPr>
              <w:spacing w:before="40"/>
              <w:jc w:val="center"/>
            </w:pPr>
            <w:r>
              <w:rPr>
                <w:rFonts w:ascii="Calibri" w:cs="Calibri" w:eastAsia="Calibri" w:hAnsi="Calibri"/>
                <w:color w:val="FFFFFF"/>
                <w:sz w:val="14"/>
                <w:szCs w:val="14"/>
              </w:rPr>
              <w:t xml:space="preserve">Structured result</w:t>
            </w:r>
          </w:p>
        </w:tc>
      </w:tr>
    </w:tbl>
    <w:p>
      <w:pPr>
        <w:spacing w:after="260" w:before="100"/>
      </w:pPr>
      <w:r>
        <w:rPr>
          <w:rFonts w:ascii="Calibri" w:cs="Calibri" w:eastAsia="Calibri" w:hAnsi="Calibri"/>
          <w:i/>
          <w:iCs/>
          <w:color w:val="64748B"/>
          <w:sz w:val="18"/>
          <w:szCs w:val="18"/>
        </w:rPr>
        <w:t xml:space="preserve">Figure 2. The core request lifecycle — from cloud request to structured response.</w:t>
      </w:r>
    </w:p>
    <w:p>
      <w:pPr>
        <w:spacing w:after="160" w:line="300"/>
      </w:pPr>
      <w:r>
        <w:rPr>
          <w:rFonts w:ascii="Calibri" w:cs="Calibri" w:eastAsia="Calibri" w:hAnsi="Calibri"/>
          <w:color w:val="334155"/>
          <w:sz w:val="22"/>
          <w:szCs w:val="22"/>
        </w:rPr>
        <w:t xml:space="preserve">This is the core operating workflow. Requests come in through a consistent channel, are validated before execution, and are resolved through either a plugin or a catalog-defined path. The business benefit is clear: the system does not improvise. It gives the organization a standard execution model with guardrails, error handling, and service accountability.</w:t>
      </w:r>
    </w:p>
    <w:p>
      <w:pPr>
        <w:spacing w:after="160" w:line="300"/>
      </w:pPr>
      <w:r>
        <w:rPr>
          <w:rFonts w:ascii="Calibri" w:cs="Calibri" w:eastAsia="Calibri" w:hAnsi="Calibri"/>
          <w:color w:val="334155"/>
          <w:sz w:val="22"/>
          <w:szCs w:val="22"/>
        </w:rPr>
        <w:t xml:space="preserve">This is also where the rpcd-style architecture becomes important. The host process behaves like a daemon service endpoint, while plugins behave like callable service modules. That design supports extensibility without creating unpredictable custom integrations.</w:t>
      </w:r>
    </w:p>
    <w:p>
      <w:pPr>
        <w:pStyle w:val="Heading1"/>
        <w:spacing w:after="200" w:before="400"/>
      </w:pPr>
      <w:r>
        <w:t xml:space="preserve">Diagram 3 — Communication and Transport Model</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60"/>
        <w:gridCol w:w="3360"/>
        <w:gridCol w:w="3360"/>
      </w:tblGrid>
      <w:tr>
        <w:tc>
          <w:tcPr>
            <w:tcW w:type="dxa" w:w="3360"/>
            <w:tcBorders>
              <w:top w:val="single" w:color="2563EB" w:sz="2"/>
              <w:left w:val="single" w:color="2563EB" w:sz="2"/>
              <w:bottom w:val="single" w:color="2563EB" w:sz="2"/>
              <w:right w:val="single" w:color="2563EB" w:sz="2"/>
            </w:tcBorders>
            <w:shd w:fill="2563EB" w:val="clear"/>
            <w:tcMar>
              <w:top w:type="dxa" w:w="160"/>
              <w:left w:type="dxa" w:w="120"/>
              <w:bottom w:type="dxa" w:w="160"/>
              <w:right w:type="dxa" w:w="120"/>
            </w:tcMar>
            <w:vAlign w:val="center"/>
          </w:tcPr>
          <w:p>
            <w:pPr>
              <w:jc w:val="center"/>
            </w:pPr>
            <w:r>
              <w:rPr>
                <w:rFonts w:ascii="Calibri" w:cs="Calibri" w:eastAsia="Calibri" w:hAnsi="Calibri"/>
                <w:b/>
                <w:bCs/>
                <w:color w:val="FFFFFF"/>
                <w:sz w:val="19"/>
                <w:szCs w:val="19"/>
              </w:rPr>
              <w:t xml:space="preserve">Cloud / Control Plane</w:t>
            </w:r>
          </w:p>
          <w:p>
            <w:pPr>
              <w:spacing w:before="40"/>
              <w:jc w:val="center"/>
            </w:pPr>
            <w:r>
              <w:rPr>
                <w:rFonts w:ascii="Calibri" w:cs="Calibri" w:eastAsia="Calibri" w:hAnsi="Calibri"/>
                <w:color w:val="FFFFFF"/>
                <w:sz w:val="15"/>
                <w:szCs w:val="15"/>
              </w:rPr>
              <w:t xml:space="preserve">Public transport channel</w:t>
            </w:r>
          </w:p>
        </w:tc>
        <w:tc>
          <w:tcPr>
            <w:tcW w:type="dxa" w:w="3360"/>
            <w:tcBorders>
              <w:top w:val="single" w:color="0D9488" w:sz="2"/>
              <w:left w:val="single" w:color="0D9488" w:sz="2"/>
              <w:bottom w:val="single" w:color="0D9488" w:sz="2"/>
              <w:right w:val="single" w:color="0D9488" w:sz="2"/>
            </w:tcBorders>
            <w:shd w:fill="0D9488" w:val="clear"/>
            <w:tcMar>
              <w:top w:type="dxa" w:w="160"/>
              <w:left w:type="dxa" w:w="120"/>
              <w:bottom w:type="dxa" w:w="160"/>
              <w:right w:type="dxa" w:w="120"/>
            </w:tcMar>
            <w:vAlign w:val="center"/>
          </w:tcPr>
          <w:p>
            <w:pPr>
              <w:jc w:val="center"/>
            </w:pPr>
            <w:r>
              <w:rPr>
                <w:rFonts w:ascii="Calibri" w:cs="Calibri" w:eastAsia="Calibri" w:hAnsi="Calibri"/>
                <w:b/>
                <w:bCs/>
                <w:color w:val="FFFFFF"/>
                <w:sz w:val="19"/>
                <w:szCs w:val="19"/>
              </w:rPr>
              <w:t xml:space="preserve">Local Orchestrator / Dispatch Core</w:t>
            </w:r>
          </w:p>
          <w:p>
            <w:pPr>
              <w:spacing w:before="40"/>
              <w:jc w:val="center"/>
            </w:pPr>
            <w:r>
              <w:rPr>
                <w:rFonts w:ascii="Calibri" w:cs="Calibri" w:eastAsia="Calibri" w:hAnsi="Calibri"/>
                <w:color w:val="FFFFFF"/>
                <w:sz w:val="15"/>
                <w:szCs w:val="15"/>
              </w:rPr>
              <w:t xml:space="preserve">Local transport channel</w:t>
            </w:r>
          </w:p>
        </w:tc>
        <w:tc>
          <w:tcPr>
            <w:tcW w:type="dxa" w:w="3360"/>
            <w:tcBorders>
              <w:top w:val="single" w:color="0B1F3A" w:sz="2"/>
              <w:left w:val="single" w:color="0B1F3A" w:sz="2"/>
              <w:bottom w:val="single" w:color="0B1F3A" w:sz="2"/>
              <w:right w:val="single" w:color="0B1F3A" w:sz="2"/>
            </w:tcBorders>
            <w:shd w:fill="0B1F3A" w:val="clear"/>
            <w:tcMar>
              <w:top w:type="dxa" w:w="160"/>
              <w:left w:type="dxa" w:w="120"/>
              <w:bottom w:type="dxa" w:w="160"/>
              <w:right w:type="dxa" w:w="120"/>
            </w:tcMar>
            <w:vAlign w:val="center"/>
          </w:tcPr>
          <w:p>
            <w:pPr>
              <w:jc w:val="center"/>
            </w:pPr>
            <w:r>
              <w:rPr>
                <w:rFonts w:ascii="Calibri" w:cs="Calibri" w:eastAsia="Calibri" w:hAnsi="Calibri"/>
                <w:b/>
                <w:bCs/>
                <w:color w:val="FFFFFF"/>
                <w:sz w:val="19"/>
                <w:szCs w:val="19"/>
              </w:rPr>
              <w:t xml:space="preserve">Runtime Manager</w:t>
            </w:r>
          </w:p>
          <w:p>
            <w:pPr>
              <w:spacing w:before="40"/>
              <w:jc w:val="center"/>
            </w:pPr>
            <w:r>
              <w:rPr>
                <w:rFonts w:ascii="Calibri" w:cs="Calibri" w:eastAsia="Calibri" w:hAnsi="Calibri"/>
                <w:color w:val="FFFFFF"/>
                <w:sz w:val="15"/>
                <w:szCs w:val="15"/>
              </w:rPr>
              <w:t xml:space="preserve">Catalog + Plugins + Notifications</w:t>
            </w:r>
          </w:p>
        </w:tc>
      </w:tr>
    </w:tbl>
    <w:p>
      <w:pPr>
        <w:spacing w:after="260" w:before="100"/>
      </w:pPr>
      <w:r>
        <w:rPr>
          <w:rFonts w:ascii="Calibri" w:cs="Calibri" w:eastAsia="Calibri" w:hAnsi="Calibri"/>
          <w:i/>
          <w:iCs/>
          <w:color w:val="64748B"/>
          <w:sz w:val="18"/>
          <w:szCs w:val="18"/>
        </w:rPr>
        <w:t xml:space="preserve">Figure 3. Public and local transport paths both terminate at the runtime manager, which owns capability state and notifications.</w:t>
      </w:r>
    </w:p>
    <w:p>
      <w:pPr>
        <w:spacing w:after="160" w:line="300"/>
      </w:pPr>
      <w:r>
        <w:rPr>
          <w:rFonts w:ascii="Calibri" w:cs="Calibri" w:eastAsia="Calibri" w:hAnsi="Calibri"/>
          <w:color w:val="334155"/>
          <w:sz w:val="22"/>
          <w:szCs w:val="22"/>
        </w:rPr>
        <w:t xml:space="preserve">This diagram shows the communication model used by the system. There are two important transport paths:</w:t>
      </w:r>
    </w:p>
    <w:p>
      <w:pPr>
        <w:pStyle w:val="ListParagraph"/>
        <w:numPr>
          <w:ilvl w:val="0"/>
          <w:numId w:val="2"/>
        </w:numPr>
        <w:spacing w:after="100" w:line="280"/>
      </w:pPr>
      <w:r>
        <w:rPr>
          <w:rFonts w:ascii="Calibri" w:cs="Calibri" w:eastAsia="Calibri" w:hAnsi="Calibri"/>
          <w:color w:val="334155"/>
          <w:sz w:val="22"/>
          <w:szCs w:val="22"/>
        </w:rPr>
        <w:t xml:space="preserve">A public path for cloud-facing requests and responses</w:t>
      </w:r>
    </w:p>
    <w:p>
      <w:pPr>
        <w:pStyle w:val="ListParagraph"/>
        <w:numPr>
          <w:ilvl w:val="0"/>
          <w:numId w:val="2"/>
        </w:numPr>
        <w:spacing w:after="100" w:line="280"/>
      </w:pPr>
      <w:r>
        <w:rPr>
          <w:rFonts w:ascii="Calibri" w:cs="Calibri" w:eastAsia="Calibri" w:hAnsi="Calibri"/>
          <w:color w:val="334155"/>
          <w:sz w:val="22"/>
          <w:szCs w:val="22"/>
        </w:rPr>
        <w:t xml:space="preserve">A local path for internal coordination and nearby system communication</w:t>
      </w:r>
    </w:p>
    <w:p>
      <w:pPr>
        <w:spacing w:after="60"/>
      </w:pPr>
    </w:p>
    <w:p>
      <w:pPr>
        <w:spacing w:after="160" w:line="300"/>
      </w:pPr>
      <w:r>
        <w:rPr>
          <w:rFonts w:ascii="Calibri" w:cs="Calibri" w:eastAsia="Calibri" w:hAnsi="Calibri"/>
          <w:color w:val="334155"/>
          <w:sz w:val="22"/>
          <w:szCs w:val="22"/>
        </w:rPr>
        <w:t xml:space="preserve">The implementation is designed so the public path remains operational while a local path can be enabled additively for local steering, notifications, and control-plane coordination. That is strategically important because it supports gradual adoption. The system can expand capability without forcing a disruptive migration or replacing the existing public ecosystem.</w:t>
      </w:r>
    </w:p>
    <w:p>
      <w:pPr>
        <w:spacing w:after="160" w:line="300"/>
      </w:pPr>
      <w:r>
        <w:rPr>
          <w:rFonts w:ascii="Calibri" w:cs="Calibri" w:eastAsia="Calibri" w:hAnsi="Calibri"/>
          <w:color w:val="334155"/>
          <w:sz w:val="22"/>
          <w:szCs w:val="22"/>
        </w:rPr>
        <w:t xml:space="preserve">The module also supports messages for:</w:t>
      </w:r>
    </w:p>
    <w:p>
      <w:pPr>
        <w:pStyle w:val="ListParagraph"/>
        <w:numPr>
          <w:ilvl w:val="0"/>
          <w:numId w:val="2"/>
        </w:numPr>
        <w:spacing w:after="100" w:line="280"/>
      </w:pPr>
      <w:r>
        <w:rPr>
          <w:rFonts w:ascii="Calibri" w:cs="Calibri" w:eastAsia="Calibri" w:hAnsi="Calibri"/>
          <w:color w:val="334155"/>
          <w:sz w:val="22"/>
          <w:szCs w:val="22"/>
        </w:rPr>
        <w:t xml:space="preserve">Describe — capability discovery</w:t>
      </w:r>
    </w:p>
    <w:p>
      <w:pPr>
        <w:pStyle w:val="ListParagraph"/>
        <w:numPr>
          <w:ilvl w:val="0"/>
          <w:numId w:val="2"/>
        </w:numPr>
        <w:spacing w:after="100" w:line="280"/>
      </w:pPr>
      <w:r>
        <w:rPr>
          <w:rFonts w:ascii="Calibri" w:cs="Calibri" w:eastAsia="Calibri" w:hAnsi="Calibri"/>
          <w:color w:val="334155"/>
          <w:sz w:val="22"/>
          <w:szCs w:val="22"/>
        </w:rPr>
        <w:t xml:space="preserve">Health — liveness and service readiness</w:t>
      </w:r>
    </w:p>
    <w:p>
      <w:pPr>
        <w:pStyle w:val="ListParagraph"/>
        <w:numPr>
          <w:ilvl w:val="0"/>
          <w:numId w:val="2"/>
        </w:numPr>
        <w:spacing w:after="100" w:line="280"/>
      </w:pPr>
      <w:r>
        <w:rPr>
          <w:rFonts w:ascii="Calibri" w:cs="Calibri" w:eastAsia="Calibri" w:hAnsi="Calibri"/>
          <w:color w:val="334155"/>
          <w:sz w:val="22"/>
          <w:szCs w:val="22"/>
        </w:rPr>
        <w:t xml:space="preserve">Push — controlled change propagation</w:t>
      </w:r>
    </w:p>
    <w:p>
      <w:pPr>
        <w:pStyle w:val="ListParagraph"/>
        <w:numPr>
          <w:ilvl w:val="0"/>
          <w:numId w:val="2"/>
        </w:numPr>
        <w:spacing w:after="100" w:line="280"/>
      </w:pPr>
      <w:r>
        <w:rPr>
          <w:rFonts w:ascii="Calibri" w:cs="Calibri" w:eastAsia="Calibri" w:hAnsi="Calibri"/>
          <w:color w:val="334155"/>
          <w:sz w:val="22"/>
          <w:szCs w:val="22"/>
        </w:rPr>
        <w:t xml:space="preserve">Changed — event notification after successful promote</w:t>
      </w:r>
    </w:p>
    <w:p>
      <w:pPr>
        <w:spacing w:after="60"/>
      </w:pPr>
    </w:p>
    <w:p>
      <w:pPr>
        <w:spacing w:after="160" w:line="300"/>
      </w:pPr>
      <w:r>
        <w:rPr>
          <w:rFonts w:ascii="Calibri" w:cs="Calibri" w:eastAsia="Calibri" w:hAnsi="Calibri"/>
          <w:color w:val="334155"/>
          <w:sz w:val="22"/>
          <w:szCs w:val="22"/>
        </w:rPr>
        <w:t xml:space="preserve">These are not just technical artifacts — they represent a governance model for operational change.</w:t>
      </w:r>
    </w:p>
    <w:p>
      <w:pPr>
        <w:pStyle w:val="Heading1"/>
        <w:spacing w:after="200" w:before="400"/>
      </w:pPr>
      <w:r>
        <w:t xml:space="preserve">Why the RPCD-Style Model Matters to Leadership</w:t>
      </w:r>
    </w:p>
    <w:p>
      <w:pPr>
        <w:spacing w:after="160" w:line="300"/>
      </w:pPr>
      <w:r>
        <w:rPr>
          <w:rFonts w:ascii="Calibri" w:cs="Calibri" w:eastAsia="Calibri" w:hAnsi="Calibri"/>
          <w:color w:val="334155"/>
          <w:sz w:val="22"/>
          <w:szCs w:val="22"/>
        </w:rPr>
        <w:t xml:space="preserve">The rpcd-style plugin model gives the platform a practical balance between flexibility and control:</w:t>
      </w:r>
    </w:p>
    <w:p>
      <w:pPr>
        <w:pStyle w:val="ListParagraph"/>
        <w:numPr>
          <w:ilvl w:val="0"/>
          <w:numId w:val="2"/>
        </w:numPr>
        <w:spacing w:after="100" w:line="280"/>
      </w:pPr>
      <w:r>
        <w:rPr>
          <w:rFonts w:ascii="Calibri" w:cs="Calibri" w:eastAsia="Calibri" w:hAnsi="Calibri"/>
          <w:color w:val="334155"/>
          <w:sz w:val="22"/>
          <w:szCs w:val="22"/>
        </w:rPr>
        <w:t xml:space="preserve">New tool capabilities can be added without rewriting core system logic</w:t>
      </w:r>
    </w:p>
    <w:p>
      <w:pPr>
        <w:pStyle w:val="ListParagraph"/>
        <w:numPr>
          <w:ilvl w:val="0"/>
          <w:numId w:val="2"/>
        </w:numPr>
        <w:spacing w:after="100" w:line="280"/>
      </w:pPr>
      <w:r>
        <w:rPr>
          <w:rFonts w:ascii="Calibri" w:cs="Calibri" w:eastAsia="Calibri" w:hAnsi="Calibri"/>
          <w:color w:val="334155"/>
          <w:sz w:val="22"/>
          <w:szCs w:val="22"/>
        </w:rPr>
        <w:t xml:space="preserve">The system can expand its capabilities as product requirements evolve</w:t>
      </w:r>
    </w:p>
    <w:p>
      <w:pPr>
        <w:pStyle w:val="ListParagraph"/>
        <w:numPr>
          <w:ilvl w:val="0"/>
          <w:numId w:val="2"/>
        </w:numPr>
        <w:spacing w:after="100" w:line="280"/>
      </w:pPr>
      <w:r>
        <w:rPr>
          <w:rFonts w:ascii="Calibri" w:cs="Calibri" w:eastAsia="Calibri" w:hAnsi="Calibri"/>
          <w:color w:val="334155"/>
          <w:sz w:val="22"/>
          <w:szCs w:val="22"/>
        </w:rPr>
        <w:t xml:space="preserve">Tool execution remains under a fixed contract and standard behavior</w:t>
      </w:r>
    </w:p>
    <w:p>
      <w:pPr>
        <w:pStyle w:val="ListParagraph"/>
        <w:numPr>
          <w:ilvl w:val="0"/>
          <w:numId w:val="2"/>
        </w:numPr>
        <w:spacing w:after="100" w:line="280"/>
      </w:pPr>
      <w:r>
        <w:rPr>
          <w:rFonts w:ascii="Calibri" w:cs="Calibri" w:eastAsia="Calibri" w:hAnsi="Calibri"/>
          <w:color w:val="334155"/>
          <w:sz w:val="22"/>
          <w:szCs w:val="22"/>
        </w:rPr>
        <w:t xml:space="preserve">Governance can be applied consistently across all plugin-backed actions</w:t>
      </w:r>
    </w:p>
    <w:p>
      <w:pPr>
        <w:pStyle w:val="ListParagraph"/>
        <w:numPr>
          <w:ilvl w:val="0"/>
          <w:numId w:val="2"/>
        </w:numPr>
        <w:spacing w:after="100" w:line="280"/>
      </w:pPr>
      <w:r>
        <w:rPr>
          <w:rFonts w:ascii="Calibri" w:cs="Calibri" w:eastAsia="Calibri" w:hAnsi="Calibri"/>
          <w:color w:val="334155"/>
          <w:sz w:val="22"/>
          <w:szCs w:val="22"/>
        </w:rPr>
        <w:t xml:space="preserve">Deployment teams can use safer, modular extension rather than fragile custom integration</w:t>
      </w:r>
    </w:p>
    <w:p>
      <w:pPr>
        <w:spacing w:after="60"/>
      </w:pPr>
    </w:p>
    <w:tbl>
      <w:tblPr>
        <w:tblW w:type="dxa" w:w="10080"/>
        <w:tblBorders>
          <w:top w:val="single" w:color="0B1F3A" w:sz="4"/>
          <w:left w:val="single" w:color="0B1F3A" w:sz="4"/>
          <w:bottom w:val="single" w:color="0B1F3A" w:sz="4"/>
          <w:right w:val="single" w:color="0B1F3A" w:sz="4"/>
          <w:insideH w:val="none" w:color="FFFFFF" w:sz="0"/>
          <w:insideV w:val="none" w:color="FFFFFF" w:sz="0"/>
        </w:tblBorders>
        <w:tblLayout w:type="fixed"/>
      </w:tblPr>
      <w:tblGrid>
        <w:gridCol w:w="10080"/>
      </w:tblGrid>
      <w:tr>
        <w:tc>
          <w:tcPr>
            <w:tcW w:type="dxa" w:w="10080"/>
            <w:shd w:fill="F4F6F9" w:val="clear"/>
            <w:tcMar>
              <w:top w:type="dxa" w:w="200"/>
              <w:left w:type="dxa" w:w="250"/>
              <w:bottom w:type="dxa" w:w="200"/>
              <w:right w:type="dxa" w:w="250"/>
            </w:tcMar>
          </w:tcPr>
          <w:p>
            <w:pPr>
              <w:spacing w:after="80"/>
            </w:pPr>
            <w:r>
              <w:rPr>
                <w:rFonts w:ascii="Calibri" w:cs="Calibri" w:eastAsia="Calibri" w:hAnsi="Calibri"/>
                <w:b/>
                <w:bCs/>
                <w:color w:val="0B1F3A"/>
                <w:sz w:val="21"/>
                <w:szCs w:val="21"/>
              </w:rPr>
              <w:t xml:space="preserve">Strategic advantage</w:t>
            </w:r>
          </w:p>
          <w:p>
            <w:r>
              <w:rPr>
                <w:rFonts w:ascii="Calibri" w:cs="Calibri" w:eastAsia="Calibri" w:hAnsi="Calibri"/>
                <w:color w:val="334155"/>
                <w:sz w:val="21"/>
                <w:szCs w:val="21"/>
              </w:rPr>
              <w:t xml:space="preserve">Extensibility without uncontrolled drift.</w:t>
            </w:r>
          </w:p>
        </w:tc>
      </w:tr>
    </w:tbl>
    <w:p>
      <w:pPr>
        <w:spacing w:after="200"/>
      </w:pPr>
    </w:p>
    <w:p>
      <w:pPr>
        <w:pStyle w:val="Heading1"/>
        <w:spacing w:after="200" w:before="400"/>
      </w:pPr>
      <w:r>
        <w:t xml:space="preserve">Static and Dynamic Toolset Capabilities</w:t>
      </w:r>
    </w:p>
    <w:p>
      <w:pPr>
        <w:spacing w:after="160" w:line="300"/>
      </w:pPr>
      <w:r>
        <w:rPr>
          <w:rFonts w:ascii="Calibri" w:cs="Calibri" w:eastAsia="Calibri" w:hAnsi="Calibri"/>
          <w:color w:val="334155"/>
          <w:sz w:val="22"/>
          <w:szCs w:val="22"/>
        </w:rPr>
        <w:t xml:space="preserve">Critically, the platform supports both static tool definitions and dynamic, runtime-loaded modules, allowing the platform to evolve without rewriting the core service. The combination of static tool catalogs and dynamic module loading gives the organization operational stability today and extensibility tomorrow.</w:t>
      </w:r>
    </w:p>
    <w:p>
      <w:pPr>
        <w:pStyle w:val="Heading2"/>
        <w:spacing w:after="150" w:before="300"/>
      </w:pPr>
      <w:r>
        <w:t xml:space="preserve">Static Toolset</w:t>
      </w:r>
    </w:p>
    <w:p>
      <w:pPr>
        <w:pStyle w:val="ListParagraph"/>
        <w:numPr>
          <w:ilvl w:val="0"/>
          <w:numId w:val="2"/>
        </w:numPr>
        <w:spacing w:after="100" w:line="280"/>
      </w:pPr>
      <w:r>
        <w:rPr>
          <w:rFonts w:ascii="Calibri" w:cs="Calibri" w:eastAsia="Calibri" w:hAnsi="Calibri"/>
          <w:color w:val="334155"/>
          <w:sz w:val="22"/>
          <w:szCs w:val="22"/>
        </w:rPr>
        <w:t xml:space="preserve">Defined in the catalog</w:t>
      </w:r>
    </w:p>
    <w:p>
      <w:pPr>
        <w:pStyle w:val="ListParagraph"/>
        <w:numPr>
          <w:ilvl w:val="0"/>
          <w:numId w:val="2"/>
        </w:numPr>
        <w:spacing w:after="100" w:line="280"/>
      </w:pPr>
      <w:r>
        <w:rPr>
          <w:rFonts w:ascii="Calibri" w:cs="Calibri" w:eastAsia="Calibri" w:hAnsi="Calibri"/>
          <w:color w:val="334155"/>
          <w:sz w:val="22"/>
          <w:szCs w:val="22"/>
        </w:rPr>
        <w:t xml:space="preserve">Versioned and validated with known behavior</w:t>
      </w:r>
    </w:p>
    <w:p>
      <w:pPr>
        <w:pStyle w:val="ListParagraph"/>
        <w:numPr>
          <w:ilvl w:val="0"/>
          <w:numId w:val="2"/>
        </w:numPr>
        <w:spacing w:after="100" w:line="280"/>
      </w:pPr>
      <w:r>
        <w:rPr>
          <w:rFonts w:ascii="Calibri" w:cs="Calibri" w:eastAsia="Calibri" w:hAnsi="Calibri"/>
          <w:color w:val="334155"/>
          <w:sz w:val="22"/>
          <w:szCs w:val="22"/>
        </w:rPr>
        <w:t xml:space="preserve">Best for core capabilities, production-safe actions, and predictable operations</w:t>
      </w:r>
    </w:p>
    <w:p>
      <w:pPr>
        <w:pStyle w:val="ListParagraph"/>
        <w:numPr>
          <w:ilvl w:val="0"/>
          <w:numId w:val="2"/>
        </w:numPr>
        <w:spacing w:after="100" w:line="280"/>
      </w:pPr>
      <w:r>
        <w:rPr>
          <w:rFonts w:ascii="Calibri" w:cs="Calibri" w:eastAsia="Calibri" w:hAnsi="Calibri"/>
          <w:color w:val="334155"/>
          <w:sz w:val="22"/>
          <w:szCs w:val="22"/>
        </w:rPr>
        <w:t xml:space="preserve">Provides a stable contract for diagnostics, health checks, and controlled operational tasks</w:t>
      </w:r>
    </w:p>
    <w:p>
      <w:pPr>
        <w:spacing w:after="60"/>
      </w:pPr>
    </w:p>
    <w:p>
      <w:pPr>
        <w:pStyle w:val="Heading2"/>
        <w:spacing w:after="150" w:before="300"/>
      </w:pPr>
      <w:r>
        <w:t xml:space="preserve">Dynamic Toolset</w:t>
      </w:r>
    </w:p>
    <w:p>
      <w:pPr>
        <w:pStyle w:val="ListParagraph"/>
        <w:numPr>
          <w:ilvl w:val="0"/>
          <w:numId w:val="2"/>
        </w:numPr>
        <w:spacing w:after="100" w:line="280"/>
      </w:pPr>
      <w:r>
        <w:rPr>
          <w:rFonts w:ascii="Calibri" w:cs="Calibri" w:eastAsia="Calibri" w:hAnsi="Calibri"/>
          <w:color w:val="334155"/>
          <w:sz w:val="22"/>
          <w:szCs w:val="22"/>
        </w:rPr>
        <w:t xml:space="preserve">Delivered through runtime-loaded modules</w:t>
      </w:r>
    </w:p>
    <w:p>
      <w:pPr>
        <w:pStyle w:val="ListParagraph"/>
        <w:numPr>
          <w:ilvl w:val="0"/>
          <w:numId w:val="2"/>
        </w:numPr>
        <w:spacing w:after="100" w:line="280"/>
      </w:pPr>
      <w:r>
        <w:rPr>
          <w:rFonts w:ascii="Calibri" w:cs="Calibri" w:eastAsia="Calibri" w:hAnsi="Calibri"/>
          <w:color w:val="334155"/>
          <w:sz w:val="22"/>
          <w:szCs w:val="22"/>
        </w:rPr>
        <w:t xml:space="preserve">Loaded through a standard interface and invoked by name</w:t>
      </w:r>
    </w:p>
    <w:p>
      <w:pPr>
        <w:pStyle w:val="ListParagraph"/>
        <w:numPr>
          <w:ilvl w:val="0"/>
          <w:numId w:val="2"/>
        </w:numPr>
        <w:spacing w:after="100" w:line="280"/>
      </w:pPr>
      <w:r>
        <w:rPr>
          <w:rFonts w:ascii="Calibri" w:cs="Calibri" w:eastAsia="Calibri" w:hAnsi="Calibri"/>
          <w:color w:val="334155"/>
          <w:sz w:val="22"/>
          <w:szCs w:val="22"/>
        </w:rPr>
        <w:t xml:space="preserve">Supports extension without changing the host runtime</w:t>
      </w:r>
    </w:p>
    <w:p>
      <w:pPr>
        <w:pStyle w:val="ListParagraph"/>
        <w:numPr>
          <w:ilvl w:val="0"/>
          <w:numId w:val="2"/>
        </w:numPr>
        <w:spacing w:after="100" w:line="280"/>
      </w:pPr>
      <w:r>
        <w:rPr>
          <w:rFonts w:ascii="Calibri" w:cs="Calibri" w:eastAsia="Calibri" w:hAnsi="Calibri"/>
          <w:color w:val="334155"/>
          <w:sz w:val="22"/>
          <w:szCs w:val="22"/>
        </w:rPr>
        <w:t xml:space="preserve">Best for new or specialized functions that need faster iteration</w:t>
      </w:r>
    </w:p>
    <w:p>
      <w:pPr>
        <w:spacing w:after="60"/>
      </w:pPr>
    </w:p>
    <w:p>
      <w:pPr>
        <w:spacing w:after="160" w:line="300"/>
      </w:pPr>
      <w:r>
        <w:rPr>
          <w:rFonts w:ascii="Calibri" w:cs="Calibri" w:eastAsia="Calibri" w:hAnsi="Calibri"/>
          <w:color w:val="334155"/>
          <w:sz w:val="22"/>
          <w:szCs w:val="22"/>
        </w:rPr>
        <w:t xml:space="preserve">This dual model is important because not all capabilities should be locked into the same lifecycle. The platform needs a dependable baseline and a flexible expansion path. The static catalog protects the core, while dynamic module loading supports innovation and product acceleration.</w:t>
      </w:r>
    </w:p>
    <w:p>
      <w:pPr>
        <w:pStyle w:val="Heading2"/>
        <w:spacing w:after="150" w:before="300"/>
      </w:pPr>
      <w:r>
        <w:t xml:space="preserve">How Dynamic Module Loading Works</w:t>
      </w:r>
    </w:p>
    <w:p>
      <w:pPr>
        <w:pStyle w:val="ListParagraph"/>
        <w:numPr>
          <w:ilvl w:val="0"/>
          <w:numId w:val="2"/>
        </w:numPr>
        <w:spacing w:after="100" w:line="280"/>
      </w:pPr>
      <w:r>
        <w:rPr>
          <w:rFonts w:ascii="Calibri" w:cs="Calibri" w:eastAsia="Calibri" w:hAnsi="Calibri"/>
          <w:color w:val="334155"/>
          <w:sz w:val="22"/>
          <w:szCs w:val="22"/>
        </w:rPr>
        <w:t xml:space="preserve">The host process loads compiled modules at runtime</w:t>
      </w:r>
    </w:p>
    <w:p>
      <w:pPr>
        <w:pStyle w:val="ListParagraph"/>
        <w:numPr>
          <w:ilvl w:val="0"/>
          <w:numId w:val="2"/>
        </w:numPr>
        <w:spacing w:after="100" w:line="280"/>
      </w:pPr>
      <w:r>
        <w:rPr>
          <w:rFonts w:ascii="Calibri" w:cs="Calibri" w:eastAsia="Calibri" w:hAnsi="Calibri"/>
          <w:color w:val="334155"/>
          <w:sz w:val="22"/>
          <w:szCs w:val="22"/>
        </w:rPr>
        <w:t xml:space="preserve">Each module exposes a fixed function contract</w:t>
      </w:r>
    </w:p>
    <w:p>
      <w:pPr>
        <w:pStyle w:val="ListParagraph"/>
        <w:numPr>
          <w:ilvl w:val="0"/>
          <w:numId w:val="2"/>
        </w:numPr>
        <w:spacing w:after="100" w:line="280"/>
      </w:pPr>
      <w:r>
        <w:rPr>
          <w:rFonts w:ascii="Calibri" w:cs="Calibri" w:eastAsia="Calibri" w:hAnsi="Calibri"/>
          <w:color w:val="334155"/>
          <w:sz w:val="22"/>
          <w:szCs w:val="22"/>
        </w:rPr>
        <w:t xml:space="preserve">The host resolves the requested tool name and invokes the correct module</w:t>
      </w:r>
    </w:p>
    <w:p>
      <w:pPr>
        <w:pStyle w:val="ListParagraph"/>
        <w:numPr>
          <w:ilvl w:val="0"/>
          <w:numId w:val="2"/>
        </w:numPr>
        <w:spacing w:after="100" w:line="280"/>
      </w:pPr>
      <w:r>
        <w:rPr>
          <w:rFonts w:ascii="Calibri" w:cs="Calibri" w:eastAsia="Calibri" w:hAnsi="Calibri"/>
          <w:color w:val="334155"/>
          <w:sz w:val="22"/>
          <w:szCs w:val="22"/>
        </w:rPr>
        <w:t xml:space="preserve">The module returns structured output and status</w:t>
      </w:r>
    </w:p>
    <w:p>
      <w:pPr>
        <w:pStyle w:val="ListParagraph"/>
        <w:numPr>
          <w:ilvl w:val="0"/>
          <w:numId w:val="2"/>
        </w:numPr>
        <w:spacing w:after="100" w:line="280"/>
      </w:pPr>
      <w:r>
        <w:rPr>
          <w:rFonts w:ascii="Calibri" w:cs="Calibri" w:eastAsia="Calibri" w:hAnsi="Calibri"/>
          <w:color w:val="334155"/>
          <w:sz w:val="22"/>
          <w:szCs w:val="22"/>
        </w:rPr>
        <w:t xml:space="preserve">Conflict handling, validation, reload behavior, and failure fallback are governed centrally</w:t>
      </w:r>
    </w:p>
    <w:p>
      <w:pPr>
        <w:pStyle w:val="Heading1"/>
        <w:spacing w:after="200" w:before="400"/>
      </w:pPr>
      <w:r>
        <w:t xml:space="preserve">Business Value Summary</w:t>
      </w:r>
    </w:p>
    <w:p>
      <w:pPr>
        <w:pStyle w:val="ListParagraph"/>
        <w:numPr>
          <w:ilvl w:val="0"/>
          <w:numId w:val="2"/>
        </w:numPr>
        <w:spacing w:after="100" w:line="280"/>
      </w:pPr>
      <w:r>
        <w:rPr>
          <w:rFonts w:ascii="Calibri" w:cs="Calibri" w:eastAsia="Calibri" w:hAnsi="Calibri"/>
          <w:color w:val="334155"/>
          <w:sz w:val="22"/>
          <w:szCs w:val="22"/>
        </w:rPr>
        <w:t xml:space="preserve">Operational stability — core capabilities remain well-defined, versioned, and controlled</w:t>
      </w:r>
    </w:p>
    <w:p>
      <w:pPr>
        <w:pStyle w:val="ListParagraph"/>
        <w:numPr>
          <w:ilvl w:val="0"/>
          <w:numId w:val="2"/>
        </w:numPr>
        <w:spacing w:after="100" w:line="280"/>
      </w:pPr>
      <w:r>
        <w:rPr>
          <w:rFonts w:ascii="Calibri" w:cs="Calibri" w:eastAsia="Calibri" w:hAnsi="Calibri"/>
          <w:color w:val="334155"/>
          <w:sz w:val="22"/>
          <w:szCs w:val="22"/>
        </w:rPr>
        <w:t xml:space="preserve">Faster feature delivery — new domain-specific capabilities added through dynamic modules</w:t>
      </w:r>
    </w:p>
    <w:p>
      <w:pPr>
        <w:pStyle w:val="ListParagraph"/>
        <w:numPr>
          <w:ilvl w:val="0"/>
          <w:numId w:val="2"/>
        </w:numPr>
        <w:spacing w:after="100" w:line="280"/>
      </w:pPr>
      <w:r>
        <w:rPr>
          <w:rFonts w:ascii="Calibri" w:cs="Calibri" w:eastAsia="Calibri" w:hAnsi="Calibri"/>
          <w:color w:val="334155"/>
          <w:sz w:val="22"/>
          <w:szCs w:val="22"/>
        </w:rPr>
        <w:t xml:space="preserve">Lower operational risk — high-impact tools isolated from general-purpose diagnostics</w:t>
      </w:r>
    </w:p>
    <w:p>
      <w:pPr>
        <w:pStyle w:val="ListParagraph"/>
        <w:numPr>
          <w:ilvl w:val="0"/>
          <w:numId w:val="2"/>
        </w:numPr>
        <w:spacing w:after="100" w:line="280"/>
      </w:pPr>
      <w:r>
        <w:rPr>
          <w:rFonts w:ascii="Calibri" w:cs="Calibri" w:eastAsia="Calibri" w:hAnsi="Calibri"/>
          <w:color w:val="334155"/>
          <w:sz w:val="22"/>
          <w:szCs w:val="22"/>
        </w:rPr>
        <w:t xml:space="preserve">Better scalability — more use cases without growing base-daemon complexity</w:t>
      </w:r>
    </w:p>
    <w:p>
      <w:pPr>
        <w:pStyle w:val="ListParagraph"/>
        <w:numPr>
          <w:ilvl w:val="0"/>
          <w:numId w:val="2"/>
        </w:numPr>
        <w:spacing w:after="100" w:line="280"/>
      </w:pPr>
      <w:r>
        <w:rPr>
          <w:rFonts w:ascii="Calibri" w:cs="Calibri" w:eastAsia="Calibri" w:hAnsi="Calibri"/>
          <w:color w:val="334155"/>
          <w:sz w:val="22"/>
          <w:szCs w:val="22"/>
        </w:rPr>
        <w:t xml:space="preserve">Improved product adaptability — new workflows absorbed without a full redesign</w:t>
      </w:r>
    </w:p>
    <w:p>
      <w:pPr>
        <w:pStyle w:val="Heading1"/>
        <w:spacing w:after="200" w:before="400"/>
      </w:pPr>
      <w:r>
        <w:t xml:space="preserve">Risks, Dependencies, and Safeguards</w:t>
      </w:r>
    </w:p>
    <w:p>
      <w:pPr>
        <w:pStyle w:val="Heading2"/>
        <w:spacing w:after="150" w:before="300"/>
      </w:pPr>
      <w:r>
        <w:t xml:space="preserve">Key Dependencies</w:t>
      </w:r>
    </w:p>
    <w:p>
      <w:pPr>
        <w:pStyle w:val="ListParagraph"/>
        <w:numPr>
          <w:ilvl w:val="0"/>
          <w:numId w:val="2"/>
        </w:numPr>
        <w:spacing w:after="100" w:line="280"/>
      </w:pPr>
      <w:r>
        <w:rPr>
          <w:rFonts w:ascii="Calibri" w:cs="Calibri" w:eastAsia="Calibri" w:hAnsi="Calibri"/>
          <w:color w:val="334155"/>
          <w:sz w:val="22"/>
          <w:szCs w:val="22"/>
        </w:rPr>
        <w:t xml:space="preserve">Catalog integrity</w:t>
      </w:r>
    </w:p>
    <w:p>
      <w:pPr>
        <w:pStyle w:val="ListParagraph"/>
        <w:numPr>
          <w:ilvl w:val="0"/>
          <w:numId w:val="2"/>
        </w:numPr>
        <w:spacing w:after="100" w:line="280"/>
      </w:pPr>
      <w:r>
        <w:rPr>
          <w:rFonts w:ascii="Calibri" w:cs="Calibri" w:eastAsia="Calibri" w:hAnsi="Calibri"/>
          <w:color w:val="334155"/>
          <w:sz w:val="22"/>
          <w:szCs w:val="22"/>
        </w:rPr>
        <w:t xml:space="preserve">Plugin verification and compatibility</w:t>
      </w:r>
    </w:p>
    <w:p>
      <w:pPr>
        <w:pStyle w:val="ListParagraph"/>
        <w:numPr>
          <w:ilvl w:val="0"/>
          <w:numId w:val="2"/>
        </w:numPr>
        <w:spacing w:after="100" w:line="280"/>
      </w:pPr>
      <w:r>
        <w:rPr>
          <w:rFonts w:ascii="Calibri" w:cs="Calibri" w:eastAsia="Calibri" w:hAnsi="Calibri"/>
          <w:color w:val="334155"/>
          <w:sz w:val="22"/>
          <w:szCs w:val="22"/>
        </w:rPr>
        <w:t xml:space="preserve">Communication reliability</w:t>
      </w:r>
    </w:p>
    <w:p>
      <w:pPr>
        <w:pStyle w:val="ListParagraph"/>
        <w:numPr>
          <w:ilvl w:val="0"/>
          <w:numId w:val="2"/>
        </w:numPr>
        <w:spacing w:after="100" w:line="280"/>
      </w:pPr>
      <w:r>
        <w:rPr>
          <w:rFonts w:ascii="Calibri" w:cs="Calibri" w:eastAsia="Calibri" w:hAnsi="Calibri"/>
          <w:color w:val="334155"/>
          <w:sz w:val="22"/>
          <w:szCs w:val="22"/>
        </w:rPr>
        <w:t xml:space="preserve">Runtime readiness of dependent services</w:t>
      </w:r>
    </w:p>
    <w:p>
      <w:pPr>
        <w:pStyle w:val="ListParagraph"/>
        <w:numPr>
          <w:ilvl w:val="0"/>
          <w:numId w:val="2"/>
        </w:numPr>
        <w:spacing w:after="100" w:line="280"/>
      </w:pPr>
      <w:r>
        <w:rPr>
          <w:rFonts w:ascii="Calibri" w:cs="Calibri" w:eastAsia="Calibri" w:hAnsi="Calibri"/>
          <w:color w:val="334155"/>
          <w:sz w:val="22"/>
          <w:szCs w:val="22"/>
        </w:rPr>
        <w:t xml:space="preserve">Explicit governance of high-risk actions</w:t>
      </w:r>
    </w:p>
    <w:p>
      <w:pPr>
        <w:spacing w:after="60"/>
      </w:pPr>
    </w:p>
    <w:p>
      <w:pPr>
        <w:pStyle w:val="Heading2"/>
        <w:spacing w:after="150" w:before="300"/>
      </w:pPr>
      <w:r>
        <w:t xml:space="preserve">Safeguards</w:t>
      </w:r>
    </w:p>
    <w:p>
      <w:pPr>
        <w:pStyle w:val="ListParagraph"/>
        <w:numPr>
          <w:ilvl w:val="0"/>
          <w:numId w:val="2"/>
        </w:numPr>
        <w:spacing w:after="100" w:line="280"/>
      </w:pPr>
      <w:r>
        <w:rPr>
          <w:rFonts w:ascii="Calibri" w:cs="Calibri" w:eastAsia="Calibri" w:hAnsi="Calibri"/>
          <w:color w:val="334155"/>
          <w:sz w:val="22"/>
          <w:szCs w:val="22"/>
        </w:rPr>
        <w:t xml:space="preserve">Capability validation before execution</w:t>
      </w:r>
    </w:p>
    <w:p>
      <w:pPr>
        <w:pStyle w:val="ListParagraph"/>
        <w:numPr>
          <w:ilvl w:val="0"/>
          <w:numId w:val="2"/>
        </w:numPr>
        <w:spacing w:after="100" w:line="280"/>
      </w:pPr>
      <w:r>
        <w:rPr>
          <w:rFonts w:ascii="Calibri" w:cs="Calibri" w:eastAsia="Calibri" w:hAnsi="Calibri"/>
          <w:color w:val="334155"/>
          <w:sz w:val="22"/>
          <w:szCs w:val="22"/>
        </w:rPr>
        <w:t xml:space="preserve">Per-plane routing</w:t>
      </w:r>
    </w:p>
    <w:p>
      <w:pPr>
        <w:pStyle w:val="ListParagraph"/>
        <w:numPr>
          <w:ilvl w:val="0"/>
          <w:numId w:val="2"/>
        </w:numPr>
        <w:spacing w:after="100" w:line="280"/>
      </w:pPr>
      <w:r>
        <w:rPr>
          <w:rFonts w:ascii="Calibri" w:cs="Calibri" w:eastAsia="Calibri" w:hAnsi="Calibri"/>
          <w:color w:val="334155"/>
          <w:sz w:val="22"/>
          <w:szCs w:val="22"/>
        </w:rPr>
        <w:t xml:space="preserve">Conflict rules for tool resolution</w:t>
      </w:r>
    </w:p>
    <w:p>
      <w:pPr>
        <w:pStyle w:val="ListParagraph"/>
        <w:numPr>
          <w:ilvl w:val="0"/>
          <w:numId w:val="2"/>
        </w:numPr>
        <w:spacing w:after="100" w:line="280"/>
      </w:pPr>
      <w:r>
        <w:rPr>
          <w:rFonts w:ascii="Calibri" w:cs="Calibri" w:eastAsia="Calibri" w:hAnsi="Calibri"/>
          <w:color w:val="334155"/>
          <w:sz w:val="22"/>
          <w:szCs w:val="22"/>
        </w:rPr>
        <w:t xml:space="preserve">Health checks and status notifications</w:t>
      </w:r>
    </w:p>
    <w:p>
      <w:pPr>
        <w:pStyle w:val="ListParagraph"/>
        <w:numPr>
          <w:ilvl w:val="0"/>
          <w:numId w:val="2"/>
        </w:numPr>
        <w:spacing w:after="100" w:line="280"/>
      </w:pPr>
      <w:r>
        <w:rPr>
          <w:rFonts w:ascii="Calibri" w:cs="Calibri" w:eastAsia="Calibri" w:hAnsi="Calibri"/>
          <w:color w:val="334155"/>
          <w:sz w:val="22"/>
          <w:szCs w:val="22"/>
        </w:rPr>
        <w:t xml:space="preserve">Graceful fallback when a dynamic dependency is unavailable</w:t>
      </w:r>
    </w:p>
    <w:p>
      <w:pPr>
        <w:pStyle w:val="ListParagraph"/>
        <w:numPr>
          <w:ilvl w:val="0"/>
          <w:numId w:val="2"/>
        </w:numPr>
        <w:spacing w:after="100" w:line="280"/>
      </w:pPr>
      <w:r>
        <w:rPr>
          <w:rFonts w:ascii="Calibri" w:cs="Calibri" w:eastAsia="Calibri" w:hAnsi="Calibri"/>
          <w:color w:val="334155"/>
          <w:sz w:val="22"/>
          <w:szCs w:val="22"/>
        </w:rPr>
        <w:t xml:space="preserve">Controlled reload and update behavior</w:t>
      </w:r>
    </w:p>
    <w:p>
      <w:pPr>
        <w:spacing w:after="60"/>
      </w:pPr>
    </w:p>
    <w:tbl>
      <w:tblPr>
        <w:tblW w:type="dxa" w:w="10080"/>
        <w:tblBorders>
          <w:top w:val="single" w:color="D97706" w:sz="4"/>
          <w:left w:val="single" w:color="D97706" w:sz="4"/>
          <w:bottom w:val="single" w:color="D97706" w:sz="4"/>
          <w:right w:val="single" w:color="D97706" w:sz="4"/>
          <w:insideH w:val="none" w:color="FFFFFF" w:sz="0"/>
          <w:insideV w:val="none" w:color="FFFFFF" w:sz="0"/>
        </w:tblBorders>
        <w:tblLayout w:type="fixed"/>
      </w:tblPr>
      <w:tblGrid>
        <w:gridCol w:w="10080"/>
      </w:tblGrid>
      <w:tr>
        <w:tc>
          <w:tcPr>
            <w:tcW w:type="dxa" w:w="10080"/>
            <w:shd w:fill="F4F6F9" w:val="clear"/>
            <w:tcMar>
              <w:top w:type="dxa" w:w="200"/>
              <w:left w:type="dxa" w:w="250"/>
              <w:bottom w:type="dxa" w:w="200"/>
              <w:right w:type="dxa" w:w="250"/>
            </w:tcMar>
          </w:tcPr>
          <w:p>
            <w:pPr>
              <w:spacing w:after="80"/>
            </w:pPr>
            <w:r>
              <w:rPr>
                <w:rFonts w:ascii="Calibri" w:cs="Calibri" w:eastAsia="Calibri" w:hAnsi="Calibri"/>
                <w:b/>
                <w:bCs/>
                <w:color w:val="D97706"/>
                <w:sz w:val="21"/>
                <w:szCs w:val="21"/>
              </w:rPr>
              <w:t xml:space="preserve">Design principle</w:t>
            </w:r>
          </w:p>
          <w:p>
            <w:r>
              <w:rPr>
                <w:rFonts w:ascii="Calibri" w:cs="Calibri" w:eastAsia="Calibri" w:hAnsi="Calibri"/>
                <w:color w:val="334155"/>
                <w:sz w:val="21"/>
                <w:szCs w:val="21"/>
              </w:rPr>
              <w:t xml:space="preserve">The platform is intentionally designed to fail gracefully and preserve service continuity rather than create brittle, all-or-nothing behavior.</w:t>
            </w:r>
          </w:p>
        </w:tc>
      </w:tr>
    </w:tbl>
    <w:p>
      <w:pPr>
        <w:pStyle w:val="Heading1"/>
        <w:spacing w:after="200" w:before="400"/>
      </w:pPr>
      <w:r>
        <w:t xml:space="preserve">The Ask — Phased Deployment</w:t>
      </w:r>
    </w:p>
    <w:p>
      <w:pPr>
        <w:pStyle w:val="ListParagraph"/>
        <w:numPr>
          <w:ilvl w:val="0"/>
          <w:numId w:val="2"/>
        </w:numPr>
        <w:spacing w:after="100" w:line="280"/>
      </w:pPr>
      <w:r>
        <w:rPr>
          <w:rFonts w:ascii="Calibri" w:cs="Calibri" w:eastAsia="Calibri" w:hAnsi="Calibri"/>
          <w:color w:val="334155"/>
          <w:sz w:val="22"/>
          <w:szCs w:val="22"/>
        </w:rPr>
        <w:t xml:space="preserve">Phase 1: Pilot the managed static toolset in production-like conditions</w:t>
      </w:r>
    </w:p>
    <w:p>
      <w:pPr>
        <w:pStyle w:val="ListParagraph"/>
        <w:numPr>
          <w:ilvl w:val="0"/>
          <w:numId w:val="2"/>
        </w:numPr>
        <w:spacing w:after="100" w:line="280"/>
      </w:pPr>
      <w:r>
        <w:rPr>
          <w:rFonts w:ascii="Calibri" w:cs="Calibri" w:eastAsia="Calibri" w:hAnsi="Calibri"/>
          <w:color w:val="334155"/>
          <w:sz w:val="22"/>
          <w:szCs w:val="22"/>
        </w:rPr>
        <w:t xml:space="preserve">Phase 2: Enable dynamic module loading in a constrained deployment</w:t>
      </w:r>
    </w:p>
    <w:p>
      <w:pPr>
        <w:pStyle w:val="ListParagraph"/>
        <w:numPr>
          <w:ilvl w:val="0"/>
          <w:numId w:val="2"/>
        </w:numPr>
        <w:spacing w:after="100" w:line="280"/>
      </w:pPr>
      <w:r>
        <w:rPr>
          <w:rFonts w:ascii="Calibri" w:cs="Calibri" w:eastAsia="Calibri" w:hAnsi="Calibri"/>
          <w:color w:val="334155"/>
          <w:sz w:val="22"/>
          <w:szCs w:val="22"/>
        </w:rPr>
        <w:t xml:space="preserve">Phase 3: Validate conflict handling, reload behavior, and operational safety</w:t>
      </w:r>
    </w:p>
    <w:p>
      <w:pPr>
        <w:pStyle w:val="ListParagraph"/>
        <w:numPr>
          <w:ilvl w:val="0"/>
          <w:numId w:val="2"/>
        </w:numPr>
        <w:spacing w:after="100" w:line="280"/>
      </w:pPr>
      <w:r>
        <w:rPr>
          <w:rFonts w:ascii="Calibri" w:cs="Calibri" w:eastAsia="Calibri" w:hAnsi="Calibri"/>
          <w:color w:val="334155"/>
          <w:sz w:val="22"/>
          <w:szCs w:val="22"/>
        </w:rPr>
        <w:t xml:space="preserve">Phase 4: Expand to broader fleet adoption with governance checkpoints and use-case metrics</w:t>
      </w:r>
    </w:p>
    <w:p>
      <w:pPr>
        <w:spacing w:after="120"/>
      </w:pPr>
    </w:p>
    <w:tbl>
      <w:tblPr>
        <w:tblW w:type="dxa" w:w="10080"/>
        <w:tblBorders>
          <w:top w:val="single" w:color="DC2626" w:sz="4"/>
          <w:left w:val="single" w:color="DC2626" w:sz="4"/>
          <w:bottom w:val="single" w:color="DC2626" w:sz="4"/>
          <w:right w:val="single" w:color="DC2626" w:sz="4"/>
          <w:insideH w:val="none" w:color="FFFFFF" w:sz="0"/>
          <w:insideV w:val="none" w:color="FFFFFF" w:sz="0"/>
        </w:tblBorders>
        <w:tblLayout w:type="fixed"/>
      </w:tblPr>
      <w:tblGrid>
        <w:gridCol w:w="10080"/>
      </w:tblGrid>
      <w:tr>
        <w:tc>
          <w:tcPr>
            <w:tcW w:type="dxa" w:w="10080"/>
            <w:shd w:fill="F4F6F9" w:val="clear"/>
            <w:tcMar>
              <w:top w:type="dxa" w:w="200"/>
              <w:left w:type="dxa" w:w="250"/>
              <w:bottom w:type="dxa" w:w="200"/>
              <w:right w:type="dxa" w:w="250"/>
            </w:tcMar>
          </w:tcPr>
          <w:p>
            <w:pPr>
              <w:spacing w:after="80"/>
            </w:pPr>
            <w:r>
              <w:rPr>
                <w:rFonts w:ascii="Calibri" w:cs="Calibri" w:eastAsia="Calibri" w:hAnsi="Calibri"/>
                <w:b/>
                <w:bCs/>
                <w:color w:val="DC2626"/>
                <w:sz w:val="21"/>
                <w:szCs w:val="21"/>
              </w:rPr>
              <w:t xml:space="preserve">Decision needed</w:t>
            </w:r>
          </w:p>
          <w:p>
            <w:r>
              <w:rPr>
                <w:rFonts w:ascii="Calibri" w:cs="Calibri" w:eastAsia="Calibri" w:hAnsi="Calibri"/>
                <w:color w:val="334155"/>
                <w:sz w:val="21"/>
                <w:szCs w:val="21"/>
              </w:rPr>
              <w:t xml:space="preserve">Approve the phased rollout of the dual-mode tool architecture and align operational ownership around core catalog controls and dynamic extension policy.</w:t>
            </w:r>
          </w:p>
        </w:tc>
      </w:tr>
    </w:tbl>
    <w:p>
      <w:pPr>
        <w:spacing w:after="200"/>
      </w:pPr>
    </w:p>
    <w:p>
      <w:pPr>
        <w:pStyle w:val="Heading1"/>
        <w:spacing w:after="200" w:before="400"/>
      </w:pPr>
      <w:r>
        <w:t xml:space="preserve">Executive Takeaway</w:t>
      </w:r>
    </w:p>
    <w:p>
      <w:pPr>
        <w:spacing w:after="160" w:line="300"/>
      </w:pPr>
      <w:r>
        <w:rPr>
          <w:rFonts w:ascii="Calibri" w:cs="Calibri" w:eastAsia="Calibri" w:hAnsi="Calibri"/>
          <w:color w:val="334155"/>
          <w:sz w:val="22"/>
          <w:szCs w:val="22"/>
        </w:rPr>
        <w:t xml:space="preserve">This module is not simply a runtime feature; it is a control and governance layer for distributed capabilities. It creates a safer, smarter, and more scalable way to handle diagnostics, operations, runtime control, and configuration updates across multiple planes. By combining a structured use-case model with a stable rpcd-style execution pattern and a layered communication architecture, the organization gains safer operations, faster response to incidents, controlled rollout of capabilities, reduced operational complexity, and better scalability without increasing manual burden.</w:t>
      </w:r>
    </w:p>
    <w:p>
      <w:pPr>
        <w:spacing w:before="200"/>
      </w:pPr>
      <w:r>
        <w:rPr>
          <w:rFonts w:ascii="Calibri" w:cs="Calibri" w:eastAsia="Calibri" w:hAnsi="Calibri"/>
          <w:b/>
          <w:bCs/>
          <w:i/>
          <w:iCs/>
          <w:color w:val="0B1F3A"/>
          <w:sz w:val="23"/>
          <w:szCs w:val="23"/>
        </w:rPr>
        <w:t xml:space="preserve">In one sentence: it turns fragmented runtime operations into a governable platform capability.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Multi-Plane Runtime Control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2026-08-24T19:25:49.407Z</dcterms:created>
  <dcterms:modified xsi:type="dcterms:W3CDTF">2026-08-24T19:25:49.421Z</dcterms:modified>
</cp:coreProperties>
</file>

<file path=docProps/custom.xml><?xml version="1.0" encoding="utf-8"?>
<Properties xmlns="http://schemas.openxmlformats.org/officeDocument/2006/custom-properties" xmlns:vt="http://schemas.openxmlformats.org/officeDocument/2006/docPropsVTypes"/>
</file>