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Company: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Engineer: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Create Date:   01:14:32 11/18/2017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Design Name:   vga_syncIndex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Module Name:   G:/DIGITAL/FINAL/test.v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Project Name:  FINAL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Target Device: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Tool versions: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Description: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Verilog Test Fixture created by ISE for module: vga_syncIndex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Dependencies: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 test;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 Inputs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clk;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[2:0] 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reg [1:0] 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 Outputs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wire hsync;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wire vsync;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wire [2:0] red;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wire [2:0] green;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wire [1:0] blue;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wire [9:0] hc;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wire [9:0] vc;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wire blank;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 Instantiate the Unit Under Test (UUT)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vga_syncIndex uut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.clk(clk),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.hsync(hsync),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.vsync(vsync),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.red(red),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.green(green),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.blue(blue),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.hc(hc),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.vc(vc),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.blank(blank),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.choice(choice),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.b(b)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initial 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Initialize Inputs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clk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choice = 0; // Change choice value from 0-7 for different effects. Since 1000 ns                        //                                        // are not good enough for the entire vga cycle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 = 0; // Level of brightness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Wait 100 ns for global reset to finish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#100;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Add stimulus 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always #0.01 clk = ~clk;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