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"clk" LOC = "B8";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"hsync" LOC = "T4";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"vsync" LOC = "U3";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"red&lt;0&gt;" LOC = "R9";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"red&lt;1&gt;" LOC = "T8";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"red&lt;2&gt;" LOC = "R8";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"green&lt;0&gt;" LOC = "N8";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"green&lt;1&gt;" LOC = "P8";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"green&lt;2&gt;" LOC = "P6";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"blue&lt;0&gt;" LOC = "U5";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"blue&lt;1&gt;" LOC = "U4";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"choice&lt;0&gt;" LOC = "G18";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"choice&lt;1&gt;" LOC = "H18";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"choice&lt;2&gt;" LOC = "K18";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"b&lt;0&gt;" LOC = "K17";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 "b&lt;1&gt;" LOC = "L14";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