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586" w:rsidRPr="005B7586" w:rsidRDefault="005B7586" w:rsidP="005B758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B75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Insights</w:t>
      </w:r>
    </w:p>
    <w:p w:rsidR="005B7586" w:rsidRPr="005B7586" w:rsidRDefault="005B7586" w:rsidP="005B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High attrition</w:t>
      </w: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observed in employees with </w:t>
      </w: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low job satisfaction</w:t>
      </w:r>
    </w:p>
    <w:p w:rsidR="005B7586" w:rsidRPr="005B7586" w:rsidRDefault="005B7586" w:rsidP="005B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Employees with </w:t>
      </w: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0–3 years of experience</w:t>
      </w: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show higher turnover</w:t>
      </w:r>
    </w:p>
    <w:p w:rsidR="005B7586" w:rsidRPr="005B7586" w:rsidRDefault="005B7586" w:rsidP="005B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Certain departments have </w:t>
      </w: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consistently higher attrition rates</w:t>
      </w:r>
    </w:p>
    <w:p w:rsidR="005B7586" w:rsidRPr="005B7586" w:rsidRDefault="005B7586" w:rsidP="005B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Lower salary bands</w:t>
      </w: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correlate with higher attrition</w:t>
      </w:r>
    </w:p>
    <w:p w:rsidR="005B7586" w:rsidRPr="005B7586" w:rsidRDefault="005B7586" w:rsidP="005B7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Employees with </w:t>
      </w:r>
      <w:r w:rsidRPr="005B7586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higher performance ratings</w:t>
      </w:r>
      <w:r w:rsidRPr="005B7586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tend to stay longer</w:t>
      </w:r>
    </w:p>
    <w:p w:rsidR="005B7586" w:rsidRDefault="005B7586" w:rsidP="005B7586">
      <w:pPr>
        <w:pStyle w:val="Heading2"/>
        <w:jc w:val="center"/>
      </w:pPr>
    </w:p>
    <w:p w:rsidR="005B7586" w:rsidRPr="005B7586" w:rsidRDefault="005B7586" w:rsidP="005B7586">
      <w:pPr>
        <w:pStyle w:val="Heading2"/>
        <w:jc w:val="center"/>
      </w:pPr>
      <w:bookmarkStart w:id="0" w:name="_GoBack"/>
      <w:bookmarkEnd w:id="0"/>
      <w:r w:rsidRPr="005B7586">
        <w:t>Practical Use Cases</w:t>
      </w:r>
    </w:p>
    <w:p w:rsidR="005B7586" w:rsidRPr="005B7586" w:rsidRDefault="005B7586" w:rsidP="005B7586">
      <w:pPr>
        <w:pStyle w:val="Heading3"/>
        <w:rPr>
          <w:color w:val="auto"/>
          <w:sz w:val="24"/>
          <w:szCs w:val="24"/>
        </w:rPr>
      </w:pPr>
      <w:r w:rsidRPr="005B7586">
        <w:rPr>
          <w:color w:val="auto"/>
          <w:sz w:val="24"/>
          <w:szCs w:val="24"/>
        </w:rPr>
        <w:t>1. Employee Retention Strategy</w:t>
      </w:r>
    </w:p>
    <w:p w:rsidR="005B7586" w:rsidRPr="005B7586" w:rsidRDefault="005B7586" w:rsidP="005B7586">
      <w:pPr>
        <w:pStyle w:val="isselectedend"/>
        <w:rPr>
          <w:rFonts w:asciiTheme="majorHAnsi" w:hAnsiTheme="majorHAnsi"/>
        </w:rPr>
      </w:pPr>
      <w:r w:rsidRPr="005B7586">
        <w:rPr>
          <w:rFonts w:asciiTheme="majorHAnsi" w:hAnsiTheme="majorHAnsi"/>
        </w:rPr>
        <w:t>HR teams can identify high-risk groups and take proactive steps like:</w:t>
      </w:r>
    </w:p>
    <w:p w:rsidR="005B7586" w:rsidRPr="005B7586" w:rsidRDefault="005B7586" w:rsidP="005B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Improving job satisfaction</w:t>
      </w:r>
    </w:p>
    <w:p w:rsidR="005B7586" w:rsidRPr="005B7586" w:rsidRDefault="005B7586" w:rsidP="005B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Offering better compensation</w:t>
      </w:r>
    </w:p>
    <w:p w:rsidR="005B7586" w:rsidRPr="005B7586" w:rsidRDefault="005B7586" w:rsidP="005B75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Career growth planning</w:t>
      </w:r>
    </w:p>
    <w:p w:rsidR="005B7586" w:rsidRPr="005B7586" w:rsidRDefault="005B7586" w:rsidP="005B7586">
      <w:pPr>
        <w:pStyle w:val="Heading3"/>
        <w:rPr>
          <w:color w:val="auto"/>
          <w:sz w:val="24"/>
          <w:szCs w:val="24"/>
        </w:rPr>
      </w:pPr>
      <w:r w:rsidRPr="005B7586">
        <w:rPr>
          <w:color w:val="auto"/>
          <w:sz w:val="24"/>
          <w:szCs w:val="24"/>
        </w:rPr>
        <w:t>2. Workforce Planning</w:t>
      </w:r>
    </w:p>
    <w:p w:rsidR="005B7586" w:rsidRPr="005B7586" w:rsidRDefault="005B7586" w:rsidP="005B7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Predict hiring needs based on attrition trends</w:t>
      </w:r>
    </w:p>
    <w:p w:rsidR="005B7586" w:rsidRPr="005B7586" w:rsidRDefault="005B7586" w:rsidP="005B75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Optimize department staffing levels</w:t>
      </w:r>
    </w:p>
    <w:p w:rsidR="005B7586" w:rsidRPr="005B7586" w:rsidRDefault="005B7586" w:rsidP="005B7586">
      <w:pPr>
        <w:pStyle w:val="Heading3"/>
        <w:rPr>
          <w:color w:val="auto"/>
          <w:sz w:val="24"/>
          <w:szCs w:val="24"/>
        </w:rPr>
      </w:pPr>
      <w:r w:rsidRPr="005B7586">
        <w:rPr>
          <w:color w:val="auto"/>
          <w:sz w:val="24"/>
          <w:szCs w:val="24"/>
        </w:rPr>
        <w:t>3. Performance Management</w:t>
      </w:r>
    </w:p>
    <w:p w:rsidR="005B7586" w:rsidRPr="005B7586" w:rsidRDefault="005B7586" w:rsidP="005B7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Recognize high-performing employees</w:t>
      </w:r>
    </w:p>
    <w:p w:rsidR="005B7586" w:rsidRPr="005B7586" w:rsidRDefault="005B7586" w:rsidP="005B75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Design targeted training programs</w:t>
      </w:r>
    </w:p>
    <w:p w:rsidR="005B7586" w:rsidRPr="005B7586" w:rsidRDefault="005B7586" w:rsidP="005B7586">
      <w:pPr>
        <w:pStyle w:val="Heading3"/>
        <w:rPr>
          <w:color w:val="auto"/>
          <w:sz w:val="24"/>
          <w:szCs w:val="24"/>
        </w:rPr>
      </w:pPr>
      <w:r w:rsidRPr="005B7586">
        <w:rPr>
          <w:color w:val="auto"/>
          <w:sz w:val="24"/>
          <w:szCs w:val="24"/>
        </w:rPr>
        <w:t>4. Compensation Optimization</w:t>
      </w:r>
    </w:p>
    <w:p w:rsidR="005B7586" w:rsidRPr="005B7586" w:rsidRDefault="005B7586" w:rsidP="005B7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Adjust salary structures to reduce turnover</w:t>
      </w:r>
    </w:p>
    <w:p w:rsidR="005B7586" w:rsidRPr="005B7586" w:rsidRDefault="005B7586" w:rsidP="005B75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Benchmark pay across roles</w:t>
      </w:r>
    </w:p>
    <w:p w:rsidR="005B7586" w:rsidRPr="005B7586" w:rsidRDefault="005B7586" w:rsidP="005B7586">
      <w:pPr>
        <w:pStyle w:val="Heading3"/>
        <w:rPr>
          <w:color w:val="auto"/>
          <w:sz w:val="24"/>
          <w:szCs w:val="24"/>
        </w:rPr>
      </w:pPr>
      <w:r w:rsidRPr="005B7586">
        <w:rPr>
          <w:color w:val="auto"/>
          <w:sz w:val="24"/>
          <w:szCs w:val="24"/>
        </w:rPr>
        <w:t>5. Diversity &amp; Inclusion Analysis</w:t>
      </w:r>
    </w:p>
    <w:p w:rsidR="005B7586" w:rsidRPr="005B7586" w:rsidRDefault="005B7586" w:rsidP="005B7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Monitor gender and demographic balance</w:t>
      </w:r>
    </w:p>
    <w:p w:rsidR="005B7586" w:rsidRPr="005B7586" w:rsidRDefault="005B7586" w:rsidP="005B75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/>
          <w:sz w:val="24"/>
          <w:szCs w:val="24"/>
        </w:rPr>
      </w:pPr>
      <w:r w:rsidRPr="005B7586">
        <w:rPr>
          <w:rFonts w:asciiTheme="majorHAnsi" w:hAnsiTheme="majorHAnsi"/>
          <w:sz w:val="24"/>
          <w:szCs w:val="24"/>
        </w:rPr>
        <w:t>Ensure fair representation across departments</w:t>
      </w:r>
    </w:p>
    <w:p w:rsidR="009F4C48" w:rsidRDefault="009F4C48"/>
    <w:sectPr w:rsidR="009F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54660"/>
    <w:multiLevelType w:val="multilevel"/>
    <w:tmpl w:val="2C9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343B26"/>
    <w:multiLevelType w:val="multilevel"/>
    <w:tmpl w:val="CE7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715D99"/>
    <w:multiLevelType w:val="multilevel"/>
    <w:tmpl w:val="252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AA50EC"/>
    <w:multiLevelType w:val="multilevel"/>
    <w:tmpl w:val="47C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1B2EAA"/>
    <w:multiLevelType w:val="multilevel"/>
    <w:tmpl w:val="D96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D02947"/>
    <w:multiLevelType w:val="multilevel"/>
    <w:tmpl w:val="665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586"/>
    <w:rsid w:val="005B7586"/>
    <w:rsid w:val="008B0065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7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758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75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5B7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7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758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758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sselectedend">
    <w:name w:val="isselectedend"/>
    <w:basedOn w:val="Normal"/>
    <w:rsid w:val="005B7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0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2026-04-02T15:44:00Z</dcterms:created>
  <dcterms:modified xsi:type="dcterms:W3CDTF">2026-04-02T15:46:00Z</dcterms:modified>
</cp:coreProperties>
</file>