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32"/>
        </w:rPr>
        <w:t>LAPORAN ANALISIS KORELASI EMPIRIS</w:t>
      </w:r>
    </w:p>
    <w:p>
      <w:pPr>
        <w:spacing w:after="360"/>
      </w:pPr>
      <w:r>
        <w:rPr>
          <w:i/>
          <w:color w:val="666666"/>
          <w:sz w:val="22"/>
        </w:rPr>
        <w:t>Validasi Statistik Pemantauan Kompetensi Terhadap Responsivitas Kerja Karyawan Kilang</w:t>
      </w:r>
    </w:p>
    <w:p>
      <w:pPr>
        <w:spacing w:after="360"/>
      </w:pPr>
      <w:r>
        <w:rPr>
          <w:color w:val="666666"/>
          <w:sz w:val="19"/>
        </w:rPr>
        <w:t>Dokumen Rujukan: (3) Jurnal Ilmiah (Ogoun &amp; Tamunosiki-Amadi, 2023) | (4) Risalah Inovasi Gugus PROTON PT KPB (2026)</w:t>
      </w:r>
    </w:p>
    <w:p>
      <w:pPr>
        <w:spacing w:after="240"/>
      </w:pPr>
      <w:r>
        <w:t>Analisis ini menyusun hubungan empiris dan operasional antara data kuantitatif penelitian kompetensi dengan realisasi proyek inovasi di lapangan. Jika korelasi sebelumnya berada pada tataran manajemen perubahan teoretis makro, maka korelasi antara Dokumen 3 (Jurnal Kuantitatif) dan Dokumen 4 (Risalah Inovasi PT KPB) berada pada tataran validasi statistik serta pemenuhan dimensi responsivitas nyata dari para pekerja frontliner di lapangan.</w:t>
      </w:r>
    </w:p>
    <w:p>
      <w:pPr>
        <w:keepNext/>
        <w:spacing w:before="280" w:after="80"/>
      </w:pPr>
      <w:r>
        <w:rPr>
          <w:rFonts w:ascii="Times New Roman" w:hAnsi="Times New Roman"/>
          <w:b/>
          <w:color w:val="1B365D"/>
          <w:sz w:val="24"/>
        </w:rPr>
        <w:t>1. Pembuktian Empiris Hubungan Antara Competence Monitoring dan Employee Responsiveness</w:t>
      </w:r>
    </w:p>
    <w:p>
      <w:r>
        <w:t>Dokumen 3 menetapkan landasan empiris kuantitatif yang kuat bahwa Competence Monitoring (Pemantauan Kompetensi) memiliki pengaruh positif dan signifikan terhadap peningkatan Employee Responsiveness (Responsivitas Karyawan). Penelitian tersebut menyimpulkan bahwa pengelolaan kompetensi secara efektif menjadi instrumen paling kritikal dalam menghadapi lingkungan korporasi yang dinamis, kompleks, dan tidak menentu.</w:t>
      </w:r>
    </w:p>
    <w:p>
      <w:r>
        <w:t>Risalah inovasi pada Dokumen 4 merupakan artifak teknologi nyata (enabler) yang secara sadar dirancang manajemen PT KPB untuk mengoperasionalisasikan pemantauan kompetensi tersebut. Tanpa adanya platform digital seperti Web HC Portal yang dikembangkan tim PROTON, aktivitas pemantauan kompetensi secara kontinu, objektif, dan real-time seperti yang disyaratkan dalam parameter ilmiah Dokumen 3 mustahil untuk dicapai.</w:t>
      </w:r>
    </w:p>
    <w:p>
      <w:pPr>
        <w:keepNext/>
        <w:spacing w:before="280" w:after="80"/>
      </w:pPr>
      <w:r>
        <w:rPr>
          <w:rFonts w:ascii="Times New Roman" w:hAnsi="Times New Roman"/>
          <w:b/>
          <w:color w:val="1B365D"/>
          <w:sz w:val="24"/>
        </w:rPr>
        <w:t>2. Korelasi Parameter Hasil Berdasarkan Dimensi Responsivitas Karyawan</w:t>
      </w:r>
    </w:p>
    <w:p>
      <w:r>
        <w:t>Melalui pengujian statistik inferensial (Spearman Rank Order Correlation), Dokumen 3 memecah parameter responsivitas karyawan ke dalam tiga dimensi utama: Timeliness (Ketepatan Waktu), Innovativeness (Inovativitas), dan Task Alertness (Kewaspadaan Tugas). Ketiga temuan angka statistik ini berkorelasi lurus dengan target pencapaian Panca Mutu (Quality, Cost, Delivery, HSSE, Moral) yang dicanangkan oleh Gugus PROTON pada Dokumen 4:</w:t>
      </w:r>
    </w:p>
    <w:p>
      <w:pPr>
        <w:pStyle w:val="ListBullet"/>
        <w:spacing w:after="60"/>
      </w:pPr>
      <w:r>
        <w:rPr>
          <w:rFonts w:ascii="Times New Roman" w:hAnsi="Times New Roman"/>
          <w:b/>
        </w:rPr>
        <w:t xml:space="preserve">Dimensi Timeliness / Ketepatan Waktu: </w:t>
      </w:r>
      <w:r>
        <w:rPr>
          <w:rFonts w:ascii="Times New Roman" w:hAnsi="Times New Roman"/>
        </w:rPr>
        <w:t>Hasil SPSS Dokumen 3 membuktikan bahwa ketepatan waktu memiliki hubungan positif yang paling kuat terhadap pemantauan kompetensi (R = 0.777, p = 0.000). Dokumen 4 menjawab korelasi ini secara mutlak pada aspek target 'Delivery'. Pengalihan sistem dari monitoring progress manual (berbasis Excel spreadsheet) ke Web HC Portal berhasil memangkas waktu rekapitulasi data secara instan, sehingga hasil evaluasi kompetensi dapat diakses real-time oleh pekerja guna menghindari keterlambatan kesiapan operasi.</w:t>
      </w:r>
    </w:p>
    <w:p>
      <w:pPr>
        <w:pStyle w:val="ListBullet"/>
        <w:spacing w:after="60"/>
      </w:pPr>
      <w:r>
        <w:rPr>
          <w:rFonts w:ascii="Times New Roman" w:hAnsi="Times New Roman"/>
          <w:b/>
        </w:rPr>
        <w:t xml:space="preserve">Dimensi Innovativeness / Inovativitas: </w:t>
      </w:r>
      <w:r>
        <w:rPr>
          <w:rFonts w:ascii="Times New Roman" w:hAnsi="Times New Roman"/>
        </w:rPr>
        <w:t>Analisis statistik Dokumen 3 menunjukkan hubungan kuat dan signifikan antara pemantauan kompetensi dengan inovasi kerja (R = 0.610, p = 0.040). Korelasi ini termanifestasi sempurna pada aspek target 'Cost' dan 'Quality' Dokumen 4, di mana tim KPB mengeksekusi in-house development platform digital mandiri dalam kurun waktu 1 bulan saja, menghemat taksiran anggaran pengadaan jasa vendor eksternal secara masif (estimasi pembanding internal mencapai Rp 222.600.000).</w:t>
      </w:r>
    </w:p>
    <w:p>
      <w:pPr>
        <w:pStyle w:val="ListBullet"/>
        <w:spacing w:after="200"/>
      </w:pPr>
      <w:r>
        <w:rPr>
          <w:rFonts w:ascii="Times New Roman" w:hAnsi="Times New Roman"/>
          <w:b/>
        </w:rPr>
        <w:t xml:space="preserve">Dimensi Task Alertness / Kesiapan Tugas: </w:t>
      </w:r>
      <w:r>
        <w:rPr>
          <w:rFonts w:ascii="Times New Roman" w:hAnsi="Times New Roman"/>
        </w:rPr>
        <w:t>Dokumen 3 mengidentifikasi hubungan yang paling lemah namun tetap bernilai positif antara pemantauan berkala dengan kewaspadaan tugas (R = 0.190, p = 0.089). Dokumen 4 secara spesifik menargetkan parameter ini pada pemenuhan aspek target 'Moral' perusahaan. Implementasi Web HC Portal menjamin seluruh kompetensi teknis individu berada di atas passing grade resmi, sehingga pekerja frontliner 'Lebih siap melaksanakan kegiatan Commissioning &amp; Start-Up (CSU)' unit-unit kilang berisiko tinggi.</w:t>
      </w:r>
    </w:p>
    <w:p>
      <w:pPr>
        <w:keepNext/>
        <w:spacing w:before="280" w:after="80"/>
      </w:pPr>
      <w:r>
        <w:rPr>
          <w:rFonts w:ascii="Times New Roman" w:hAnsi="Times New Roman"/>
          <w:b/>
          <w:color w:val="1B365D"/>
          <w:sz w:val="24"/>
        </w:rPr>
        <w:t>3. Sinkronisasi Operasional Tahapan Pemantauan Kompetensi Kerja</w:t>
      </w:r>
    </w:p>
    <w:p>
      <w:r>
        <w:t>Dokumen 3 menguraikan bahwa sebuah sistem pemantauan kompetensi yang utuh wajib mengakomodasi tiga tahapan aktivitas utama (Zeb-Obipi, 2017), yaitu Information Gathering &amp; Evaluation, Activity Auditing, dan Feedback. Struktur Web HC Portal pada Dokumen 4 merancang otomatisasi ketiga siklus aktivitas tersebut ke dalam fungsionalitas sistem informasi digital:</w:t>
      </w:r>
    </w:p>
    <w:p>
      <w:pPr>
        <w:pStyle w:val="ListBullet"/>
        <w:spacing w:after="60"/>
      </w:pPr>
      <w:r>
        <w:rPr>
          <w:rFonts w:ascii="Times New Roman" w:hAnsi="Times New Roman"/>
          <w:b/>
        </w:rPr>
        <w:t xml:space="preserve">Information Gathering: </w:t>
      </w:r>
      <w:r>
        <w:rPr>
          <w:rFonts w:ascii="Times New Roman" w:hAnsi="Times New Roman"/>
        </w:rPr>
        <w:t>Dokumen 3 menekankan urgensi pengumpulan data area kebutuhan kompetensi berkala (competence need area). Dokumen 4 merealisasikannya melalui fitur digitalisasi rekapitulasi monitoring competency progress dan pelaksanaan online assessment terpadu.</w:t>
      </w:r>
    </w:p>
    <w:p>
      <w:pPr>
        <w:pStyle w:val="ListBullet"/>
        <w:spacing w:after="60"/>
      </w:pPr>
      <w:r>
        <w:rPr>
          <w:rFonts w:ascii="Times New Roman" w:hAnsi="Times New Roman"/>
          <w:b/>
        </w:rPr>
        <w:t xml:space="preserve">Activity Auditing: </w:t>
      </w:r>
      <w:r>
        <w:rPr>
          <w:rFonts w:ascii="Times New Roman" w:hAnsi="Times New Roman"/>
        </w:rPr>
        <w:t>Dokumen 3 mendefinisikan tahapan ini sebagai dokumentasi dan pembuktian bukti fisik pemenuhan kecakapan tugas (evidence gathering). Pada Dokumen 4, rekam jejak digital ini krusial guna memenuhi kepatuhan pengawasan audit (compliance) oleh audit consultant internasional (PT ERM Indonesia) yang ditunjuk langsung oleh pihak lender proyek RDMP RU V Balikpapan Expansion.</w:t>
      </w:r>
    </w:p>
    <w:p>
      <w:pPr>
        <w:pStyle w:val="ListBullet"/>
        <w:spacing w:after="200"/>
      </w:pPr>
      <w:r>
        <w:rPr>
          <w:rFonts w:ascii="Times New Roman" w:hAnsi="Times New Roman"/>
          <w:b/>
        </w:rPr>
        <w:t xml:space="preserve">Feedback / Umpan Balik: </w:t>
      </w:r>
      <w:r>
        <w:rPr>
          <w:rFonts w:ascii="Times New Roman" w:hAnsi="Times New Roman"/>
        </w:rPr>
        <w:t>Dokumen 3 menegaskan umpan balik yang cepat dan terjadwal (tidak setahun sekali) sangat penting agar pekerja memahami fluktuasi kinerjanya. Dokumen 4 mengadopsi prinsip ini secara transparan, di mana hasil penilaian kompetensi kini tidak hanya tertutup di fungsi fungsi Human Capital, melainkan langsung dapat diakses dan diidentifikasi kesenjangannya (competency gap) secara mandiri oleh setiap pekerja.</w:t>
      </w:r>
    </w:p>
    <w:p>
      <w:pPr>
        <w:keepNext/>
        <w:spacing w:before="320" w:after="80"/>
      </w:pPr>
      <w:r>
        <w:rPr>
          <w:rFonts w:ascii="Times New Roman" w:hAnsi="Times New Roman"/>
          <w:b/>
          <w:color w:val="1B365D"/>
          <w:sz w:val="24"/>
        </w:rPr>
        <w:t>4. Matriks Sintesis Korelasi Empiris Dan Parameter Kuantitatif</w:t>
      </w:r>
    </w:p>
    <w:tbl>
      <w:tblPr>
        <w:tblW w:type="auto" w:w="0"/>
        <w:jc w:val="center"/>
        <w:tblLook w:firstColumn="1" w:firstRow="1" w:lastColumn="0" w:lastRow="0" w:noHBand="0" w:noVBand="1" w:val="04A0"/>
        <w:tblBorders>
          <w:top w:val="single" w:sz="6" w:space="0" w:color="CCCCCC"/>
          <w:bottom w:val="single" w:sz="12" w:space="0" w:color="1B365D"/>
          <w:insideH w:val="single" w:sz="4" w:space="0" w:color="E0E0E0"/>
          <w:left w:val="none"/>
          <w:right w:val="none"/>
          <w:insideV w:val="none"/>
        </w:tblBorders>
      </w:tblPr>
      <w:tblGrid>
        <w:gridCol w:w="3010"/>
        <w:gridCol w:w="3010"/>
        <w:gridCol w:w="3010"/>
      </w:tblGrid>
      <w:tr>
        <w:trPr>
          <w:tblHeader/>
          <w:cantSplit/>
        </w:trPr>
        <w:tc>
          <w:tcPr>
            <w:tcW w:type="dxa" w:w="2016"/>
            <w:shd w:fill="1B365D"/>
            <w:tcMar>
              <w:top w:w="140" w:type="dxa"/>
              <w:bottom w:w="140" w:type="dxa"/>
              <w:left w:w="140" w:type="dxa"/>
              <w:right w:w="140" w:type="dxa"/>
            </w:tcMar>
          </w:tcPr>
          <w:p>
            <w:pPr>
              <w:jc w:val="center"/>
            </w:pPr>
            <w:r>
              <w:rPr>
                <w:rFonts w:ascii="Times New Roman" w:hAnsi="Times New Roman"/>
                <w:b/>
                <w:color w:val="FFFFFF"/>
                <w:sz w:val="20"/>
              </w:rPr>
              <w:t>Dimensi Analisis</w:t>
            </w:r>
          </w:p>
        </w:tc>
        <w:tc>
          <w:tcPr>
            <w:tcW w:type="dxa" w:w="3528"/>
            <w:shd w:fill="1B365D"/>
            <w:tcMar>
              <w:top w:w="140" w:type="dxa"/>
              <w:bottom w:w="140" w:type="dxa"/>
              <w:left w:w="140" w:type="dxa"/>
              <w:right w:w="140" w:type="dxa"/>
            </w:tcMar>
          </w:tcPr>
          <w:p>
            <w:pPr>
              <w:jc w:val="center"/>
            </w:pPr>
            <w:r>
              <w:rPr>
                <w:rFonts w:ascii="Times New Roman" w:hAnsi="Times New Roman"/>
                <w:b/>
                <w:color w:val="FFFFFF"/>
                <w:sz w:val="20"/>
              </w:rPr>
              <w:t>Dokumen 3 (Landasan Statistik Inferensial)</w:t>
            </w:r>
          </w:p>
        </w:tc>
        <w:tc>
          <w:tcPr>
            <w:tcW w:type="dxa" w:w="3528"/>
            <w:shd w:fill="1B365D"/>
            <w:tcMar>
              <w:top w:w="140" w:type="dxa"/>
              <w:bottom w:w="140" w:type="dxa"/>
              <w:left w:w="140" w:type="dxa"/>
              <w:right w:w="140" w:type="dxa"/>
            </w:tcMar>
          </w:tcPr>
          <w:p>
            <w:pPr>
              <w:jc w:val="center"/>
            </w:pPr>
            <w:r>
              <w:rPr>
                <w:rFonts w:ascii="Times New Roman" w:hAnsi="Times New Roman"/>
                <w:b/>
                <w:color w:val="FFFFFF"/>
                <w:sz w:val="20"/>
              </w:rPr>
              <w:t>Dokumen 4 (Realisasi Inovasi Gugus PROTON)</w:t>
            </w:r>
          </w:p>
        </w:tc>
      </w:tr>
      <w:tr>
        <w:trPr>
          <w:cantSplit/>
        </w:trPr>
        <w:tc>
          <w:tcPr>
            <w:tcW w:type="dxa" w:w="2016"/>
            <w:tcMar>
              <w:top w:w="120" w:type="dxa"/>
              <w:bottom w:w="120" w:type="dxa"/>
              <w:left w:w="140" w:type="dxa"/>
              <w:right w:w="140" w:type="dxa"/>
            </w:tcMar>
            <w:vAlign w:val="center"/>
            <w:shd w:fill="F8FAFC"/>
          </w:tcPr>
          <w:p>
            <w:pPr>
              <w:spacing w:line="276" w:lineRule="auto" w:after="0"/>
            </w:pPr>
            <w:r>
              <w:rPr>
                <w:rFonts w:ascii="Times New Roman" w:hAnsi="Times New Roman"/>
                <w:b/>
                <w:color w:val="1B365D"/>
                <w:sz w:val="19"/>
              </w:rPr>
              <w:t>Fokus Utama</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Membuktikan secara statistik pengaruh signifikan competence monitoring terhadap responsivitas organisasi.</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Membangun sistem informasi HC Portal sebagai platform manajemen kompetensi frontliner kilang.</w:t>
            </w:r>
          </w:p>
        </w:tc>
      </w:tr>
      <w:tr>
        <w:trPr>
          <w:cantSplit/>
        </w:trPr>
        <w:tc>
          <w:tcPr>
            <w:tcW w:type="dxa" w:w="2016"/>
            <w:tcMar>
              <w:top w:w="120" w:type="dxa"/>
              <w:bottom w:w="120" w:type="dxa"/>
              <w:left w:w="140" w:type="dxa"/>
              <w:right w:w="140" w:type="dxa"/>
            </w:tcMar>
            <w:vAlign w:val="center"/>
          </w:tcPr>
          <w:p>
            <w:pPr>
              <w:spacing w:line="276" w:lineRule="auto" w:after="0"/>
            </w:pPr>
            <w:r>
              <w:rPr>
                <w:rFonts w:ascii="Times New Roman" w:hAnsi="Times New Roman"/>
                <w:b/>
                <w:color w:val="1B365D"/>
                <w:sz w:val="19"/>
              </w:rPr>
              <w:t>Korelasi Timeliness</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Punctuality mencatatkan nilai hubungan paling kuat dan dominan dalam uji SPSS (R = 0.777, p = 0.000).</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Parameter 'Delivery': Otomatisasi data mengeliminasi keterlambatan birokrasi rekap manual Excel.</w:t>
            </w:r>
          </w:p>
        </w:tc>
      </w:tr>
      <w:tr>
        <w:trPr>
          <w:cantSplit/>
        </w:trPr>
        <w:tc>
          <w:tcPr>
            <w:tcW w:type="dxa" w:w="2016"/>
            <w:tcMar>
              <w:top w:w="120" w:type="dxa"/>
              <w:bottom w:w="120" w:type="dxa"/>
              <w:left w:w="140" w:type="dxa"/>
              <w:right w:w="140" w:type="dxa"/>
            </w:tcMar>
            <w:vAlign w:val="center"/>
            <w:shd w:fill="F8FAFC"/>
          </w:tcPr>
          <w:p>
            <w:pPr>
              <w:spacing w:line="276" w:lineRule="auto" w:after="0"/>
            </w:pPr>
            <w:r>
              <w:rPr>
                <w:rFonts w:ascii="Times New Roman" w:hAnsi="Times New Roman"/>
                <w:b/>
                <w:color w:val="1B365D"/>
                <w:sz w:val="19"/>
              </w:rPr>
              <w:t>Korelasi Innovativeness</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Inovasi sistem kerja terbukti bergantung linier pada intensitas pemantauan (R = 0.610, p = 0.040).</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Parameter 'Cost &amp; Quality': Inovasi internal tim KPB memangkas pengadaan eksternal senilai Ratusan Juta Rupiah.</w:t>
            </w:r>
          </w:p>
        </w:tc>
      </w:tr>
      <w:tr>
        <w:trPr>
          <w:cantSplit/>
        </w:trPr>
        <w:tc>
          <w:tcPr>
            <w:tcW w:type="dxa" w:w="2016"/>
            <w:tcMar>
              <w:top w:w="120" w:type="dxa"/>
              <w:bottom w:w="120" w:type="dxa"/>
              <w:left w:w="140" w:type="dxa"/>
              <w:right w:w="140" w:type="dxa"/>
            </w:tcMar>
            <w:vAlign w:val="center"/>
          </w:tcPr>
          <w:p>
            <w:pPr>
              <w:spacing w:line="276" w:lineRule="auto" w:after="0"/>
            </w:pPr>
            <w:r>
              <w:rPr>
                <w:rFonts w:ascii="Times New Roman" w:hAnsi="Times New Roman"/>
                <w:b/>
                <w:color w:val="1B365D"/>
                <w:sz w:val="19"/>
              </w:rPr>
              <w:t>Korelasi Task Alertness</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Kewaspadaan tugas berkolerasi positif terkecil (R = 0.190) namun krusial bagi lingkungan dinamis.</w:t>
            </w:r>
          </w:p>
        </w:tc>
        <w:tc>
          <w:tcPr>
            <w:tcW w:type="dxa" w:w="3528"/>
            <w:tcMar>
              <w:top w:w="120" w:type="dxa"/>
              <w:bottom w:w="120" w:type="dxa"/>
              <w:left w:w="140" w:type="dxa"/>
              <w:right w:w="140" w:type="dxa"/>
            </w:tcMar>
            <w:vAlign w:val="center"/>
          </w:tcPr>
          <w:p>
            <w:pPr>
              <w:spacing w:line="276" w:lineRule="auto" w:after="0"/>
            </w:pPr>
            <w:r>
              <w:rPr>
                <w:rFonts w:ascii="Times New Roman" w:hAnsi="Times New Roman"/>
                <w:sz w:val="19"/>
              </w:rPr>
              <w:t>Parameter 'Moral': Memastikan pekerja frontliner melampaui passing grade menjelang fase kritis CSU kilang.</w:t>
            </w:r>
          </w:p>
        </w:tc>
      </w:tr>
      <w:tr>
        <w:trPr>
          <w:cantSplit/>
        </w:trPr>
        <w:tc>
          <w:tcPr>
            <w:tcW w:type="dxa" w:w="2016"/>
            <w:tcMar>
              <w:top w:w="120" w:type="dxa"/>
              <w:bottom w:w="120" w:type="dxa"/>
              <w:left w:w="140" w:type="dxa"/>
              <w:right w:w="140" w:type="dxa"/>
            </w:tcMar>
            <w:vAlign w:val="center"/>
            <w:shd w:fill="F8FAFC"/>
          </w:tcPr>
          <w:p>
            <w:pPr>
              <w:spacing w:line="276" w:lineRule="auto" w:after="0"/>
            </w:pPr>
            <w:r>
              <w:rPr>
                <w:rFonts w:ascii="Times New Roman" w:hAnsi="Times New Roman"/>
                <w:b/>
                <w:color w:val="1B365D"/>
                <w:sz w:val="19"/>
              </w:rPr>
              <w:t>Fungsi Akuntabilitas</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Umpan balik &amp; audit aktivitas digunakan sebagai alat evaluasi investasi modal manusia (HRM).</w:t>
            </w:r>
          </w:p>
        </w:tc>
        <w:tc>
          <w:tcPr>
            <w:tcW w:type="dxa" w:w="3528"/>
            <w:tcMar>
              <w:top w:w="120" w:type="dxa"/>
              <w:bottom w:w="120" w:type="dxa"/>
              <w:left w:w="140" w:type="dxa"/>
              <w:right w:w="140" w:type="dxa"/>
            </w:tcMar>
            <w:vAlign w:val="center"/>
            <w:shd w:fill="F8FAFC"/>
          </w:tcPr>
          <w:p>
            <w:pPr>
              <w:spacing w:line="276" w:lineRule="auto" w:after="0"/>
            </w:pPr>
            <w:r>
              <w:rPr>
                <w:rFonts w:ascii="Times New Roman" w:hAnsi="Times New Roman"/>
                <w:sz w:val="19"/>
              </w:rPr>
              <w:t>Penyediaan pangkalan data akurat guna memenuhi kebutuhan kepatuhan laporan audit konsultan lender global.</w:t>
            </w:r>
          </w:p>
        </w:tc>
      </w:tr>
    </w:tbl>
    <w:p>
      <w:pPr>
        <w:keepNext/>
        <w:spacing w:before="320" w:after="80"/>
      </w:pPr>
      <w:r>
        <w:rPr>
          <w:rFonts w:ascii="Times New Roman" w:hAnsi="Times New Roman"/>
          <w:b/>
          <w:color w:val="1B365D"/>
          <w:sz w:val="24"/>
        </w:rPr>
        <w:t>5. Kesimpulan Akhir (Executive Summary)</w:t>
      </w:r>
    </w:p>
    <w:p>
      <w:r>
        <w:rPr>
          <w:i/>
          <w:color w:val="1B365D"/>
        </w:rPr>
        <w:t>Secara konklusif, Dokumen 3 memberikan dasar pembenaran ilmiah kuantitatif (scientific justification) mengenai alasan mengapa proyek implementasi platform digital pada Dokumen 4 mutlak diperlukan oleh perusahaan. Melalui pengujian statistik inferensial, pembuktian angka pada Dokumen 3 menjamin bahwa langkah strategis Gugus PROTON PT Kilang Pertamina Balikpapan mendigitalisasi proses pemantauan kompetensi lewat Web HC Portal secara langsung berimplikasi signifikan pada peningkatan ketepatan waktu operasional (timeliness), budaya inovasi internal (innovativeness), serta kesiapan mitigasi risiko di lapangan minyak dan gas (task alertness/morale).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