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32"/>
        </w:rPr>
        <w:t>LAPORAN ANALISIS KORELASI STRATEGIS</w:t>
      </w:r>
    </w:p>
    <w:p>
      <w:pPr>
        <w:spacing w:after="360"/>
      </w:pPr>
      <w:r>
        <w:rPr>
          <w:i/>
          <w:color w:val="666666"/>
          <w:sz w:val="22"/>
        </w:rPr>
        <w:t>Integrasi Teori Kapabilitas Dinamis Organisasi Terhadap Realisasi Inovasi Praktis Web HC Portal (PROTON)</w:t>
      </w:r>
    </w:p>
    <w:p>
      <w:pPr>
        <w:spacing w:after="360"/>
      </w:pPr>
      <w:r>
        <w:rPr>
          <w:color w:val="666666"/>
          <w:sz w:val="19"/>
        </w:rPr>
        <w:t>Dokumen Rujukan: (1) Jurnal Ilmiah (Ruggiero dkk., 2026) | (2) Risalah Inovasi Gugus PROTON PT KPB (2026)</w:t>
      </w:r>
    </w:p>
    <w:p>
      <w:pPr>
        <w:spacing w:after="240"/>
      </w:pPr>
      <w:r>
        <w:t>Analisis ini menyusun korelasi struktural dan strategis antara landasan teoretis manajemen perubahan dengan implementasi praktis di lapangan. Dokumen 1 (Jurnal Ilmiah) memberikan kerangka makro mengenai manajemen kompetensi smart working dan kapabilitas dinamis organisasi, sedangkan Dokumen 2 (Risalah Inovasi) berfungsi sebagai pembuktian empiris (studi kasus) melalui pengembangan Program PROTON berbasis Web HC Portal di PT Kilang Pertamina Balikpapan (PT KPB).</w:t>
      </w:r>
    </w:p>
    <w:p>
      <w:pPr>
        <w:keepNext/>
        <w:spacing w:before="280" w:after="80"/>
      </w:pPr>
      <w:r>
        <w:rPr>
          <w:rFonts w:ascii="Times New Roman" w:hAnsi="Times New Roman"/>
          <w:b/>
          <w:color w:val="1B365D"/>
          <w:sz w:val="24"/>
        </w:rPr>
        <w:t>1. Pemetaan Matriks Kapabilitas Dinamis (Dynamic Capabilities Framework)</w:t>
      </w:r>
    </w:p>
    <w:p>
      <w:r>
        <w:t>Dokumen 1 mengintroduksi matriks analisis 2x3 yang mengintegrasikan level manajemen perubahan (Individual dan Organisasional) dengan komponen kapabilitas dinamis yang dikembangkan oleh Teece dkk., yaitu Sensing, Seizing, dan Transforming. Penerapan praktis Program PROTON (Web HC Portal) dalam Dokumen 2 secara eksplisit merefleksikan dan memvalidasi komponen-komponen makro tersebut pada level organisasi:</w:t>
      </w:r>
    </w:p>
    <w:p>
      <w:pPr>
        <w:pStyle w:val="ListBullet"/>
        <w:spacing w:after="60"/>
      </w:pPr>
      <w:r>
        <w:rPr>
          <w:rFonts w:ascii="Times New Roman" w:hAnsi="Times New Roman"/>
          <w:b/>
        </w:rPr>
        <w:t xml:space="preserve">Organizational Sensing (Mendeteksi Peluang &amp; Ancaman): </w:t>
      </w:r>
      <w:r>
        <w:rPr>
          <w:rFonts w:ascii="Times New Roman" w:hAnsi="Times New Roman"/>
        </w:rPr>
        <w:t>Dokumen 1 mendefinisikan sensing sebagai kapasitas mendeteksi regulasi baru, ancaman eksternal, dan kebutuhan kepatuhan (compliance). Pada Dokumen 2, kapabilitas ini diwujudkan melalui respons proaktif terhadap temuan audit konsultan lender global (PT ERM Indonesia) dalam kerangka Environmental &amp; Social Monitoring proyek RDMP RU V Balikpapan Expansion, serta pemenuhan Pedoman Pengelolaan Kompetensi Teknis Pertamina Holding.</w:t>
      </w:r>
    </w:p>
    <w:p>
      <w:pPr>
        <w:pStyle w:val="ListBullet"/>
        <w:spacing w:after="60"/>
      </w:pPr>
      <w:r>
        <w:rPr>
          <w:rFonts w:ascii="Times New Roman" w:hAnsi="Times New Roman"/>
          <w:b/>
        </w:rPr>
        <w:t xml:space="preserve">Organizational Seizing (Mobilisasi Sumber Daya): </w:t>
      </w:r>
      <w:r>
        <w:rPr>
          <w:rFonts w:ascii="Times New Roman" w:hAnsi="Times New Roman"/>
        </w:rPr>
        <w:t>Dokumen 1 menekankan alokasi sumber daya internal dan perumusan kebijakan baru. Dokumen 2 merealisasikan langkah ini melalui keputusan strategis manajemen untuk memberdayakan kapabilitas internal IT Programmer (In-house Development) tanpa ketergantungan pada vendor pihak ketiga, menyelesaikan platform fungsional HC Portal hanya dalam kurun waktu 1 bulan.</w:t>
      </w:r>
    </w:p>
    <w:p>
      <w:pPr>
        <w:pStyle w:val="ListBullet"/>
        <w:spacing w:after="200"/>
      </w:pPr>
      <w:r>
        <w:rPr>
          <w:rFonts w:ascii="Times New Roman" w:hAnsi="Times New Roman"/>
          <w:b/>
        </w:rPr>
        <w:t xml:space="preserve">Organizational Transforming (Transformasi Berkelanjutan): </w:t>
      </w:r>
      <w:r>
        <w:rPr>
          <w:rFonts w:ascii="Times New Roman" w:hAnsi="Times New Roman"/>
        </w:rPr>
        <w:t>Dokumen 1 menuntut rekonstruksi rutinitas struktural agar organisasi tetap relevan dan results-oriented. Dokumen 2 menjawab tantangan ini dengan mendisrupsi metode monitoring kompetensi yang semula berbasis spreadsheet manual (Excel) menjadi platform digital tersentralisasi, menjamin akurasi data mitigasi keandalan kilang secara jangka panjang.</w:t>
      </w:r>
    </w:p>
    <w:p>
      <w:pPr>
        <w:keepNext/>
        <w:spacing w:before="280" w:after="80"/>
      </w:pPr>
      <w:r>
        <w:rPr>
          <w:rFonts w:ascii="Times New Roman" w:hAnsi="Times New Roman"/>
          <w:b/>
          <w:color w:val="1B365D"/>
          <w:sz w:val="24"/>
        </w:rPr>
        <w:t>2. Validasi Empiris terhadap "Bias Organisasional" (Organizational Bias)</w:t>
      </w:r>
    </w:p>
    <w:p>
      <w:r>
        <w:t>Temuan krusial dari peninjauan sistematis pada Dokumen 1 mengindikasikan adanya bias organisasional yang kuat di mana inisiatif transformasi digital sering kali gagal jika manajemen hanya berfokus pada peningkatan kompetensi dan keterampilan individu (skills-first approach) tanpa membenahi infrastruktur sistem kerja makro di tingkat institusi.</w:t>
      </w:r>
    </w:p>
    <w:p>
      <w:r>
        <w:t>Dokumen 2 memberikan konfirmasi empiris yang sangat akurat terhadap teori tersebut. Berdasarkan analisis akar masalah menggunakan Diagram Fishbone dan FMEA (Failure Mode and Effects Analysis) oleh Gugus PROTON, ditemukan bahwa keterbatasan kapabilitas pekerja frontliner operasi bukan disebabkan oleh faktor kompetensi murni manusia (faktor Man memiliki Risk Priority Number/RPN terendah sebesar 90). Penyebab dominan yang sesungguhnya bersifat sistemik-organisasional, yaitu pada aspek Machine (ketiadaan platform monitoring terintegrasi) dan Method (sistem penilaian yang terfragmentasi) yang mencatatkan nilai RPN tertinggi (masing-masing 140). Intervensi berupa pembuatan Web HC Portal adalah solusi sistemik sebagaimana direkomendasikan pada Dokumen 1.</w:t>
      </w:r>
    </w:p>
    <w:p>
      <w:pPr>
        <w:keepNext/>
        <w:spacing w:before="280" w:after="80"/>
      </w:pPr>
      <w:r>
        <w:rPr>
          <w:rFonts w:ascii="Times New Roman" w:hAnsi="Times New Roman"/>
          <w:b/>
          <w:color w:val="1B365D"/>
          <w:sz w:val="24"/>
        </w:rPr>
        <w:t>3. Adaptasi Struktural Terhadap Kontingensi dan Tekanan Eksternal</w:t>
      </w:r>
    </w:p>
    <w:p>
      <w:r>
        <w:t>Dokumen 1 mengkritik keterbatasan literatur konvensional yang kerap mengabaikan pengaruh kondisi kontingensi eksternal, seperti tekanan birokrasi, kepatuhan hukum, dan tuntutan akuntabilitas publik dalam proses adopsi teknologi. Ruggiero dkk. menegaskan bahwa inovasi digital wajib berjalan selaras dengan spesifikasi kelembagaan.</w:t>
      </w:r>
    </w:p>
    <w:p>
      <w:r>
        <w:t>Korelasi ini terlihat jelas pada Dokumen 2, di mana akselerasi pengembangan Program PROTON dipicu langsung oleh dua variabel kontingensi eksternal utama: pertama, kewajiban pematuhan regulasi internal korporasi melalui Pedoman Pengelolaan Kompetensi Teknis Direktorat SDM PT Pertamina (Persero); kedua, kewajiban penyediaan bukti audit performa kompetensi untuk menjamin kucuran dana dari pihak lender internasional (penyedia finansial proyek RDMP Balikpapan). Teknologi diadopsi bukan semata demi digitalisasi, melainkan sebagai instrumen kepatuhan institusional baku.</w:t>
      </w:r>
    </w:p>
    <w:p>
      <w:pPr>
        <w:keepNext/>
        <w:spacing w:before="280" w:after="80"/>
      </w:pPr>
      <w:r>
        <w:rPr>
          <w:rFonts w:ascii="Times New Roman" w:hAnsi="Times New Roman"/>
          <w:b/>
          <w:color w:val="1B365D"/>
          <w:sz w:val="24"/>
        </w:rPr>
        <w:t>4. Sinkronisasi Individual Development Plan (IDP) dengan Kinerja Makro Organisasi</w:t>
      </w:r>
    </w:p>
    <w:p>
      <w:r>
        <w:t>Dokumen 1 mendebat anggapan umum bahwa akumulasi linier dari kompetensi individu otomatis meningkatkan performa organisasi. Dibutuhkan rutinitas tata kerja yang jelas dan struktur koordinasi terlembaga untuk mentransformasikan kapasitas mikro individu menjadi kapabilitas makro organisasi.</w:t>
      </w:r>
    </w:p>
    <w:p>
      <w:r>
        <w:t>Pada Dokumen 2, jembatan struktural ini diwujudkan dengan mengintegrasikan matriks penyusunan Individual Development Plan (IDP) setiap pekerja secara vertikal ke dalam Kamus Direktori Kompetensi Teknis Pertamina. Keberhasilan program ini diukur melampaui indikator edukasi dasar, melainkan dikaitkan langsung dengan indikator kinerja operasional kilang nyata, yang diringkas ke dalam parameter Panca Mutu Perusahaan (Quality, Cost, Delivery, HSSE, dan Moral).</w:t>
      </w:r>
    </w:p>
    <w:p>
      <w:pPr>
        <w:keepNext/>
        <w:spacing w:before="320" w:after="80"/>
      </w:pPr>
      <w:r>
        <w:rPr>
          <w:rFonts w:ascii="Times New Roman" w:hAnsi="Times New Roman"/>
          <w:b/>
          <w:color w:val="1B365D"/>
          <w:sz w:val="24"/>
        </w:rPr>
        <w:t>5. Matriks Sintesis Korelasi Teoretis-Praktis</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0E0E0"/>
          <w:left w:val="none"/>
          <w:right w:val="none"/>
          <w:insideV w:val="none"/>
        </w:tblBorders>
      </w:tblPr>
      <w:tblGrid>
        <w:gridCol w:w="3010"/>
        <w:gridCol w:w="3010"/>
        <w:gridCol w:w="3010"/>
      </w:tblGrid>
      <w:tr>
        <w:trPr>
          <w:tblHeader/>
          <w:cantSplit/>
        </w:trPr>
        <w:tc>
          <w:tcPr>
            <w:tcW w:type="dxa" w:w="2016"/>
            <w:shd w:fill="1B365D"/>
            <w:tcMar>
              <w:top w:w="140" w:type="dxa"/>
              <w:bottom w:w="140" w:type="dxa"/>
              <w:left w:w="140" w:type="dxa"/>
              <w:right w:w="140" w:type="dxa"/>
            </w:tcMar>
          </w:tcPr>
          <w:p>
            <w:pPr>
              <w:jc w:val="center"/>
            </w:pPr>
            <w:r>
              <w:rPr>
                <w:rFonts w:ascii="Times New Roman" w:hAnsi="Times New Roman"/>
                <w:b/>
                <w:color w:val="FFFFFF"/>
                <w:sz w:val="20"/>
              </w:rPr>
              <w:t>Dimensi Analisis</w:t>
            </w:r>
          </w:p>
        </w:tc>
        <w:tc>
          <w:tcPr>
            <w:tcW w:type="dxa" w:w="3528"/>
            <w:shd w:fill="1B365D"/>
            <w:tcMar>
              <w:top w:w="140" w:type="dxa"/>
              <w:bottom w:w="140" w:type="dxa"/>
              <w:left w:w="140" w:type="dxa"/>
              <w:right w:w="140" w:type="dxa"/>
            </w:tcMar>
          </w:tcPr>
          <w:p>
            <w:pPr>
              <w:jc w:val="center"/>
            </w:pPr>
            <w:r>
              <w:rPr>
                <w:rFonts w:ascii="Times New Roman" w:hAnsi="Times New Roman"/>
                <w:b/>
                <w:color w:val="FFFFFF"/>
                <w:sz w:val="20"/>
              </w:rPr>
              <w:t>Dokumen 1 (Kritik Teoretis Makro)</w:t>
            </w:r>
          </w:p>
        </w:tc>
        <w:tc>
          <w:tcPr>
            <w:tcW w:type="dxa" w:w="3528"/>
            <w:shd w:fill="1B365D"/>
            <w:tcMar>
              <w:top w:w="140" w:type="dxa"/>
              <w:bottom w:w="140" w:type="dxa"/>
              <w:left w:w="140" w:type="dxa"/>
              <w:right w:w="140" w:type="dxa"/>
            </w:tcMar>
          </w:tcPr>
          <w:p>
            <w:pPr>
              <w:jc w:val="center"/>
            </w:pPr>
            <w:r>
              <w:rPr>
                <w:rFonts w:ascii="Times New Roman" w:hAnsi="Times New Roman"/>
                <w:b/>
                <w:color w:val="FFFFFF"/>
                <w:sz w:val="20"/>
              </w:rPr>
              <w:t>Dokumen 2 (Realisasi Empiris PT KPB)</w:t>
            </w:r>
          </w:p>
        </w:tc>
      </w:tr>
      <w:tr>
        <w:trPr>
          <w:cantSplit/>
        </w:trPr>
        <w:tc>
          <w:tcPr>
            <w:tcW w:type="dxa" w:w="2016"/>
            <w:tcMar>
              <w:top w:w="120" w:type="dxa"/>
              <w:bottom w:w="120" w:type="dxa"/>
              <w:left w:w="140" w:type="dxa"/>
              <w:right w:w="140" w:type="dxa"/>
            </w:tcMar>
            <w:vAlign w:val="center"/>
            <w:shd w:fill="F8FAFC"/>
          </w:tcPr>
          <w:p>
            <w:pPr>
              <w:spacing w:line="276" w:lineRule="auto" w:after="0"/>
            </w:pPr>
            <w:r>
              <w:rPr>
                <w:rFonts w:ascii="Times New Roman" w:hAnsi="Times New Roman"/>
                <w:b/>
                <w:color w:val="1B365D"/>
                <w:sz w:val="19"/>
              </w:rPr>
              <w:t>Fokus Masalah</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Kritik atas kegagalan digitalisasi akibat pendekatan 'skills-first' tanpa penyediaan infrastruktur platform yang terorganisasi.</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Penyelesaian ketidakefektifan pengelolaan kompetensi frontliner kilang akibat sistem rekapitulasi data yang manual dan terpisah.</w:t>
            </w:r>
          </w:p>
        </w:tc>
      </w:tr>
      <w:tr>
        <w:trPr>
          <w:cantSplit/>
        </w:trPr>
        <w:tc>
          <w:tcPr>
            <w:tcW w:type="dxa" w:w="2016"/>
            <w:tcMar>
              <w:top w:w="120" w:type="dxa"/>
              <w:bottom w:w="120" w:type="dxa"/>
              <w:left w:w="140" w:type="dxa"/>
              <w:right w:w="140" w:type="dxa"/>
            </w:tcMar>
            <w:vAlign w:val="center"/>
          </w:tcPr>
          <w:p>
            <w:pPr>
              <w:spacing w:line="276" w:lineRule="auto" w:after="0"/>
            </w:pPr>
            <w:r>
              <w:rPr>
                <w:rFonts w:ascii="Times New Roman" w:hAnsi="Times New Roman"/>
                <w:b/>
                <w:color w:val="1B365D"/>
                <w:sz w:val="19"/>
              </w:rPr>
              <w:t>Akar Penyebab</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Kelemahan pada aspek koordinasi struktural, standarisasi kerja, dan kejelasan operasional manajemen.</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Hasil FMEA mengidentifikasi faktor Machine (Platform) dan Method (Metode) sebagai penyebab dominan (RPN 140), bukan kapasitas intrinsik manusia (Man RPN 90).</w:t>
            </w:r>
          </w:p>
        </w:tc>
      </w:tr>
      <w:tr>
        <w:trPr>
          <w:cantSplit/>
        </w:trPr>
        <w:tc>
          <w:tcPr>
            <w:tcW w:type="dxa" w:w="2016"/>
            <w:tcMar>
              <w:top w:w="120" w:type="dxa"/>
              <w:bottom w:w="120" w:type="dxa"/>
              <w:left w:w="140" w:type="dxa"/>
              <w:right w:w="140" w:type="dxa"/>
            </w:tcMar>
            <w:vAlign w:val="center"/>
            <w:shd w:fill="F8FAFC"/>
          </w:tcPr>
          <w:p>
            <w:pPr>
              <w:spacing w:line="276" w:lineRule="auto" w:after="0"/>
            </w:pPr>
            <w:r>
              <w:rPr>
                <w:rFonts w:ascii="Times New Roman" w:hAnsi="Times New Roman"/>
                <w:b/>
                <w:color w:val="1B365D"/>
                <w:sz w:val="19"/>
              </w:rPr>
              <w:t>Metode Adaptasi</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Menyarankan kerangka kerja integratif guna mengonversi kompetensi mikro individu menjadi kapabilitas makro organisasi.</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Membangun Web HC Portal sebagai pangkalan data terpadu untuk menyelaraskan IDP pekerja dengan regulasi kompetensi holding.</w:t>
            </w:r>
          </w:p>
        </w:tc>
      </w:tr>
      <w:tr>
        <w:trPr>
          <w:cantSplit/>
        </w:trPr>
        <w:tc>
          <w:tcPr>
            <w:tcW w:type="dxa" w:w="2016"/>
            <w:tcMar>
              <w:top w:w="120" w:type="dxa"/>
              <w:bottom w:w="120" w:type="dxa"/>
              <w:left w:w="140" w:type="dxa"/>
              <w:right w:w="140" w:type="dxa"/>
            </w:tcMar>
            <w:vAlign w:val="center"/>
          </w:tcPr>
          <w:p>
            <w:pPr>
              <w:spacing w:line="276" w:lineRule="auto" w:after="0"/>
            </w:pPr>
            <w:r>
              <w:rPr>
                <w:rFonts w:ascii="Times New Roman" w:hAnsi="Times New Roman"/>
                <w:b/>
                <w:color w:val="1B365D"/>
                <w:sz w:val="19"/>
              </w:rPr>
              <w:t>Metrik Evaluasi</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Penilaian performa wajib bersifat berorientasi hasil (results-oriented) dan melekat pada kualitas layanan.</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Pengukuran kesuksesan terikat langsung pada parameter korporasi Panca Mutu (pencapaian passing grade, efisiensi biaya, akurasi data audit).</w:t>
            </w:r>
          </w:p>
        </w:tc>
      </w:tr>
    </w:tbl>
    <w:p>
      <w:pPr>
        <w:keepNext/>
        <w:spacing w:before="320" w:after="80"/>
      </w:pPr>
      <w:r>
        <w:rPr>
          <w:rFonts w:ascii="Times New Roman" w:hAnsi="Times New Roman"/>
          <w:b/>
          <w:color w:val="1B365D"/>
          <w:sz w:val="24"/>
        </w:rPr>
        <w:t>6. Kesimpulan Akhir (Executive Summary)</w:t>
      </w:r>
    </w:p>
    <w:p>
      <w:r>
        <w:rPr>
          <w:i/>
          <w:color w:val="1B365D"/>
        </w:rPr>
        <w:t>Secara konklusif, Dokumen 2 merupakan manifestasi riil dan aplikatif dari hipotesis serta rekomendasi strategis yang diajukan dalam Dokumen 1. Jurnal ilmiah (Dokumen 1) menekankan bahwa keberhasilan transformasi kapabilitas organisasi digital mensyaratkan adanya intervensi struktural, komitmen kepemimpinan, dan penyediaan platform yang terintegrasi. Hal inilah yang dibuktikan secara empiris oleh PT Kilang Pertamina Balikpapan melalui keberhasilan Gugus PROTON dalam merancang, membangun, dan mengoperasikan Web HC Portal sebagai instrumen kepatuhan dan keandalan operasi kilang nasional.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