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28"/>
          <w:szCs w:val="28"/>
        </w:rPr>
        <w:t xml:space="preserve">MECHANICAL PROPERTIES OF MATERIALS</w:t>
      </w:r>
    </w:p>
    <w:p>
      <w:pPr>
        <w:spacing w:after="600"/>
        <w:jc w:val="center"/>
      </w:pPr>
      <w:r>
        <w:rPr>
          <w:sz w:val="24"/>
          <w:szCs w:val="24"/>
        </w:rPr>
        <w:t xml:space="preserve">Laboratory Report</w:t>
      </w:r>
    </w:p>
    <w:p>
      <w:pPr>
        <w:spacing w:after="240"/>
        <w:jc w:val="center"/>
      </w:pPr>
      <w:r>
        <w:rPr>
          <w:b/>
          <w:bCs/>
        </w:rPr>
        <w:t xml:space="preserve">Title:</w:t>
      </w:r>
    </w:p>
    <w:p>
      <w:pPr>
        <w:spacing w:after="120" w:before="60"/>
      </w:pPr>
      <w:r>
        <w:rPr>
          <w:color w:val="888888"/>
        </w:rPr>
        <w:t xml:space="preserve">[ </w:t>
      </w:r>
      <w:r>
        <w:rPr>
          <w:i/>
          <w:iCs/>
          <w:color w:val="888888"/>
        </w:rPr>
        <w:t xml:space="preserve">Type a specific title — name the material class, the property measured, and the technique</w:t>
      </w:r>
      <w:r>
        <w:rPr>
          <w:color w:val="888888"/>
        </w:rPr>
        <w:t xml:space="preserve"> ]</w:t>
      </w:r>
    </w:p>
    <w:p>
      <w:pPr>
        <w:spacing w:after="200" w:before="400"/>
        <w:jc w:val="center"/>
      </w:pPr>
      <w:r>
        <w:rPr>
          <w:b/>
          <w:bCs/>
        </w:rPr>
        <w:t xml:space="preserve">Author(s):</w:t>
      </w:r>
    </w:p>
    <w:p>
      <w:pPr>
        <w:spacing w:after="120" w:before="60"/>
      </w:pPr>
      <w:r>
        <w:rPr>
          <w:color w:val="888888"/>
        </w:rPr>
        <w:t xml:space="preserve">[ </w:t>
      </w:r>
      <w:r>
        <w:rPr>
          <w:i/>
          <w:iCs/>
          <w:color w:val="888888"/>
        </w:rPr>
        <w:t xml:space="preserve">Your name(s)</w:t>
      </w:r>
      <w:r>
        <w:rPr>
          <w:color w:val="888888"/>
        </w:rPr>
        <w:t xml:space="preserve"> ]</w:t>
      </w:r>
    </w:p>
    <w:p>
      <w:pPr>
        <w:spacing w:after="200" w:before="200"/>
        <w:jc w:val="center"/>
      </w:pPr>
      <w:r>
        <w:rPr>
          <w:b/>
          <w:bCs/>
        </w:rPr>
        <w:t xml:space="preserve">Course / Group:</w:t>
      </w:r>
    </w:p>
    <w:p>
      <w:pPr>
        <w:spacing w:after="120" w:before="60"/>
      </w:pPr>
      <w:r>
        <w:rPr>
          <w:color w:val="888888"/>
        </w:rPr>
        <w:t xml:space="preserve">[ </w:t>
      </w:r>
      <w:r>
        <w:rPr>
          <w:i/>
          <w:iCs/>
          <w:color w:val="888888"/>
        </w:rPr>
        <w:t xml:space="preserve">Course code, group number</w:t>
      </w:r>
      <w:r>
        <w:rPr>
          <w:color w:val="888888"/>
        </w:rPr>
        <w:t xml:space="preserve"> ]</w:t>
      </w:r>
    </w:p>
    <w:p>
      <w:pPr>
        <w:spacing w:after="200" w:before="200"/>
        <w:jc w:val="center"/>
      </w:pPr>
      <w:r>
        <w:rPr>
          <w:b/>
          <w:bCs/>
        </w:rPr>
        <w:t xml:space="preserve">Date:</w:t>
      </w:r>
    </w:p>
    <w:p>
      <w:pPr>
        <w:spacing w:after="120" w:before="60"/>
      </w:pPr>
      <w:r>
        <w:rPr>
          <w:color w:val="888888"/>
        </w:rPr>
        <w:t xml:space="preserve">[ </w:t>
      </w:r>
      <w:r>
        <w:rPr>
          <w:i/>
          <w:iCs/>
          <w:color w:val="888888"/>
        </w:rPr>
        <w:t xml:space="preserve">dd / mm / yyyy</w:t>
      </w:r>
      <w:r>
        <w:rPr>
          <w:color w:val="888888"/>
        </w:rPr>
        <w:t xml:space="preserve"> ]</w:t>
      </w:r>
    </w:p>
    <w:p>
      <w:pPr>
        <w:spacing w:before="800"/>
        <w:jc w:val="center"/>
      </w:pPr>
      <w:r>
        <w:rPr>
          <w:i/>
          <w:iCs/>
        </w:rPr>
        <w:t xml:space="preserve">Standards followed: </w:t>
      </w:r>
      <w:r>
        <w:rPr>
          <w:i/>
          <w:iCs/>
          <w:color w:val="555555"/>
        </w:rPr>
        <w:t xml:space="preserve">ASTM E8/E8M-25; ISO 6892-1:2019</w:t>
      </w:r>
    </w:p>
    <w:p>
      <w:r>
        <w:br w:type="page"/>
      </w:r>
    </w:p>
    <w:p>
      <w:pPr>
        <w:pStyle w:val="Heading1"/>
        <w:spacing w:after="200" w:before="360"/>
      </w:pPr>
      <w:r>
        <w:t xml:space="preserve">Abstract</w:t>
      </w:r>
    </w:p>
    <w:p>
      <w:pPr>
        <w:spacing w:after="120" w:line="320"/>
        <w:jc w:val="both"/>
      </w:pPr>
      <w:r>
        <w:rPr>
          <w:i/>
          <w:iCs/>
          <w:color w:val="555555"/>
        </w:rPr>
        <w:t xml:space="preserve">Write 150–200 words covering, in order: </w:t>
      </w:r>
      <w:r>
        <w:rPr>
          <w:i/>
          <w:iCs/>
          <w:color w:val="555555"/>
        </w:rPr>
        <w:t xml:space="preserve">(i) why mechanical properties matter, (ii) the objective of this work, </w:t>
      </w:r>
      <w:r>
        <w:rPr>
          <w:i/>
          <w:iCs/>
          <w:color w:val="555555"/>
        </w:rPr>
        <w:t xml:space="preserve">(iii) the method used (virtual uniaxial tensile tests at </w:t>
      </w:r>
      <w:r>
        <w:rPr>
          <w:rFonts w:ascii="Cambria Math" w:cs="Cambria Math" w:eastAsia="Cambria Math" w:hAnsi="Cambria Math"/>
          <w:i/>
          <w:iCs/>
        </w:rPr>
        <w:t xml:space="preserve">ε̇ = 10⁻³ s⁻¹</w:t>
      </w:r>
      <w:r>
        <w:rPr>
          <w:i/>
          <w:iCs/>
          <w:color w:val="555555"/>
        </w:rPr>
        <w:t xml:space="preserve">), (iv) at least three numerical results (</w:t>
      </w:r>
      <w:r>
        <w:rPr>
          <w:rFonts w:ascii="Cambria Math" w:cs="Cambria Math" w:eastAsia="Cambria Math" w:hAnsi="Cambria Math"/>
          <w:i/>
          <w:iCs/>
        </w:rPr>
        <w:t xml:space="preserve">E</w:t>
      </w:r>
      <w:r>
        <w:rPr>
          <w:i/>
          <w:iCs/>
          <w:color w:val="555555"/>
        </w:rPr>
        <w:t xml:space="preserve">, </w:t>
      </w:r>
      <w:r>
        <w:rPr>
          <w:rFonts w:ascii="Cambria Math" w:cs="Cambria Math" w:eastAsia="Cambria Math" w:hAnsi="Cambria Math"/>
          <w:i/>
          <w:iCs/>
        </w:rPr>
        <w:t xml:space="preserve">σ_y</w:t>
      </w:r>
      <w:r>
        <w:rPr>
          <w:i/>
          <w:iCs/>
          <w:color w:val="555555"/>
        </w:rPr>
        <w:t xml:space="preserve">, </w:t>
      </w:r>
      <w:r>
        <w:rPr>
          <w:rFonts w:ascii="Cambria Math" w:cs="Cambria Math" w:eastAsia="Cambria Math" w:hAnsi="Cambria Math"/>
          <w:i/>
          <w:iCs/>
        </w:rPr>
        <w:t xml:space="preserve">k_y</w:t>
      </w:r>
      <w:r>
        <w:rPr>
          <w:i/>
          <w:iCs/>
          <w:color w:val="555555"/>
        </w:rPr>
        <w:t xml:space="preserve">, etc.), and (v) one short conclusion.</w:t>
      </w:r>
    </w:p>
    <w:p>
      <w:pPr>
        <w:spacing w:after="120" w:before="60"/>
      </w:pPr>
      <w:r>
        <w:rPr>
          <w:color w:val="888888"/>
        </w:rPr>
        <w:t xml:space="preserve">[ </w:t>
      </w:r>
      <w:r>
        <w:rPr>
          <w:i/>
          <w:iCs/>
          <w:color w:val="888888"/>
        </w:rPr>
        <w:t xml:space="preserve">Replace this paragraph with your abstract. Be quantitative. No tease — give the numbers here.</w:t>
      </w:r>
      <w:r>
        <w:rPr>
          <w:color w:val="888888"/>
        </w:rPr>
        <w:t xml:space="preserve"> ]</w:t>
      </w:r>
    </w:p>
    <w:p>
      <w:pPr>
        <w:pStyle w:val="Heading1"/>
        <w:spacing w:after="200" w:before="360"/>
      </w:pPr>
      <w:r>
        <w:t xml:space="preserve">1. Introduction and Theoretical Background</w:t>
      </w:r>
    </w:p>
    <w:p>
      <w:pPr>
        <w:spacing w:after="120" w:line="320"/>
        <w:jc w:val="both"/>
      </w:pPr>
      <w:r>
        <w:t xml:space="preserve">Briefly motivate why measuring mechanical properties is essential in materials selection (structural design, alloy development, quality control). Then introduce the equations that will appear in your Analysis. Define every symbol the first time it appears.</w:t>
      </w:r>
    </w:p>
    <w:p>
      <w:pPr>
        <w:spacing w:after="120" w:line="320"/>
        <w:jc w:val="both"/>
      </w:pPr>
      <w:r>
        <w:rPr>
          <w:b/>
          <w:bCs/>
        </w:rPr>
        <w:t xml:space="preserve">1.1 Stress, strain, and Hooke's law.</w:t>
      </w:r>
    </w:p>
    <w:p>
      <w:pPr>
        <w:spacing w:after="120" w:line="320"/>
        <w:jc w:val="both"/>
      </w:pPr>
      <w:r>
        <w:t xml:space="preserve">Engineering stress </w:t>
      </w:r>
      <w:r>
        <w:rPr>
          <w:rFonts w:ascii="Cambria Math" w:cs="Cambria Math" w:eastAsia="Cambria Math" w:hAnsi="Cambria Math"/>
          <w:i/>
          <w:iCs/>
        </w:rPr>
        <w:t xml:space="preserve">σ</w:t>
      </w:r>
      <w:r>
        <w:t xml:space="preserve"> and engineering strain </w:t>
      </w:r>
      <w:r>
        <w:rPr>
          <w:rFonts w:ascii="Cambria Math" w:cs="Cambria Math" w:eastAsia="Cambria Math" w:hAnsi="Cambria Math"/>
          <w:i/>
          <w:iCs/>
        </w:rPr>
        <w:t xml:space="preserve">ε</w:t>
      </w:r>
      <w:r>
        <w:t xml:space="preserve"> are computed from the applied load </w:t>
      </w:r>
      <w:r>
        <w:rPr>
          <w:rFonts w:ascii="Cambria Math" w:cs="Cambria Math" w:eastAsia="Cambria Math" w:hAnsi="Cambria Math"/>
          <w:i/>
          <w:iCs/>
        </w:rPr>
        <w:t xml:space="preserve">F</w:t>
      </w:r>
      <w:r>
        <w:t xml:space="preserve">, initial cross-section </w:t>
      </w:r>
      <w:r>
        <w:rPr>
          <w:rFonts w:ascii="Cambria Math" w:cs="Cambria Math" w:eastAsia="Cambria Math" w:hAnsi="Cambria Math"/>
          <w:i/>
          <w:iCs/>
        </w:rPr>
        <w:t xml:space="preserve">A₀</w:t>
      </w:r>
      <w:r>
        <w:t xml:space="preserve">, initial gauge length </w:t>
      </w:r>
      <w:r>
        <w:rPr>
          <w:rFonts w:ascii="Cambria Math" w:cs="Cambria Math" w:eastAsia="Cambria Math" w:hAnsi="Cambria Math"/>
          <w:i/>
          <w:iCs/>
        </w:rPr>
        <w:t xml:space="preserve">L₀</w:t>
      </w:r>
      <w:r>
        <w:t xml:space="preserve">, and current elongation </w:t>
      </w:r>
      <w:r>
        <w:rPr>
          <w:rFonts w:ascii="Cambria Math" w:cs="Cambria Math" w:eastAsia="Cambria Math" w:hAnsi="Cambria Math"/>
          <w:i/>
          <w:iCs/>
        </w:rPr>
        <w:t xml:space="preserve">ΔL</w:t>
      </w:r>
      <w:r>
        <w:t xml:space="preserve">:</w:t>
      </w:r>
    </w:p>
    <w:p>
      <w:pPr>
        <w:spacing w:after="200" w:before="120"/>
        <w:jc w:val="center"/>
      </w:pPr>
      <w:r>
        <w:rPr>
          <w:rFonts w:ascii="Cambria Math" w:cs="Cambria Math" w:eastAsia="Cambria Math" w:hAnsi="Cambria Math"/>
          <w:i/>
          <w:iCs/>
        </w:rPr>
        <w:t xml:space="preserve">σ = F / A₀          ε = ΔL / L₀</w:t>
      </w:r>
    </w:p>
    <w:p>
      <w:pPr>
        <w:spacing w:after="120" w:line="320"/>
        <w:jc w:val="both"/>
      </w:pPr>
      <w:r>
        <w:t xml:space="preserve">In the linear elastic regime they are related by Hooke's law,</w:t>
      </w:r>
    </w:p>
    <w:p>
      <w:pPr>
        <w:spacing w:after="200" w:before="120"/>
        <w:jc w:val="center"/>
      </w:pPr>
      <w:r>
        <w:rPr>
          <w:rFonts w:ascii="Cambria Math" w:cs="Cambria Math" w:eastAsia="Cambria Math" w:hAnsi="Cambria Math"/>
          <w:i/>
          <w:iCs/>
        </w:rPr>
        <w:t xml:space="preserve">σ = E · ε</w:t>
      </w:r>
    </w:p>
    <w:p>
      <w:pPr>
        <w:spacing w:after="120" w:line="320"/>
        <w:jc w:val="both"/>
      </w:pPr>
      <w:r>
        <w:t xml:space="preserve">where </w:t>
      </w:r>
      <w:r>
        <w:rPr>
          <w:rFonts w:ascii="Cambria Math" w:cs="Cambria Math" w:eastAsia="Cambria Math" w:hAnsi="Cambria Math"/>
          <w:i/>
          <w:iCs/>
        </w:rPr>
        <w:t xml:space="preserve">E</w:t>
      </w:r>
      <w:r>
        <w:t xml:space="preserve"> is Young's modulus. Beyond yielding, the engineering quantities under-report the true mechanical state because the cross-section shrinks. The true stress and true strain are</w:t>
      </w:r>
    </w:p>
    <w:p>
      <w:pPr>
        <w:spacing w:after="200" w:before="120"/>
        <w:jc w:val="center"/>
      </w:pPr>
      <w:r>
        <w:rPr>
          <w:rFonts w:ascii="Cambria Math" w:cs="Cambria Math" w:eastAsia="Cambria Math" w:hAnsi="Cambria Math"/>
          <w:i/>
          <w:iCs/>
        </w:rPr>
        <w:t xml:space="preserve">σₜ = σ (1 + ε)          εₜ = ln(1 + ε)</w:t>
      </w:r>
    </w:p>
    <w:p>
      <w:pPr>
        <w:spacing w:after="120" w:line="320"/>
        <w:jc w:val="both"/>
      </w:pPr>
      <w:r>
        <w:rPr>
          <w:b/>
          <w:bCs/>
        </w:rPr>
        <w:t xml:space="preserve">1.2 Yield strength and the strengthening mechanisms.</w:t>
      </w:r>
    </w:p>
    <w:p>
      <w:pPr>
        <w:spacing w:after="120" w:line="320"/>
        <w:jc w:val="both"/>
      </w:pPr>
      <w:r>
        <w:t xml:space="preserve">The yield strength </w:t>
      </w:r>
      <w:r>
        <w:rPr>
          <w:rFonts w:ascii="Cambria Math" w:cs="Cambria Math" w:eastAsia="Cambria Math" w:hAnsi="Cambria Math"/>
          <w:i/>
          <w:iCs/>
        </w:rPr>
        <w:t xml:space="preserve">σ_y</w:t>
      </w:r>
      <w:r>
        <w:t xml:space="preserve"> is conventionally defined by the 0.2 % offset construction (ASTM E8 §7.7.1). It is increased by four mechanisms acting in approximate superposition: lattice friction, solid-solution alloying, grain refinement, and dislocation strain hardening. Grain refinement is described quantitatively by the Hall–Petch relation,</w:t>
      </w:r>
    </w:p>
    <w:p>
      <w:pPr>
        <w:spacing w:after="200" w:before="120"/>
        <w:jc w:val="center"/>
      </w:pPr>
      <w:r>
        <w:rPr>
          <w:rFonts w:ascii="Cambria Math" w:cs="Cambria Math" w:eastAsia="Cambria Math" w:hAnsi="Cambria Math"/>
          <w:i/>
          <w:iCs/>
        </w:rPr>
        <w:t xml:space="preserve">σ_y = σ₀ + k_y / √d</w:t>
      </w:r>
    </w:p>
    <w:p>
      <w:pPr>
        <w:spacing w:after="120" w:line="320"/>
        <w:jc w:val="both"/>
      </w:pPr>
      <w:r>
        <w:t xml:space="preserve">with </w:t>
      </w:r>
      <w:r>
        <w:rPr>
          <w:rFonts w:ascii="Cambria Math" w:cs="Cambria Math" w:eastAsia="Cambria Math" w:hAnsi="Cambria Math"/>
          <w:i/>
          <w:iCs/>
        </w:rPr>
        <w:t xml:space="preserve">σ₀</w:t>
      </w:r>
      <w:r>
        <w:t xml:space="preserve"> the friction (Peierls) stress, </w:t>
      </w:r>
      <w:r>
        <w:rPr>
          <w:rFonts w:ascii="Cambria Math" w:cs="Cambria Math" w:eastAsia="Cambria Math" w:hAnsi="Cambria Math"/>
          <w:i/>
          <w:iCs/>
        </w:rPr>
        <w:t xml:space="preserve">k_y</w:t>
      </w:r>
      <w:r>
        <w:t xml:space="preserve"> the Hall–Petch coefficient, and </w:t>
      </w:r>
      <w:r>
        <w:rPr>
          <w:rFonts w:ascii="Cambria Math" w:cs="Cambria Math" w:eastAsia="Cambria Math" w:hAnsi="Cambria Math"/>
          <w:i/>
          <w:iCs/>
        </w:rPr>
        <w:t xml:space="preserve">d</w:t>
      </w:r>
      <w:r>
        <w:t xml:space="preserve"> the average grain diameter. For single-crystal slip on a system characterized by angles </w:t>
      </w:r>
      <w:r>
        <w:rPr>
          <w:rFonts w:ascii="Cambria Math" w:cs="Cambria Math" w:eastAsia="Cambria Math" w:hAnsi="Cambria Math"/>
          <w:i/>
          <w:iCs/>
        </w:rPr>
        <w:t xml:space="preserve">φ</w:t>
      </w:r>
      <w:r>
        <w:t xml:space="preserve"> (load–normal) and </w:t>
      </w:r>
      <w:r>
        <w:rPr>
          <w:rFonts w:ascii="Cambria Math" w:cs="Cambria Math" w:eastAsia="Cambria Math" w:hAnsi="Cambria Math"/>
          <w:i/>
          <w:iCs/>
        </w:rPr>
        <w:t xml:space="preserve">λ</w:t>
      </w:r>
      <w:r>
        <w:t xml:space="preserve"> (load–slip-direction), the resolved shear stress follows Schmid's law,</w:t>
      </w:r>
    </w:p>
    <w:p>
      <w:pPr>
        <w:spacing w:after="200" w:before="120"/>
        <w:jc w:val="center"/>
      </w:pPr>
      <w:r>
        <w:rPr>
          <w:rFonts w:ascii="Cambria Math" w:cs="Cambria Math" w:eastAsia="Cambria Math" w:hAnsi="Cambria Math"/>
          <w:i/>
          <w:iCs/>
        </w:rPr>
        <w:t xml:space="preserve">τ_RSS = σ · cos φ · cos λ</w:t>
      </w:r>
    </w:p>
    <w:p>
      <w:pPr>
        <w:spacing w:after="120" w:line="320"/>
        <w:jc w:val="both"/>
      </w:pPr>
      <w:r>
        <w:rPr>
          <w:b/>
          <w:bCs/>
        </w:rPr>
        <w:t xml:space="preserve">1.3 Energy stored and absorbed.</w:t>
      </w:r>
    </w:p>
    <w:p>
      <w:pPr>
        <w:spacing w:after="120" w:line="320"/>
        <w:jc w:val="both"/>
      </w:pPr>
      <w:r>
        <w:t xml:space="preserve">The modulus of resilience (energy stored elastically per unit volume up to yield) and the modulus of toughness (total energy per unit volume to fracture) are</w:t>
      </w:r>
    </w:p>
    <w:p>
      <w:pPr>
        <w:spacing w:after="200" w:before="120"/>
        <w:jc w:val="center"/>
      </w:pPr>
      <w:r>
        <w:rPr>
          <w:rFonts w:ascii="Cambria Math" w:cs="Cambria Math" w:eastAsia="Cambria Math" w:hAnsi="Cambria Math"/>
          <w:i/>
          <w:iCs/>
        </w:rPr>
        <w:t xml:space="preserve">U_r = σ_y² / (2 E)          U_T ≈ ½ (σ_y + σ_UTS) · ε_f</w:t>
      </w:r>
    </w:p>
    <w:p>
      <w:pPr>
        <w:spacing w:after="120" w:line="320"/>
        <w:jc w:val="both"/>
      </w:pPr>
      <w:r>
        <w:rPr>
          <w:b/>
          <w:bCs/>
        </w:rPr>
        <w:t xml:space="preserve">1.4 Atomic origin of Young's modulus.</w:t>
      </w:r>
    </w:p>
    <w:p>
      <w:pPr>
        <w:spacing w:after="120" w:line="320"/>
        <w:jc w:val="both"/>
      </w:pPr>
      <w:r>
        <w:t xml:space="preserve">From a Morse pair-potential with depth </w:t>
      </w:r>
      <w:r>
        <w:rPr>
          <w:rFonts w:ascii="Cambria Math" w:cs="Cambria Math" w:eastAsia="Cambria Math" w:hAnsi="Cambria Math"/>
          <w:i/>
          <w:iCs/>
        </w:rPr>
        <w:t xml:space="preserve">D</w:t>
      </w:r>
      <w:r>
        <w:t xml:space="preserve">, width </w:t>
      </w:r>
      <w:r>
        <w:rPr>
          <w:rFonts w:ascii="Cambria Math" w:cs="Cambria Math" w:eastAsia="Cambria Math" w:hAnsi="Cambria Math"/>
          <w:i/>
          <w:iCs/>
        </w:rPr>
        <w:t xml:space="preserve">α</w:t>
      </w:r>
      <w:r>
        <w:t xml:space="preserve">, and equilibrium bond length </w:t>
      </w:r>
      <w:r>
        <w:rPr>
          <w:rFonts w:ascii="Cambria Math" w:cs="Cambria Math" w:eastAsia="Cambria Math" w:hAnsi="Cambria Math"/>
          <w:i/>
          <w:iCs/>
        </w:rPr>
        <w:t xml:space="preserve">r₀</w:t>
      </w:r>
      <w:r>
        <w:t xml:space="preserve">, the bond stiffness and the resulting Young's modulus are</w:t>
      </w:r>
    </w:p>
    <w:p>
      <w:pPr>
        <w:spacing w:after="200" w:before="120"/>
        <w:jc w:val="center"/>
      </w:pPr>
      <w:r>
        <w:rPr>
          <w:rFonts w:ascii="Cambria Math" w:cs="Cambria Math" w:eastAsia="Cambria Math" w:hAnsi="Cambria Math"/>
          <w:i/>
          <w:iCs/>
        </w:rPr>
        <w:t xml:space="preserve">k = 2 D α²          E ≈ k / r₀</w:t>
      </w:r>
    </w:p>
    <w:p>
      <w:pPr>
        <w:spacing w:after="120" w:line="320"/>
        <w:jc w:val="both"/>
      </w:pPr>
      <w:r>
        <w:t xml:space="preserve">This 1-D estimate typically under-predicts the experimental </w:t>
      </w:r>
      <w:r>
        <w:rPr>
          <w:rFonts w:ascii="Cambria Math" w:cs="Cambria Math" w:eastAsia="Cambria Math" w:hAnsi="Cambria Math"/>
          <w:i/>
          <w:iCs/>
        </w:rPr>
        <w:t xml:space="preserve">E</w:t>
      </w:r>
      <w:r>
        <w:t xml:space="preserve"> of metals by a factor of ~2 because metallic bonding is delocalized and many-body.</w:t>
      </w:r>
    </w:p>
    <w:p>
      <w:pPr>
        <w:pStyle w:val="Heading1"/>
        <w:spacing w:after="200" w:before="360"/>
      </w:pPr>
      <w:r>
        <w:t xml:space="preserve">2. Analysis</w:t>
      </w:r>
    </w:p>
    <w:p>
      <w:pPr>
        <w:spacing w:after="120" w:line="320"/>
        <w:jc w:val="both"/>
      </w:pPr>
      <w:r>
        <w:rPr>
          <w:i/>
          <w:iCs/>
          <w:color w:val="555555"/>
        </w:rPr>
        <w:t xml:space="preserve">This is the heart of the report. Combine </w:t>
      </w:r>
      <w:r>
        <w:rPr>
          <w:b/>
          <w:bCs/>
          <w:i/>
          <w:iCs/>
          <w:color w:val="555555"/>
        </w:rPr>
        <w:t xml:space="preserve">(a) what you did, (b) what you measured, and (c) what it means</w:t>
      </w:r>
      <w:r>
        <w:rPr>
          <w:i/>
          <w:iCs/>
          <w:color w:val="555555"/>
        </w:rPr>
        <w:t xml:space="preserve">, citing the equations from §1 to interpret each number. Do NOT just dump tables — explain.</w:t>
      </w:r>
    </w:p>
    <w:p>
      <w:pPr>
        <w:pStyle w:val="Heading2"/>
        <w:spacing w:after="120" w:before="240"/>
      </w:pPr>
      <w:r>
        <w:t xml:space="preserve">2.1 Materials and procedure</w:t>
      </w:r>
    </w:p>
    <w:p>
      <w:pPr>
        <w:spacing w:after="120" w:line="320"/>
        <w:jc w:val="both"/>
      </w:pPr>
      <w:r>
        <w:t xml:space="preserve">Briefly state:</w:t>
      </w:r>
    </w:p>
    <w:p>
      <w:pPr>
        <w:pStyle w:val="ListParagraph"/>
        <w:numPr>
          <w:ilvl w:val="0"/>
          <w:numId w:val="2"/>
        </w:numPr>
        <w:spacing w:after="60" w:line="280"/>
      </w:pPr>
      <w:r>
        <w:t xml:space="preserve">Materials selected from the simulator (e.g., A36 steel, Al 7075-T6, Cu, Ni, …).</w:t>
      </w:r>
    </w:p>
    <w:p>
      <w:pPr>
        <w:pStyle w:val="ListParagraph"/>
        <w:numPr>
          <w:ilvl w:val="0"/>
          <w:numId w:val="2"/>
        </w:numPr>
        <w:spacing w:after="60" w:line="280"/>
      </w:pPr>
      <w:r>
        <w:t xml:space="preserve">Specimen geometry: round bar, </w:t>
      </w:r>
      <w:r>
        <w:rPr>
          <w:rFonts w:ascii="Cambria Math" w:cs="Cambria Math" w:eastAsia="Cambria Math" w:hAnsi="Cambria Math"/>
          <w:i/>
          <w:iCs/>
        </w:rPr>
        <w:t xml:space="preserve">L₀ = 50 mm</w:t>
      </w:r>
      <w:r>
        <w:t xml:space="preserve">, </w:t>
      </w:r>
      <w:r>
        <w:rPr>
          <w:rFonts w:ascii="Cambria Math" w:cs="Cambria Math" w:eastAsia="Cambria Math" w:hAnsi="Cambria Math"/>
          <w:i/>
          <w:iCs/>
        </w:rPr>
        <w:t xml:space="preserve">d₀ = 12.5 mm</w:t>
      </w:r>
      <w:r>
        <w:t xml:space="preserve"> (dog-bone, ASTM E8 standard).</w:t>
      </w:r>
    </w:p>
    <w:p>
      <w:pPr>
        <w:pStyle w:val="ListParagraph"/>
        <w:numPr>
          <w:ilvl w:val="0"/>
          <w:numId w:val="2"/>
        </w:numPr>
        <w:spacing w:after="60" w:line="280"/>
      </w:pPr>
      <w:r>
        <w:t xml:space="preserve">Strain rate: </w:t>
      </w:r>
      <w:r>
        <w:rPr>
          <w:rFonts w:ascii="Cambria Math" w:cs="Cambria Math" w:eastAsia="Cambria Math" w:hAnsi="Cambria Math"/>
          <w:i/>
          <w:iCs/>
        </w:rPr>
        <w:t xml:space="preserve">ε̇ ≈ 10⁻³ s⁻¹</w:t>
      </w:r>
      <w:r>
        <w:t xml:space="preserve"> (ASTM E8 Method A region).</w:t>
      </w:r>
    </w:p>
    <w:p>
      <w:pPr>
        <w:pStyle w:val="ListParagraph"/>
        <w:numPr>
          <w:ilvl w:val="0"/>
          <w:numId w:val="2"/>
        </w:numPr>
        <w:spacing w:after="60" w:line="280"/>
      </w:pPr>
      <w:r>
        <w:t xml:space="preserve">Temperature: 23 ± 2 °C; 0.2 % offset method for </w:t>
      </w:r>
      <w:r>
        <w:rPr>
          <w:rFonts w:ascii="Cambria Math" w:cs="Cambria Math" w:eastAsia="Cambria Math" w:hAnsi="Cambria Math"/>
          <w:i/>
          <w:iCs/>
        </w:rPr>
        <w:t xml:space="preserve">σ_y</w:t>
      </w:r>
      <w:r>
        <w:t xml:space="preserve">.</w:t>
      </w:r>
    </w:p>
    <w:p>
      <w:pPr>
        <w:pStyle w:val="ListParagraph"/>
        <w:numPr>
          <w:ilvl w:val="0"/>
          <w:numId w:val="2"/>
        </w:numPr>
        <w:spacing w:after="60" w:line="280"/>
      </w:pPr>
      <w:r>
        <w:t xml:space="preserve">Number of specimens per condition: N ≥ 3.</w:t>
      </w:r>
    </w:p>
    <w:p>
      <w:pPr>
        <w:pStyle w:val="Heading2"/>
        <w:spacing w:after="120" w:before="240"/>
      </w:pPr>
      <w:r>
        <w:t xml:space="preserve">2.2 Tensile properties</w:t>
      </w:r>
    </w:p>
    <w:p>
      <w:pPr>
        <w:spacing w:after="120" w:line="320"/>
        <w:jc w:val="both"/>
      </w:pPr>
      <w:r>
        <w:t xml:space="preserve">Use the dashboard read-outs of the Stress–Strain Curve tab to populate Table 1 and to sketch your overlay plot.</w:t>
      </w:r>
    </w:p>
    <w:p>
      <w:pPr>
        <w:spacing w:after="120" w:line="320"/>
        <w:jc w:val="both"/>
      </w:pPr>
      <w:r>
        <w:rPr>
          <w:b/>
          <w:bCs/>
        </w:rPr>
        <w:t xml:space="preserve">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gridCol w:w="1248"/>
      </w:tblGrid>
      <w:tr>
        <w:trPr>
          <w:tblHeader/>
        </w:trPr>
        <w:tc>
          <w:tcPr>
            <w:tcW w:type="dxa" w:w="1872"/>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left"/>
            </w:pPr>
            <w:r>
              <w:rPr>
                <w:b/>
                <w:bCs/>
                <w:color w:val="FFFFFF"/>
              </w:rPr>
              <w:t xml:space="preserve">Material</w:t>
            </w:r>
          </w:p>
        </w:tc>
        <w:tc>
          <w:tcPr>
            <w:tcW w:type="dxa" w:w="1248"/>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E (GPa)</w:t>
            </w:r>
          </w:p>
        </w:tc>
        <w:tc>
          <w:tcPr>
            <w:tcW w:type="dxa" w:w="1248"/>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σ_y (MPa)</w:t>
            </w:r>
          </w:p>
        </w:tc>
        <w:tc>
          <w:tcPr>
            <w:tcW w:type="dxa" w:w="1248"/>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σ_UTS (MPa)</w:t>
            </w:r>
          </w:p>
        </w:tc>
        <w:tc>
          <w:tcPr>
            <w:tcW w:type="dxa" w:w="1248"/>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ε_f</w:t>
            </w:r>
          </w:p>
        </w:tc>
        <w:tc>
          <w:tcPr>
            <w:tcW w:type="dxa" w:w="1248"/>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%EL</w:t>
            </w:r>
          </w:p>
        </w:tc>
        <w:tc>
          <w:tcPr>
            <w:tcW w:type="dxa" w:w="1248"/>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U_r (kJ/m³)</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Material 1</w:t>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Material 2</w:t>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Material 3</w:t>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Material 4</w:t>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248"/>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r>
    </w:tbl>
    <w:p>
      <w:pPr>
        <w:spacing w:after="120"/>
        <w:jc w:val="both"/>
      </w:pPr>
    </w:p>
    <w:p>
      <w:pPr>
        <w:spacing w:after="120" w:line="320"/>
        <w:jc w:val="both"/>
      </w:pPr>
      <w:r>
        <w:rPr>
          <w:b/>
          <w:bCs/>
        </w:rPr>
        <w:t xml:space="preserve">Figure 1. </w:t>
      </w:r>
    </w:p>
    <w:p>
      <w:pPr>
        <w:spacing w:after="120" w:before="60"/>
      </w:pPr>
      <w:r>
        <w:rPr>
          <w:color w:val="888888"/>
        </w:rPr>
        <w:t xml:space="preserve">[ </w:t>
      </w:r>
      <w:r>
        <w:rPr>
          <w:i/>
          <w:iCs/>
          <w:color w:val="888888"/>
        </w:rPr>
        <w:t xml:space="preserve">Insert your engineering stress–strain overlay plot here. Mark σ_y (0.2 % offset), σ_UTS, and ε_f for at least one ductile metal.</w:t>
      </w:r>
      <w:r>
        <w:rPr>
          <w:color w:val="888888"/>
        </w:rPr>
        <w:t xml:space="preserve"> ]</w:t>
      </w:r>
    </w:p>
    <w:p>
      <w:pPr>
        <w:spacing w:after="120" w:line="320"/>
        <w:jc w:val="both"/>
      </w:pPr>
      <w:r>
        <w:rPr>
          <w:b/>
          <w:bCs/>
        </w:rPr>
        <w:t xml:space="preserve">Figure 2. </w:t>
      </w:r>
    </w:p>
    <w:p>
      <w:pPr>
        <w:spacing w:after="120" w:before="60"/>
      </w:pPr>
      <w:r>
        <w:rPr>
          <w:color w:val="888888"/>
        </w:rPr>
        <w:t xml:space="preserve">[ </w:t>
      </w:r>
      <w:r>
        <w:rPr>
          <w:i/>
          <w:iCs/>
          <w:color w:val="888888"/>
        </w:rPr>
        <w:t xml:space="preserve">Insert one true stress–strain curve computed from σₜ = σ(1+ε) and εₜ = ln(1+ε). Comment on how it diverges from the engineering curve past yielding.</w:t>
      </w:r>
      <w:r>
        <w:rPr>
          <w:color w:val="888888"/>
        </w:rPr>
        <w:t xml:space="preserve"> ]</w:t>
      </w:r>
    </w:p>
    <w:p>
      <w:pPr>
        <w:pStyle w:val="Heading2"/>
        <w:spacing w:after="120" w:before="240"/>
      </w:pPr>
      <w:r>
        <w:t xml:space="preserve">2.3 Hall–Petch behaviour</w:t>
      </w:r>
    </w:p>
    <w:p>
      <w:pPr>
        <w:spacing w:after="120" w:line="320"/>
        <w:jc w:val="both"/>
      </w:pPr>
      <w:r>
        <w:t xml:space="preserve">Using the data from the Hall–Petch tab for a chosen metal:</w:t>
      </w:r>
    </w:p>
    <w:p>
      <w:pPr>
        <w:spacing w:after="120" w:line="320"/>
        <w:jc w:val="both"/>
      </w:pPr>
      <w:r>
        <w:rPr>
          <w:b/>
          <w:bCs/>
        </w:rPr>
        <w:t xml:space="preserve">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rPr>
          <w:tblHeader/>
        </w:trPr>
        <w:tc>
          <w:tcPr>
            <w:tcW w:type="dxa" w:w="2340"/>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left"/>
            </w:pPr>
            <w:r>
              <w:rPr>
                <w:b/>
                <w:bCs/>
                <w:color w:val="FFFFFF"/>
              </w:rPr>
              <w:t xml:space="preserve">Metal</w:t>
            </w:r>
          </w:p>
        </w:tc>
        <w:tc>
          <w:tcPr>
            <w:tcW w:type="dxa" w:w="1872"/>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d (µm)</w:t>
            </w:r>
          </w:p>
        </w:tc>
        <w:tc>
          <w:tcPr>
            <w:tcW w:type="dxa" w:w="1872"/>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σ_y (MPa)</w:t>
            </w:r>
          </w:p>
        </w:tc>
        <w:tc>
          <w:tcPr>
            <w:tcW w:type="dxa" w:w="1872"/>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center"/>
            </w:pPr>
            <w:r>
              <w:rPr>
                <w:b/>
                <w:bCs/>
                <w:color w:val="FFFFFF"/>
              </w:rPr>
              <w:t xml:space="preserve">1/√d (µm⁻¹ᐟ²)</w:t>
            </w:r>
          </w:p>
        </w:tc>
        <w:tc>
          <w:tcPr>
            <w:tcW w:type="dxa" w:w="1404"/>
            <w:tcBorders>
              <w:top w:val="single" w:color="999999" w:sz="4"/>
              <w:left w:val="single" w:color="999999" w:sz="4"/>
              <w:bottom w:val="single" w:color="999999" w:sz="4"/>
              <w:right w:val="single" w:color="999999" w:sz="4"/>
            </w:tcBorders>
            <w:shd w:fill="2E75B6" w:val="clear"/>
            <w:tcMar>
              <w:top w:type="dxa" w:w="80"/>
              <w:left w:type="dxa" w:w="100"/>
              <w:bottom w:type="dxa" w:w="80"/>
              <w:right w:type="dxa" w:w="100"/>
            </w:tcMar>
          </w:tcPr>
          <w:p>
            <w:pPr>
              <w:jc w:val="left"/>
            </w:pPr>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Coarse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404"/>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Microcrystalline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404"/>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Nanocrystalline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872"/>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center"/>
            </w:pPr>
            <w:r>
              <w:rPr>
                <w:b w:val="false"/>
                <w:bCs w:val="false"/>
                <w:color w:val="000000"/>
              </w:rPr>
              <w:t xml:space="preserve"/>
            </w:r>
          </w:p>
        </w:tc>
        <w:tc>
          <w:tcPr>
            <w:tcW w:type="dxa" w:w="1404"/>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jc w:val="left"/>
            </w:pPr>
            <w:r>
              <w:rPr>
                <w:b w:val="false"/>
                <w:bCs w:val="false"/>
                <w:color w:val="000000"/>
              </w:rPr>
              <w:t xml:space="preserve"/>
            </w:r>
          </w:p>
        </w:tc>
      </w:tr>
    </w:tbl>
    <w:p>
      <w:pPr>
        <w:spacing w:after="120"/>
        <w:jc w:val="both"/>
      </w:pPr>
    </w:p>
    <w:p>
      <w:pPr>
        <w:spacing w:after="120" w:line="320"/>
        <w:jc w:val="both"/>
      </w:pPr>
      <w:r>
        <w:rPr>
          <w:b/>
          <w:bCs/>
        </w:rPr>
        <w:t xml:space="preserve">Figure 3. </w:t>
      </w:r>
    </w:p>
    <w:p>
      <w:pPr>
        <w:spacing w:after="120" w:before="60"/>
      </w:pPr>
      <w:r>
        <w:rPr>
          <w:color w:val="888888"/>
        </w:rPr>
        <w:t xml:space="preserve">[ </w:t>
      </w:r>
      <w:r>
        <w:rPr>
          <w:i/>
          <w:iCs/>
          <w:color w:val="888888"/>
        </w:rPr>
        <w:t xml:space="preserve">Plot σ_y versus 1/√d. Fit a straight line and report k_y (slope) and σ₀ (intercept). State the goodness of fit (R²).</w:t>
      </w:r>
      <w:r>
        <w:rPr>
          <w:color w:val="888888"/>
        </w:rPr>
        <w:t xml:space="preserve"> ]</w:t>
      </w:r>
    </w:p>
    <w:p>
      <w:pPr>
        <w:spacing w:after="120" w:line="320"/>
        <w:jc w:val="both"/>
      </w:pPr>
      <w:r>
        <w:t xml:space="preserve">Compare your fitted </w:t>
      </w:r>
      <w:r>
        <w:rPr>
          <w:rFonts w:ascii="Cambria Math" w:cs="Cambria Math" w:eastAsia="Cambria Math" w:hAnsi="Cambria Math"/>
          <w:i/>
          <w:iCs/>
        </w:rPr>
        <w:t xml:space="preserve">k_y</w:t>
      </w:r>
      <w:r>
        <w:t xml:space="preserve"> with literature: Cu 100–150, Ni 100–200, W 250–400, Co 150–250 MPa·µm</w:t>
      </w:r>
      <w:r>
        <w:t xml:space="preserve">¹ᐟ²</w:t>
      </w:r>
      <w:r>
        <w:t xml:space="preserve">. Comment on whether your nano data sit above or below the straight line — i.e. whether the inverse Hall–Petch crossover (typically below </w:t>
      </w:r>
      <w:r>
        <w:rPr>
          <w:rFonts w:ascii="Cambria Math" w:cs="Cambria Math" w:eastAsia="Cambria Math" w:hAnsi="Cambria Math"/>
          <w:i/>
          <w:iCs/>
        </w:rPr>
        <w:t xml:space="preserve">d ≈ 10–20 nm</w:t>
      </w:r>
      <w:r>
        <w:t xml:space="preserve">) is visible.</w:t>
      </w:r>
    </w:p>
    <w:p>
      <w:pPr>
        <w:pStyle w:val="Heading2"/>
        <w:spacing w:after="120" w:before="240"/>
      </w:pPr>
      <w:r>
        <w:t xml:space="preserve">2.4 Atomic origin of E</w:t>
      </w:r>
    </w:p>
    <w:p>
      <w:pPr>
        <w:spacing w:after="120" w:line="320"/>
        <w:jc w:val="both"/>
      </w:pPr>
      <w:r>
        <w:t xml:space="preserve">From the Atomic Origin tab, take the Morse parameters of one metal and compute the predicted </w:t>
      </w:r>
      <w:r>
        <w:rPr>
          <w:rFonts w:ascii="Cambria Math" w:cs="Cambria Math" w:eastAsia="Cambria Math" w:hAnsi="Cambria Math"/>
          <w:i/>
          <w:iCs/>
        </w:rPr>
        <w:t xml:space="preserve">E</w:t>
      </w:r>
      <w:r>
        <w:t xml:space="preserve"> using </w:t>
      </w:r>
      <w:r>
        <w:rPr>
          <w:rFonts w:ascii="Cambria Math" w:cs="Cambria Math" w:eastAsia="Cambria Math" w:hAnsi="Cambria Math"/>
          <w:i/>
          <w:iCs/>
        </w:rPr>
        <w:t xml:space="preserve">k = 2 D α²</w:t>
      </w:r>
      <w:r>
        <w:t xml:space="preserve"> and </w:t>
      </w:r>
      <w:r>
        <w:rPr>
          <w:rFonts w:ascii="Cambria Math" w:cs="Cambria Math" w:eastAsia="Cambria Math" w:hAnsi="Cambria Math"/>
          <w:i/>
          <w:iCs/>
        </w:rPr>
        <w:t xml:space="preserve">E ≈ k / r₀</w:t>
      </w:r>
      <w:r>
        <w:t xml:space="preserve">. Convert with </w:t>
      </w:r>
      <w:r>
        <w:rPr>
          <w:rFonts w:ascii="Cambria Math" w:cs="Cambria Math" w:eastAsia="Cambria Math" w:hAnsi="Cambria Math"/>
          <w:i/>
          <w:iCs/>
        </w:rPr>
        <w:t xml:space="preserve">1 eV/Å² = 16.02 N/m</w:t>
      </w:r>
      <w:r>
        <w:t xml:space="preserve">. Compare with your measured </w:t>
      </w:r>
      <w:r>
        <w:rPr>
          <w:rFonts w:ascii="Cambria Math" w:cs="Cambria Math" w:eastAsia="Cambria Math" w:hAnsi="Cambria Math"/>
          <w:i/>
          <w:iCs/>
        </w:rPr>
        <w:t xml:space="preserve">E</w:t>
      </w:r>
      <w:r>
        <w:t xml:space="preserve"> from §2.2 and discuss the origin of the discrepancy (delocalized electron sea, missing 3-D coordination).</w:t>
      </w:r>
    </w:p>
    <w:p>
      <w:pPr>
        <w:spacing w:after="120" w:before="60"/>
      </w:pPr>
      <w:r>
        <w:rPr>
          <w:color w:val="888888"/>
        </w:rPr>
        <w:t xml:space="preserve">[ </w:t>
      </w:r>
      <w:r>
        <w:rPr>
          <w:i/>
          <w:iCs/>
          <w:color w:val="888888"/>
        </w:rPr>
        <w:t xml:space="preserve">Tabulate predicted vs measured E for at least two metals, and comment quantitatively on the ratio.</w:t>
      </w:r>
      <w:r>
        <w:rPr>
          <w:color w:val="888888"/>
        </w:rPr>
        <w:t xml:space="preserve"> ]</w:t>
      </w:r>
    </w:p>
    <w:p>
      <w:pPr>
        <w:pStyle w:val="Heading2"/>
        <w:spacing w:after="120" w:before="240"/>
      </w:pPr>
      <w:r>
        <w:t xml:space="preserve">2.5 Comparison with the literature</w:t>
      </w:r>
    </w:p>
    <w:p>
      <w:pPr>
        <w:spacing w:after="120" w:line="320"/>
        <w:jc w:val="both"/>
      </w:pPr>
      <w:r>
        <w:t xml:space="preserve">For each property reported, give the percentage deviation from the standard reference value (Callister 10e, Dieter Ch. 8). Discuss whether deviations are within typical experimental uncertainty (≈ 5 % for </w:t>
      </w:r>
      <w:r>
        <w:rPr>
          <w:rFonts w:ascii="Cambria Math" w:cs="Cambria Math" w:eastAsia="Cambria Math" w:hAnsi="Cambria Math"/>
          <w:i/>
          <w:iCs/>
        </w:rPr>
        <w:t xml:space="preserve">E</w:t>
      </w:r>
      <w:r>
        <w:t xml:space="preserve">, ≈ 10 % for </w:t>
      </w:r>
      <w:r>
        <w:rPr>
          <w:rFonts w:ascii="Cambria Math" w:cs="Cambria Math" w:eastAsia="Cambria Math" w:hAnsi="Cambria Math"/>
          <w:i/>
          <w:iCs/>
        </w:rPr>
        <w:t xml:space="preserve">σ_y</w:t>
      </w:r>
      <w:r>
        <w:t xml:space="preserve">).</w:t>
      </w:r>
    </w:p>
    <w:p>
      <w:pPr>
        <w:pStyle w:val="Heading1"/>
        <w:spacing w:after="200" w:before="360"/>
      </w:pPr>
      <w:r>
        <w:t xml:space="preserve">3. Conclusions</w:t>
      </w:r>
    </w:p>
    <w:p>
      <w:pPr>
        <w:spacing w:after="120" w:line="320"/>
        <w:jc w:val="both"/>
      </w:pPr>
      <w:r>
        <w:rPr>
          <w:i/>
          <w:iCs/>
          <w:color w:val="555555"/>
        </w:rPr>
        <w:t xml:space="preserve">Three to five numbered, quantitative statements. Each must contain a number; each must follow directly from §2. No new claims, no opinions.</w:t>
      </w:r>
    </w:p>
    <w:p>
      <w:pPr>
        <w:pStyle w:val="ListParagraph"/>
        <w:numPr>
          <w:ilvl w:val="0"/>
          <w:numId w:val="3"/>
        </w:numPr>
        <w:spacing w:after="60" w:line="280"/>
      </w:pPr>
      <w:r>
        <w:t xml:space="preserve">Replace this with your first conclusion — quantitative.</w:t>
      </w:r>
    </w:p>
    <w:p>
      <w:pPr>
        <w:pStyle w:val="ListParagraph"/>
        <w:numPr>
          <w:ilvl w:val="0"/>
          <w:numId w:val="3"/>
        </w:numPr>
        <w:spacing w:after="60" w:line="280"/>
      </w:pPr>
      <w:r>
        <w:t xml:space="preserve">Replace this with your second conclusion — quantitative.</w:t>
      </w:r>
    </w:p>
    <w:p>
      <w:pPr>
        <w:pStyle w:val="ListParagraph"/>
        <w:numPr>
          <w:ilvl w:val="0"/>
          <w:numId w:val="3"/>
        </w:numPr>
        <w:spacing w:after="60" w:line="280"/>
      </w:pPr>
      <w:r>
        <w:t xml:space="preserve">Replace this with your third conclusion — quantitative.</w:t>
      </w:r>
    </w:p>
    <w:p>
      <w:pPr>
        <w:pStyle w:val="ListParagraph"/>
        <w:numPr>
          <w:ilvl w:val="0"/>
          <w:numId w:val="3"/>
        </w:numPr>
        <w:spacing w:after="60" w:line="280"/>
      </w:pPr>
      <w:r>
        <w:t xml:space="preserve">(Optional) Fourth conclusion.</w:t>
      </w:r>
    </w:p>
    <w:p>
      <w:pPr>
        <w:pStyle w:val="ListParagraph"/>
        <w:numPr>
          <w:ilvl w:val="0"/>
          <w:numId w:val="3"/>
        </w:numPr>
        <w:spacing w:after="60" w:line="280"/>
      </w:pPr>
      <w:r>
        <w:t xml:space="preserve">(Optional) Fifth conclusion.</w:t>
      </w:r>
    </w:p>
    <w:p>
      <w:pPr>
        <w:pStyle w:val="Heading1"/>
        <w:spacing w:after="200" w:before="360"/>
      </w:pPr>
      <w:r>
        <w:t xml:space="preserve">4. References</w:t>
      </w:r>
    </w:p>
    <w:p>
      <w:pPr>
        <w:spacing w:after="120" w:line="320"/>
        <w:jc w:val="left"/>
      </w:pPr>
      <w:r>
        <w:rPr>
          <w:i/>
          <w:iCs/>
          <w:color w:val="555555"/>
        </w:rPr>
        <w:t xml:space="preserve">Use a single, consistent style throughout (IEEE numeric shown below).</w:t>
      </w:r>
    </w:p>
    <w:p>
      <w:pPr>
        <w:pStyle w:val="ListParagraph"/>
        <w:numPr>
          <w:ilvl w:val="0"/>
          <w:numId w:val="3"/>
        </w:numPr>
        <w:spacing w:after="60" w:line="280"/>
      </w:pPr>
      <w:r>
        <w:t xml:space="preserve">ASTM International, </w:t>
      </w:r>
      <w:r>
        <w:rPr>
          <w:i/>
          <w:iCs/>
        </w:rPr>
        <w:t xml:space="preserve">E8/E8M-25 Standard Test Methods for Tension Testing of Metallic Materials</w:t>
      </w:r>
      <w:r>
        <w:t xml:space="preserve">, West Conshohocken, PA, 2025.</w:t>
      </w:r>
    </w:p>
    <w:p>
      <w:pPr>
        <w:pStyle w:val="ListParagraph"/>
        <w:numPr>
          <w:ilvl w:val="0"/>
          <w:numId w:val="3"/>
        </w:numPr>
        <w:spacing w:after="60" w:line="280"/>
      </w:pPr>
      <w:r>
        <w:t xml:space="preserve">ISO, </w:t>
      </w:r>
      <w:r>
        <w:rPr>
          <w:i/>
          <w:iCs/>
        </w:rPr>
        <w:t xml:space="preserve">ISO 6892-1:2019 Metallic Materials — Tensile Testing — Part 1: Method of Test at Room Temperature</w:t>
      </w:r>
      <w:r>
        <w:t xml:space="preserve">.</w:t>
      </w:r>
    </w:p>
    <w:p>
      <w:pPr>
        <w:pStyle w:val="ListParagraph"/>
        <w:numPr>
          <w:ilvl w:val="0"/>
          <w:numId w:val="3"/>
        </w:numPr>
        <w:spacing w:after="60" w:line="280"/>
      </w:pPr>
      <w:r>
        <w:t xml:space="preserve">G. E. Dieter, </w:t>
      </w:r>
      <w:r>
        <w:rPr>
          <w:i/>
          <w:iCs/>
        </w:rPr>
        <w:t xml:space="preserve">Mechanical Metallurgy</w:t>
      </w:r>
      <w:r>
        <w:t xml:space="preserve">, 3rd ed., McGraw-Hill, New York, 1986.</w:t>
      </w:r>
    </w:p>
    <w:p>
      <w:pPr>
        <w:pStyle w:val="ListParagraph"/>
        <w:numPr>
          <w:ilvl w:val="0"/>
          <w:numId w:val="3"/>
        </w:numPr>
        <w:spacing w:after="60" w:line="280"/>
      </w:pPr>
      <w:r>
        <w:t xml:space="preserve">W. D. Callister and D. G. Rethwisch, </w:t>
      </w:r>
      <w:r>
        <w:rPr>
          <w:i/>
          <w:iCs/>
        </w:rPr>
        <w:t xml:space="preserve">Materials Science and Engineering: An Introduction</w:t>
      </w:r>
      <w:r>
        <w:t xml:space="preserve">, 10th ed., Wiley, 2018.</w:t>
      </w:r>
    </w:p>
    <w:p>
      <w:pPr>
        <w:pStyle w:val="ListParagraph"/>
        <w:numPr>
          <w:ilvl w:val="0"/>
          <w:numId w:val="3"/>
        </w:numPr>
        <w:spacing w:after="60" w:line="280"/>
      </w:pPr>
      <w:r>
        <w:t xml:space="preserve">M. A. Meyers and K. K. Chawla, </w:t>
      </w:r>
      <w:r>
        <w:rPr>
          <w:i/>
          <w:iCs/>
        </w:rPr>
        <w:t xml:space="preserve">Mechanical Behavior of Materials</w:t>
      </w:r>
      <w:r>
        <w:t xml:space="preserve">, 2nd ed., Cambridge Univ. Press, 2009.</w:t>
      </w:r>
    </w:p>
    <w:p>
      <w:pPr>
        <w:pStyle w:val="ListParagraph"/>
        <w:numPr>
          <w:ilvl w:val="0"/>
          <w:numId w:val="3"/>
        </w:numPr>
        <w:spacing w:after="60" w:line="280"/>
      </w:pPr>
      <w:r>
        <w:t xml:space="preserve">E. O. Hall, “The deformation and ageing of mild steel: III. Discussion of results,” </w:t>
      </w:r>
      <w:r>
        <w:rPr>
          <w:i/>
          <w:iCs/>
        </w:rPr>
        <w:t xml:space="preserve">Proc. Phys. Soc. London B</w:t>
      </w:r>
      <w:r>
        <w:t xml:space="preserve">, vol. 64, pp. 747–753, 1951.</w:t>
      </w:r>
    </w:p>
    <w:p>
      <w:pPr>
        <w:pStyle w:val="ListParagraph"/>
        <w:numPr>
          <w:ilvl w:val="0"/>
          <w:numId w:val="3"/>
        </w:numPr>
        <w:spacing w:after="60" w:line="280"/>
      </w:pPr>
      <w:r>
        <w:t xml:space="preserve">N. J. Petch, “The cleavage strength of polycrystals,” </w:t>
      </w:r>
      <w:r>
        <w:rPr>
          <w:i/>
          <w:iCs/>
        </w:rPr>
        <w:t xml:space="preserve">J. Iron Steel Inst.</w:t>
      </w:r>
      <w:r>
        <w:t xml:space="preserve">, vol. 174, pp. 25–28, 1953.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Mechanical Properties of Materials —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Report — compact template</dc:title>
  <dc:creator>Mechanical Properties UAN Lab</dc:creator>
  <dc:description>Compact lab report template (Abstract, Introduction, Analysis, Conclusions).</dc:description>
  <cp:lastModifiedBy>Un-named</cp:lastModifiedBy>
  <cp:revision>1</cp:revision>
  <dcterms:created xsi:type="dcterms:W3CDTF">2026-05-09T16:17:35.239Z</dcterms:created>
  <dcterms:modified xsi:type="dcterms:W3CDTF">2026-05-09T16:17:35.242Z</dcterms:modified>
</cp:coreProperties>
</file>

<file path=docProps/custom.xml><?xml version="1.0" encoding="utf-8"?>
<Properties xmlns="http://schemas.openxmlformats.org/officeDocument/2006/custom-properties" xmlns:vt="http://schemas.openxmlformats.org/officeDocument/2006/docPropsVTypes"/>
</file>