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DengXian" w:hAnsi="DengXian"/>
          <w:b/>
          <w:color w:val="1E40AF"/>
          <w:sz w:val="32"/>
        </w:rPr>
        <w:t>CA6002 数据可视化课程作业报告</w:t>
        <w:br/>
        <w:t>不同特征复杂度下的农产品品种识别：SVM与随机森林在水稻和干豆数据集上的性能比较及可视化分析</w:t>
      </w:r>
    </w:p>
    <w:p>
      <w:pPr>
        <w:spacing w:after="320"/>
        <w:jc w:val="center"/>
      </w:pPr>
      <w:r>
        <w:rPr>
          <w:rFonts w:ascii="DengXian" w:hAnsi="DengXian"/>
          <w:i/>
          <w:color w:val="4B5563"/>
          <w:sz w:val="22"/>
        </w:rPr>
        <w:t>对比可视化分析与性能评估：RBF-SVM vs. 随机森林</w:t>
        <w:br/>
        <w:t>数据集：UCI Rice (ID: 545) &amp; UCI Dry Bean (ID: 602)</w:t>
      </w:r>
    </w:p>
    <w:p>
      <w:pPr>
        <w:keepNext/>
        <w:spacing w:before="280" w:after="120"/>
      </w:pPr>
      <w:r>
        <w:rPr>
          <w:rFonts w:ascii="DengXian" w:hAnsi="DengXian"/>
          <w:b/>
          <w:color w:val="1E40AF"/>
          <w:sz w:val="28"/>
        </w:rPr>
        <w:t>1. 引言与项目背景</w:t>
      </w:r>
    </w:p>
    <w:p>
      <w:pPr>
        <w:spacing w:after="80"/>
      </w:pPr>
      <w:r>
        <w:rPr>
          <w:rFonts w:ascii="DengXian" w:hAnsi="DengXian"/>
        </w:rPr>
        <w:t>数据可视化在人工智能解决方案的开发生命周期中发挥着不可替代的作用。它贯穿于初始数据集探索、算法架构选择、超参数优化路径映射、模型失败模式诊断以及最终的数据叙事与决策沟通。本项目聚焦于农产品品种识别，利用图像提取的形态学特征数据集，系统研究机器学习算法（RBF-SVM 与 随机森林）在不同类别数量、特征维度及类别重叠度复杂度下的性能表现与可视化特征。本研究严格遵循 CA6002 数据可视化课程规范，涵盖六大核心阶段。</w:t>
      </w:r>
    </w:p>
    <w:p>
      <w:pPr>
        <w:keepNext/>
        <w:spacing w:before="280" w:after="120"/>
      </w:pPr>
      <w:r>
        <w:rPr>
          <w:rFonts w:ascii="DengXian" w:hAnsi="DengXian"/>
          <w:b/>
          <w:color w:val="1E40AF"/>
          <w:sz w:val="28"/>
        </w:rPr>
        <w:t>2. 数据集探索与特征可视化</w:t>
      </w:r>
    </w:p>
    <w:p>
      <w:pPr>
        <w:keepNext/>
        <w:spacing w:before="200" w:after="80"/>
      </w:pPr>
      <w:r>
        <w:rPr>
          <w:rFonts w:ascii="DengXian" w:hAnsi="DengXian"/>
          <w:b/>
          <w:color w:val="2563EB"/>
          <w:sz w:val="24"/>
        </w:rPr>
        <w:t>2.1 数据集域与形态特征概述</w:t>
      </w:r>
    </w:p>
    <w:p>
      <w:pPr>
        <w:pStyle w:val="ListBullet"/>
        <w:spacing w:after="80"/>
      </w:pPr>
      <w:r>
        <w:rPr>
          <w:rFonts w:ascii="DengXian" w:hAnsi="DengXian"/>
          <w:b/>
        </w:rPr>
        <w:t>水稻数据集 (Rice, UCI ID 545)：</w:t>
      </w:r>
      <w:r>
        <w:rPr>
          <w:rFonts w:ascii="DengXian" w:hAnsi="DengXian"/>
        </w:rPr>
        <w:t>包含 3,810 粒水稻样本，属于 Cammeo (42.8%) 和 Osmancik (57.2%) 两个品种。包含面积、周长、主轴长、短轴长、偏心率等 7 个连续形态特征，属于低维二分类基准数据集。</w:t>
      </w:r>
    </w:p>
    <w:p>
      <w:pPr>
        <w:pStyle w:val="ListBullet"/>
        <w:spacing w:after="80"/>
      </w:pPr>
      <w:r>
        <w:rPr>
          <w:rFonts w:ascii="DengXian" w:hAnsi="DengXian"/>
          <w:b/>
        </w:rPr>
        <w:t>干豆数据集 (Dry Bean, UCI ID 602)：</w:t>
      </w:r>
      <w:r>
        <w:rPr>
          <w:rFonts w:ascii="DengXian" w:hAnsi="DengXian"/>
        </w:rPr>
        <w:t>包含 13,543 粒清洗后的样本，覆盖 7 个品种（Dermason, Sira, Seker, Horoz, Cali, Barbunya, Bombay）。包含 16 个连续图像形态特征（涵盖长宽比、圆度、紧密度等），属于类别较多、特征关系与重叠情况更为复杂的基准数据集。</w:t>
      </w:r>
    </w:p>
    <w:p>
      <w:pPr>
        <w:spacing w:before="120" w:after="40"/>
        <w:jc w:val="center"/>
      </w:pPr>
      <w:r>
        <w:drawing>
          <wp:inline xmlns:a="http://schemas.openxmlformats.org/drawingml/2006/main" xmlns:pic="http://schemas.openxmlformats.org/drawingml/2006/picture">
            <wp:extent cx="5120640" cy="3426419"/>
            <wp:docPr id="1" name="Picture 1"/>
            <wp:cNvGraphicFramePr>
              <a:graphicFrameLocks noChangeAspect="1"/>
            </wp:cNvGraphicFramePr>
            <a:graphic>
              <a:graphicData uri="http://schemas.openxmlformats.org/drawingml/2006/picture">
                <pic:pic>
                  <pic:nvPicPr>
                    <pic:cNvPr id="0" name="rice_class_distribution.png"/>
                    <pic:cNvPicPr/>
                  </pic:nvPicPr>
                  <pic:blipFill>
                    <a:blip r:embed="rId9"/>
                    <a:stretch>
                      <a:fillRect/>
                    </a:stretch>
                  </pic:blipFill>
                  <pic:spPr>
                    <a:xfrm>
                      <a:off x="0" y="0"/>
                      <a:ext cx="5120640" cy="3426419"/>
                    </a:xfrm>
                    <a:prstGeom prst="rect"/>
                  </pic:spPr>
                </pic:pic>
              </a:graphicData>
            </a:graphic>
          </wp:inline>
        </w:drawing>
      </w:r>
    </w:p>
    <w:p>
      <w:pPr>
        <w:spacing w:after="160"/>
        <w:jc w:val="center"/>
      </w:pPr>
      <w:r>
        <w:rPr>
          <w:i/>
          <w:color w:val="4B5563"/>
          <w:sz w:val="18"/>
        </w:rPr>
        <w:t>图：水稻品种分布与样本数量</w:t>
      </w:r>
    </w:p>
    <w:p>
      <w:pPr>
        <w:spacing w:before="120" w:after="40"/>
        <w:jc w:val="center"/>
      </w:pPr>
      <w:r>
        <w:drawing>
          <wp:inline xmlns:a="http://schemas.openxmlformats.org/drawingml/2006/main" xmlns:pic="http://schemas.openxmlformats.org/drawingml/2006/picture">
            <wp:extent cx="5120640" cy="3426419"/>
            <wp:docPr id="2" name="Picture 2"/>
            <wp:cNvGraphicFramePr>
              <a:graphicFrameLocks noChangeAspect="1"/>
            </wp:cNvGraphicFramePr>
            <a:graphic>
              <a:graphicData uri="http://schemas.openxmlformats.org/drawingml/2006/picture">
                <pic:pic>
                  <pic:nvPicPr>
                    <pic:cNvPr id="0" name="dry_bean_class_distribution.png"/>
                    <pic:cNvPicPr/>
                  </pic:nvPicPr>
                  <pic:blipFill>
                    <a:blip r:embed="rId10"/>
                    <a:stretch>
                      <a:fillRect/>
                    </a:stretch>
                  </pic:blipFill>
                  <pic:spPr>
                    <a:xfrm>
                      <a:off x="0" y="0"/>
                      <a:ext cx="5120640" cy="3426419"/>
                    </a:xfrm>
                    <a:prstGeom prst="rect"/>
                  </pic:spPr>
                </pic:pic>
              </a:graphicData>
            </a:graphic>
          </wp:inline>
        </w:drawing>
      </w:r>
    </w:p>
    <w:p>
      <w:pPr>
        <w:spacing w:after="160"/>
        <w:jc w:val="center"/>
      </w:pPr>
      <w:r>
        <w:rPr>
          <w:i/>
          <w:color w:val="4B5563"/>
          <w:sz w:val="18"/>
        </w:rPr>
        <w:t>图：干豆 7 种品种分布与样本数量</w:t>
      </w:r>
    </w:p>
    <w:p>
      <w:pPr>
        <w:keepNext/>
        <w:spacing w:before="200" w:after="80"/>
      </w:pPr>
      <w:r>
        <w:rPr>
          <w:rFonts w:ascii="DengXian" w:hAnsi="DengXian"/>
          <w:b/>
          <w:color w:val="2563EB"/>
          <w:sz w:val="24"/>
        </w:rPr>
        <w:t>2.2 特征分布与多重共线性分析</w:t>
      </w:r>
    </w:p>
    <w:p>
      <w:pPr>
        <w:spacing w:after="80"/>
      </w:pPr>
      <w:r>
        <w:rPr>
          <w:rFonts w:ascii="DengXian" w:hAnsi="DengXian"/>
        </w:rPr>
        <w:t>数据预处理包括数值类型转换、中位数缺省值填补（无缺失值）以及去重处理（移除了干豆数据集中的 68 条重复记录）。KDE 特征直方图显示，尺寸标量特征（如面积、周长）呈现右偏分布，而无量纲形状描述符（如紧密度、长宽比）呈现多峰正态分布。</w:t>
      </w:r>
    </w:p>
    <w:p>
      <w:pPr>
        <w:spacing w:before="120" w:after="40"/>
        <w:jc w:val="center"/>
      </w:pPr>
      <w:r>
        <w:drawing>
          <wp:inline xmlns:a="http://schemas.openxmlformats.org/drawingml/2006/main" xmlns:pic="http://schemas.openxmlformats.org/drawingml/2006/picture">
            <wp:extent cx="5120640" cy="2517078"/>
            <wp:docPr id="3" name="Picture 3"/>
            <wp:cNvGraphicFramePr>
              <a:graphicFrameLocks noChangeAspect="1"/>
            </wp:cNvGraphicFramePr>
            <a:graphic>
              <a:graphicData uri="http://schemas.openxmlformats.org/drawingml/2006/picture">
                <pic:pic>
                  <pic:nvPicPr>
                    <pic:cNvPr id="0" name="rice_feature_histograms.png"/>
                    <pic:cNvPicPr/>
                  </pic:nvPicPr>
                  <pic:blipFill>
                    <a:blip r:embed="rId11"/>
                    <a:stretch>
                      <a:fillRect/>
                    </a:stretch>
                  </pic:blipFill>
                  <pic:spPr>
                    <a:xfrm>
                      <a:off x="0" y="0"/>
                      <a:ext cx="5120640" cy="2517078"/>
                    </a:xfrm>
                    <a:prstGeom prst="rect"/>
                  </pic:spPr>
                </pic:pic>
              </a:graphicData>
            </a:graphic>
          </wp:inline>
        </w:drawing>
      </w:r>
    </w:p>
    <w:p>
      <w:pPr>
        <w:spacing w:after="160"/>
        <w:jc w:val="center"/>
      </w:pPr>
      <w:r>
        <w:rPr>
          <w:i/>
          <w:color w:val="4B5563"/>
          <w:sz w:val="18"/>
        </w:rPr>
        <w:t>图：水稻形态特征直方图与 KDE 曲线</w:t>
      </w:r>
    </w:p>
    <w:p>
      <w:pPr>
        <w:spacing w:before="120" w:after="40"/>
        <w:jc w:val="center"/>
      </w:pPr>
      <w:r>
        <w:drawing>
          <wp:inline xmlns:a="http://schemas.openxmlformats.org/drawingml/2006/main" xmlns:pic="http://schemas.openxmlformats.org/drawingml/2006/picture">
            <wp:extent cx="5120640" cy="4721412"/>
            <wp:docPr id="4" name="Picture 4"/>
            <wp:cNvGraphicFramePr>
              <a:graphicFrameLocks noChangeAspect="1"/>
            </wp:cNvGraphicFramePr>
            <a:graphic>
              <a:graphicData uri="http://schemas.openxmlformats.org/drawingml/2006/picture">
                <pic:pic>
                  <pic:nvPicPr>
                    <pic:cNvPr id="0" name="dry_bean_feature_histograms.png"/>
                    <pic:cNvPicPr/>
                  </pic:nvPicPr>
                  <pic:blipFill>
                    <a:blip r:embed="rId12"/>
                    <a:stretch>
                      <a:fillRect/>
                    </a:stretch>
                  </pic:blipFill>
                  <pic:spPr>
                    <a:xfrm>
                      <a:off x="0" y="0"/>
                      <a:ext cx="5120640" cy="4721412"/>
                    </a:xfrm>
                    <a:prstGeom prst="rect"/>
                  </pic:spPr>
                </pic:pic>
              </a:graphicData>
            </a:graphic>
          </wp:inline>
        </w:drawing>
      </w:r>
    </w:p>
    <w:p>
      <w:pPr>
        <w:spacing w:after="160"/>
        <w:jc w:val="center"/>
      </w:pPr>
      <w:r>
        <w:rPr>
          <w:i/>
          <w:color w:val="4B5563"/>
          <w:sz w:val="18"/>
        </w:rPr>
        <w:t>图：干豆形态特征分布图 (16个属性)</w:t>
      </w:r>
    </w:p>
    <w:p>
      <w:pPr>
        <w:spacing w:after="80"/>
      </w:pPr>
      <w:r>
        <w:rPr>
          <w:rFonts w:ascii="DengXian" w:hAnsi="DengXian"/>
        </w:rPr>
        <w:t>上三角遮罩相关性热力图揭示了线性物理尺寸变量之间存在极高的多重共线性（面积、周长、主轴长、凸面积之间的 Pearson 相关系数 r &gt; 0.95）。而无量纲形状指标（紧密度、固体度、长宽比）与尺寸标量的相关性较低，提供了关键的正交分类判别力。</w:t>
      </w:r>
    </w:p>
    <w:p>
      <w:pPr>
        <w:spacing w:before="120" w:after="40"/>
        <w:jc w:val="center"/>
      </w:pPr>
      <w:r>
        <w:drawing>
          <wp:inline xmlns:a="http://schemas.openxmlformats.org/drawingml/2006/main" xmlns:pic="http://schemas.openxmlformats.org/drawingml/2006/picture">
            <wp:extent cx="5120640" cy="4325051"/>
            <wp:docPr id="5" name="Picture 5"/>
            <wp:cNvGraphicFramePr>
              <a:graphicFrameLocks noChangeAspect="1"/>
            </wp:cNvGraphicFramePr>
            <a:graphic>
              <a:graphicData uri="http://schemas.openxmlformats.org/drawingml/2006/picture">
                <pic:pic>
                  <pic:nvPicPr>
                    <pic:cNvPr id="0" name="rice_correlation_heatmap.png"/>
                    <pic:cNvPicPr/>
                  </pic:nvPicPr>
                  <pic:blipFill>
                    <a:blip r:embed="rId13"/>
                    <a:stretch>
                      <a:fillRect/>
                    </a:stretch>
                  </pic:blipFill>
                  <pic:spPr>
                    <a:xfrm>
                      <a:off x="0" y="0"/>
                      <a:ext cx="5120640" cy="4325051"/>
                    </a:xfrm>
                    <a:prstGeom prst="rect"/>
                  </pic:spPr>
                </pic:pic>
              </a:graphicData>
            </a:graphic>
          </wp:inline>
        </w:drawing>
      </w:r>
    </w:p>
    <w:p>
      <w:pPr>
        <w:spacing w:after="160"/>
        <w:jc w:val="center"/>
      </w:pPr>
      <w:r>
        <w:rPr>
          <w:i/>
          <w:color w:val="4B5563"/>
          <w:sz w:val="18"/>
        </w:rPr>
        <w:t>图：水稻特征上三角遮罩相关性热力图</w:t>
      </w:r>
    </w:p>
    <w:p>
      <w:pPr>
        <w:spacing w:before="120" w:after="40"/>
        <w:jc w:val="center"/>
      </w:pPr>
      <w:r>
        <w:drawing>
          <wp:inline xmlns:a="http://schemas.openxmlformats.org/drawingml/2006/main" xmlns:pic="http://schemas.openxmlformats.org/drawingml/2006/picture">
            <wp:extent cx="5120640" cy="4334592"/>
            <wp:docPr id="6" name="Picture 6"/>
            <wp:cNvGraphicFramePr>
              <a:graphicFrameLocks noChangeAspect="1"/>
            </wp:cNvGraphicFramePr>
            <a:graphic>
              <a:graphicData uri="http://schemas.openxmlformats.org/drawingml/2006/picture">
                <pic:pic>
                  <pic:nvPicPr>
                    <pic:cNvPr id="0" name="dry_bean_correlation_heatmap.png"/>
                    <pic:cNvPicPr/>
                  </pic:nvPicPr>
                  <pic:blipFill>
                    <a:blip r:embed="rId14"/>
                    <a:stretch>
                      <a:fillRect/>
                    </a:stretch>
                  </pic:blipFill>
                  <pic:spPr>
                    <a:xfrm>
                      <a:off x="0" y="0"/>
                      <a:ext cx="5120640" cy="4334592"/>
                    </a:xfrm>
                    <a:prstGeom prst="rect"/>
                  </pic:spPr>
                </pic:pic>
              </a:graphicData>
            </a:graphic>
          </wp:inline>
        </w:drawing>
      </w:r>
    </w:p>
    <w:p>
      <w:pPr>
        <w:spacing w:after="160"/>
        <w:jc w:val="center"/>
      </w:pPr>
      <w:r>
        <w:rPr>
          <w:i/>
          <w:color w:val="4B5563"/>
          <w:sz w:val="18"/>
        </w:rPr>
        <w:t>图：干豆特征上三角遮罩相关性热力图</w:t>
      </w:r>
    </w:p>
    <w:p>
      <w:pPr>
        <w:keepNext/>
        <w:spacing w:before="200" w:after="80"/>
      </w:pPr>
      <w:r>
        <w:rPr>
          <w:rFonts w:ascii="DengXian" w:hAnsi="DengXian"/>
          <w:b/>
          <w:color w:val="2563EB"/>
          <w:sz w:val="24"/>
        </w:rPr>
        <w:t>2.3 2D PCA 投影与 95% 置信椭圆</w:t>
      </w:r>
    </w:p>
    <w:p>
      <w:pPr>
        <w:spacing w:after="80"/>
      </w:pPr>
      <w:r>
        <w:rPr>
          <w:rFonts w:ascii="DengXian" w:hAnsi="DengXian"/>
        </w:rPr>
        <w:t>在经 StandardScale 标准化后进行 2D PCA 降维与 95% 置信椭圆绘制。水稻数据集前两个主成分解释了 86.1% 的累积方差，Cammeo 与 Osmancik 的椭圆重叠极小，呈良好的线性可分性。干豆数据集前两个主成分解释了 81.6% 的方差，其中 Bombay 形成完全孤立的簇，而 Dermason 与 Sira 存在严重的簇重叠，构建了非线性边界分类挑战。</w:t>
      </w:r>
    </w:p>
    <w:p>
      <w:pPr>
        <w:spacing w:before="120" w:after="40"/>
        <w:jc w:val="center"/>
      </w:pPr>
      <w:r>
        <w:drawing>
          <wp:inline xmlns:a="http://schemas.openxmlformats.org/drawingml/2006/main" xmlns:pic="http://schemas.openxmlformats.org/drawingml/2006/picture">
            <wp:extent cx="5120640" cy="3411577"/>
            <wp:docPr id="7" name="Picture 7"/>
            <wp:cNvGraphicFramePr>
              <a:graphicFrameLocks noChangeAspect="1"/>
            </wp:cNvGraphicFramePr>
            <a:graphic>
              <a:graphicData uri="http://schemas.openxmlformats.org/drawingml/2006/picture">
                <pic:pic>
                  <pic:nvPicPr>
                    <pic:cNvPr id="0" name="rice_pca_projection.png"/>
                    <pic:cNvPicPr/>
                  </pic:nvPicPr>
                  <pic:blipFill>
                    <a:blip r:embed="rId15"/>
                    <a:stretch>
                      <a:fillRect/>
                    </a:stretch>
                  </pic:blipFill>
                  <pic:spPr>
                    <a:xfrm>
                      <a:off x="0" y="0"/>
                      <a:ext cx="5120640" cy="3411577"/>
                    </a:xfrm>
                    <a:prstGeom prst="rect"/>
                  </pic:spPr>
                </pic:pic>
              </a:graphicData>
            </a:graphic>
          </wp:inline>
        </w:drawing>
      </w:r>
    </w:p>
    <w:p>
      <w:pPr>
        <w:spacing w:after="160"/>
        <w:jc w:val="center"/>
      </w:pPr>
      <w:r>
        <w:rPr>
          <w:i/>
          <w:color w:val="4B5563"/>
          <w:sz w:val="18"/>
        </w:rPr>
        <w:t>图：水稻 2D PCA 投影与 95% 置信椭圆</w:t>
      </w:r>
    </w:p>
    <w:p>
      <w:pPr>
        <w:spacing w:before="120" w:after="40"/>
        <w:jc w:val="center"/>
      </w:pPr>
      <w:r>
        <w:drawing>
          <wp:inline xmlns:a="http://schemas.openxmlformats.org/drawingml/2006/main" xmlns:pic="http://schemas.openxmlformats.org/drawingml/2006/picture">
            <wp:extent cx="5120640" cy="3328576"/>
            <wp:docPr id="8" name="Picture 8"/>
            <wp:cNvGraphicFramePr>
              <a:graphicFrameLocks noChangeAspect="1"/>
            </wp:cNvGraphicFramePr>
            <a:graphic>
              <a:graphicData uri="http://schemas.openxmlformats.org/drawingml/2006/picture">
                <pic:pic>
                  <pic:nvPicPr>
                    <pic:cNvPr id="0" name="dry_bean_pca_projection.png"/>
                    <pic:cNvPicPr/>
                  </pic:nvPicPr>
                  <pic:blipFill>
                    <a:blip r:embed="rId16"/>
                    <a:stretch>
                      <a:fillRect/>
                    </a:stretch>
                  </pic:blipFill>
                  <pic:spPr>
                    <a:xfrm>
                      <a:off x="0" y="0"/>
                      <a:ext cx="5120640" cy="3328576"/>
                    </a:xfrm>
                    <a:prstGeom prst="rect"/>
                  </pic:spPr>
                </pic:pic>
              </a:graphicData>
            </a:graphic>
          </wp:inline>
        </w:drawing>
      </w:r>
    </w:p>
    <w:p>
      <w:pPr>
        <w:spacing w:after="160"/>
        <w:jc w:val="center"/>
      </w:pPr>
      <w:r>
        <w:rPr>
          <w:i/>
          <w:color w:val="4B5563"/>
          <w:sz w:val="18"/>
        </w:rPr>
        <w:t>图：干豆 2D PCA 投影与 95% 置信椭圆</w:t>
      </w:r>
    </w:p>
    <w:p>
      <w:pPr>
        <w:keepNext/>
        <w:spacing w:before="280" w:after="120"/>
      </w:pPr>
      <w:r>
        <w:rPr>
          <w:rFonts w:ascii="DengXian" w:hAnsi="DengXian"/>
          <w:b/>
          <w:color w:val="1E40AF"/>
          <w:sz w:val="28"/>
        </w:rPr>
        <w:t>3. AI 算法设计、超参数调优与学习曲线分析</w:t>
      </w:r>
    </w:p>
    <w:p>
      <w:pPr>
        <w:keepNext/>
        <w:spacing w:before="200" w:after="80"/>
      </w:pPr>
      <w:r>
        <w:rPr>
          <w:rFonts w:ascii="DengXian" w:hAnsi="DengXian"/>
          <w:b/>
          <w:color w:val="2563EB"/>
          <w:sz w:val="24"/>
        </w:rPr>
        <w:t>3.1 超参数网格搜索热力图</w:t>
      </w:r>
    </w:p>
    <w:p>
      <w:pPr>
        <w:spacing w:after="80"/>
      </w:pPr>
      <w:r>
        <w:rPr>
          <w:rFonts w:ascii="DengXian" w:hAnsi="DengXian"/>
        </w:rPr>
        <w:t>模型训练采用 5 折分层交叉验证与 GridSearchCV。RBF-SVM 对 C (1, 10, 100) 与 gamma ('scale', 0.01, 0.1) 进行搜索。热力图清晰呈现了参数优化的连续曲面：水稻最佳参数为 C=10, gamma='scale' (CV 准确率 0.9301)；干豆最佳参数为 C=100, gamma=0.01 (CV 准确率 0.9299)。</w:t>
      </w:r>
    </w:p>
    <w:p>
      <w:pPr>
        <w:spacing w:before="120" w:after="40"/>
        <w:jc w:val="center"/>
      </w:pPr>
      <w:r>
        <w:drawing>
          <wp:inline xmlns:a="http://schemas.openxmlformats.org/drawingml/2006/main" xmlns:pic="http://schemas.openxmlformats.org/drawingml/2006/picture">
            <wp:extent cx="5120640" cy="3893535"/>
            <wp:docPr id="9" name="Picture 9"/>
            <wp:cNvGraphicFramePr>
              <a:graphicFrameLocks noChangeAspect="1"/>
            </wp:cNvGraphicFramePr>
            <a:graphic>
              <a:graphicData uri="http://schemas.openxmlformats.org/drawingml/2006/picture">
                <pic:pic>
                  <pic:nvPicPr>
                    <pic:cNvPr id="0" name="rice_svm_parameter_heatmap.png"/>
                    <pic:cNvPicPr/>
                  </pic:nvPicPr>
                  <pic:blipFill>
                    <a:blip r:embed="rId17"/>
                    <a:stretch>
                      <a:fillRect/>
                    </a:stretch>
                  </pic:blipFill>
                  <pic:spPr>
                    <a:xfrm>
                      <a:off x="0" y="0"/>
                      <a:ext cx="5120640" cy="3893535"/>
                    </a:xfrm>
                    <a:prstGeom prst="rect"/>
                  </pic:spPr>
                </pic:pic>
              </a:graphicData>
            </a:graphic>
          </wp:inline>
        </w:drawing>
      </w:r>
    </w:p>
    <w:p>
      <w:pPr>
        <w:spacing w:after="160"/>
        <w:jc w:val="center"/>
      </w:pPr>
      <w:r>
        <w:rPr>
          <w:i/>
          <w:color w:val="4B5563"/>
          <w:sz w:val="18"/>
        </w:rPr>
        <w:t>图：水稻 RBF-SVM 超参数搜索热力图</w:t>
      </w:r>
    </w:p>
    <w:p>
      <w:pPr>
        <w:spacing w:before="120" w:after="40"/>
        <w:jc w:val="center"/>
      </w:pPr>
      <w:r>
        <w:drawing>
          <wp:inline xmlns:a="http://schemas.openxmlformats.org/drawingml/2006/main" xmlns:pic="http://schemas.openxmlformats.org/drawingml/2006/picture">
            <wp:extent cx="5120640" cy="3946982"/>
            <wp:docPr id="10" name="Picture 10"/>
            <wp:cNvGraphicFramePr>
              <a:graphicFrameLocks noChangeAspect="1"/>
            </wp:cNvGraphicFramePr>
            <a:graphic>
              <a:graphicData uri="http://schemas.openxmlformats.org/drawingml/2006/picture">
                <pic:pic>
                  <pic:nvPicPr>
                    <pic:cNvPr id="0" name="dry_bean_svm_parameter_heatmap.png"/>
                    <pic:cNvPicPr/>
                  </pic:nvPicPr>
                  <pic:blipFill>
                    <a:blip r:embed="rId18"/>
                    <a:stretch>
                      <a:fillRect/>
                    </a:stretch>
                  </pic:blipFill>
                  <pic:spPr>
                    <a:xfrm>
                      <a:off x="0" y="0"/>
                      <a:ext cx="5120640" cy="3946982"/>
                    </a:xfrm>
                    <a:prstGeom prst="rect"/>
                  </pic:spPr>
                </pic:pic>
              </a:graphicData>
            </a:graphic>
          </wp:inline>
        </w:drawing>
      </w:r>
    </w:p>
    <w:p>
      <w:pPr>
        <w:spacing w:after="160"/>
        <w:jc w:val="center"/>
      </w:pPr>
      <w:r>
        <w:rPr>
          <w:i/>
          <w:color w:val="4B5563"/>
          <w:sz w:val="18"/>
        </w:rPr>
        <w:t>图：干豆 RBF-SVM 超参数搜索热力图</w:t>
      </w:r>
    </w:p>
    <w:p>
      <w:pPr>
        <w:keepNext/>
        <w:spacing w:before="200" w:after="80"/>
      </w:pPr>
      <w:r>
        <w:rPr>
          <w:rFonts w:ascii="DengXian" w:hAnsi="DengXian"/>
          <w:b/>
          <w:color w:val="2563EB"/>
          <w:sz w:val="24"/>
        </w:rPr>
        <w:t>3.2 随机森林树深度验证曲线</w:t>
      </w:r>
    </w:p>
    <w:p>
      <w:pPr>
        <w:spacing w:after="80"/>
      </w:pPr>
      <w:r>
        <w:rPr>
          <w:rFonts w:ascii="DengXian" w:hAnsi="DengXian"/>
        </w:rPr>
        <w:t>随机森林 max_depth 验证曲线（测试树深度 2 至 30）展示了偏差-方差权衡。当树深度过浅 (max_depth &lt; 5) 时，模型表现出明显的欠拟合；当 max_depth 增加至 15 以上时，训练集准确率接近 99%，而 5 折 CV 准确率平稳停滞在 ~92.5%，确定了最优的深度剪枝区间。</w:t>
      </w:r>
    </w:p>
    <w:p>
      <w:pPr>
        <w:spacing w:before="120" w:after="40"/>
        <w:jc w:val="center"/>
      </w:pPr>
      <w:r>
        <w:drawing>
          <wp:inline xmlns:a="http://schemas.openxmlformats.org/drawingml/2006/main" xmlns:pic="http://schemas.openxmlformats.org/drawingml/2006/picture">
            <wp:extent cx="5120640" cy="3446339"/>
            <wp:docPr id="11" name="Picture 11"/>
            <wp:cNvGraphicFramePr>
              <a:graphicFrameLocks noChangeAspect="1"/>
            </wp:cNvGraphicFramePr>
            <a:graphic>
              <a:graphicData uri="http://schemas.openxmlformats.org/drawingml/2006/picture">
                <pic:pic>
                  <pic:nvPicPr>
                    <pic:cNvPr id="0" name="rice_rf_validation_curve.png"/>
                    <pic:cNvPicPr/>
                  </pic:nvPicPr>
                  <pic:blipFill>
                    <a:blip r:embed="rId19"/>
                    <a:stretch>
                      <a:fillRect/>
                    </a:stretch>
                  </pic:blipFill>
                  <pic:spPr>
                    <a:xfrm>
                      <a:off x="0" y="0"/>
                      <a:ext cx="5120640" cy="3446339"/>
                    </a:xfrm>
                    <a:prstGeom prst="rect"/>
                  </pic:spPr>
                </pic:pic>
              </a:graphicData>
            </a:graphic>
          </wp:inline>
        </w:drawing>
      </w:r>
    </w:p>
    <w:p>
      <w:pPr>
        <w:spacing w:after="160"/>
        <w:jc w:val="center"/>
      </w:pPr>
      <w:r>
        <w:rPr>
          <w:i/>
          <w:color w:val="4B5563"/>
          <w:sz w:val="18"/>
        </w:rPr>
        <w:t>图：水稻随机森林深度验证曲线</w:t>
      </w:r>
    </w:p>
    <w:p>
      <w:pPr>
        <w:spacing w:before="120" w:after="40"/>
        <w:jc w:val="center"/>
      </w:pPr>
      <w:r>
        <w:drawing>
          <wp:inline xmlns:a="http://schemas.openxmlformats.org/drawingml/2006/main" xmlns:pic="http://schemas.openxmlformats.org/drawingml/2006/picture">
            <wp:extent cx="5120640" cy="3492716"/>
            <wp:docPr id="12" name="Picture 12"/>
            <wp:cNvGraphicFramePr>
              <a:graphicFrameLocks noChangeAspect="1"/>
            </wp:cNvGraphicFramePr>
            <a:graphic>
              <a:graphicData uri="http://schemas.openxmlformats.org/drawingml/2006/picture">
                <pic:pic>
                  <pic:nvPicPr>
                    <pic:cNvPr id="0" name="dry_bean_rf_validation_curve.png"/>
                    <pic:cNvPicPr/>
                  </pic:nvPicPr>
                  <pic:blipFill>
                    <a:blip r:embed="rId20"/>
                    <a:stretch>
                      <a:fillRect/>
                    </a:stretch>
                  </pic:blipFill>
                  <pic:spPr>
                    <a:xfrm>
                      <a:off x="0" y="0"/>
                      <a:ext cx="5120640" cy="3492716"/>
                    </a:xfrm>
                    <a:prstGeom prst="rect"/>
                  </pic:spPr>
                </pic:pic>
              </a:graphicData>
            </a:graphic>
          </wp:inline>
        </w:drawing>
      </w:r>
    </w:p>
    <w:p>
      <w:pPr>
        <w:spacing w:after="160"/>
        <w:jc w:val="center"/>
      </w:pPr>
      <w:r>
        <w:rPr>
          <w:i/>
          <w:color w:val="4B5563"/>
          <w:sz w:val="18"/>
        </w:rPr>
        <w:t>图：干豆随机森林深度验证曲线</w:t>
      </w:r>
    </w:p>
    <w:p>
      <w:pPr>
        <w:keepNext/>
        <w:spacing w:before="200" w:after="80"/>
      </w:pPr>
      <w:r>
        <w:rPr>
          <w:rFonts w:ascii="DengXian" w:hAnsi="DengXian"/>
          <w:b/>
          <w:color w:val="2563EB"/>
          <w:sz w:val="24"/>
        </w:rPr>
        <w:t>3.3 两种机器学习算法学习曲线特性的对比说明</w:t>
      </w:r>
    </w:p>
    <w:p>
      <w:pPr>
        <w:spacing w:after="80"/>
      </w:pPr>
      <w:r>
        <w:rPr>
          <w:rFonts w:ascii="DengXian" w:hAnsi="DengXian"/>
        </w:rPr>
        <w:t>学习曲线刻画了训练集与 5 折交叉验证准确率随训练样本量（10% 至 100%）增长的动态演变。学习曲线的表现直观揭示了 RBF-SVM 与随机森林在结构机制上的本质差异：</w:t>
      </w:r>
    </w:p>
    <w:p>
      <w:pPr>
        <w:pStyle w:val="ListBullet"/>
        <w:spacing w:after="80"/>
      </w:pPr>
      <w:r>
        <w:rPr>
          <w:rFonts w:ascii="DengXian" w:hAnsi="DengXian"/>
          <w:b/>
        </w:rPr>
        <w:t>RBF-SVM 学习曲线特征：</w:t>
      </w:r>
      <w:r>
        <w:rPr>
          <w:rFonts w:ascii="DengXian" w:hAnsi="DengXian"/>
        </w:rPr>
        <w:t>在小样本量（10%-20%）下，RBF-SVM 的训练集准确率并非 100%，而是维持在极具代表性的合理水平（~93.5%）。这是因为高斯核函数的平滑超平面不会盲目记忆噪点。随着样本量增加，训练集与验证集曲线平滑收敛，泛化间隙极小（&lt; 1.5%）且标准差带极窄。这证明了 RBF-SVM 在连续几何特征上具有极高的样本效率与泛化稳定性。</w:t>
      </w:r>
    </w:p>
    <w:p>
      <w:pPr>
        <w:pStyle w:val="ListBullet"/>
        <w:spacing w:after="80"/>
      </w:pPr>
      <w:r>
        <w:rPr>
          <w:rFonts w:ascii="DengXian" w:hAnsi="DengXian"/>
          <w:b/>
        </w:rPr>
        <w:t>随机森林学习曲线特征：</w:t>
      </w:r>
      <w:r>
        <w:rPr>
          <w:rFonts w:ascii="DengXian" w:hAnsi="DengXian"/>
        </w:rPr>
        <w:t>相反，由于决策树集成的深度记忆能力，随机森林在所有样本量分位数下均保持近乎 100% 的训练准确率。随着训练数据扩充，验证集曲线从 ~88% 稳步提升至 ~92.5%，但训练集与验证集之间始终存在约 6%-7% 的持续泛化间隙。这体现了决策树阶梯式轴对齐边界的固有特性，需要更多样本来逐步逼近连续非线性边界。</w:t>
      </w:r>
    </w:p>
    <w:p>
      <w:pPr>
        <w:spacing w:before="120" w:after="40"/>
        <w:jc w:val="center"/>
      </w:pPr>
      <w:r>
        <w:drawing>
          <wp:inline xmlns:a="http://schemas.openxmlformats.org/drawingml/2006/main" xmlns:pic="http://schemas.openxmlformats.org/drawingml/2006/picture">
            <wp:extent cx="5120640" cy="2384007"/>
            <wp:docPr id="13" name="Picture 13"/>
            <wp:cNvGraphicFramePr>
              <a:graphicFrameLocks noChangeAspect="1"/>
            </wp:cNvGraphicFramePr>
            <a:graphic>
              <a:graphicData uri="http://schemas.openxmlformats.org/drawingml/2006/picture">
                <pic:pic>
                  <pic:nvPicPr>
                    <pic:cNvPr id="0" name="rice_learning_curves.png"/>
                    <pic:cNvPicPr/>
                  </pic:nvPicPr>
                  <pic:blipFill>
                    <a:blip r:embed="rId21"/>
                    <a:stretch>
                      <a:fillRect/>
                    </a:stretch>
                  </pic:blipFill>
                  <pic:spPr>
                    <a:xfrm>
                      <a:off x="0" y="0"/>
                      <a:ext cx="5120640" cy="2384007"/>
                    </a:xfrm>
                    <a:prstGeom prst="rect"/>
                  </pic:spPr>
                </pic:pic>
              </a:graphicData>
            </a:graphic>
          </wp:inline>
        </w:drawing>
      </w:r>
    </w:p>
    <w:p>
      <w:pPr>
        <w:spacing w:after="160"/>
        <w:jc w:val="center"/>
      </w:pPr>
      <w:r>
        <w:rPr>
          <w:i/>
          <w:color w:val="4B5563"/>
          <w:sz w:val="18"/>
        </w:rPr>
        <w:t>图：水稻学习曲线对比：RBF-SVM vs. 随机森林</w:t>
      </w:r>
    </w:p>
    <w:p>
      <w:pPr>
        <w:spacing w:before="120" w:after="40"/>
        <w:jc w:val="center"/>
      </w:pPr>
      <w:r>
        <w:drawing>
          <wp:inline xmlns:a="http://schemas.openxmlformats.org/drawingml/2006/main" xmlns:pic="http://schemas.openxmlformats.org/drawingml/2006/picture">
            <wp:extent cx="5120640" cy="2371177"/>
            <wp:docPr id="14" name="Picture 14"/>
            <wp:cNvGraphicFramePr>
              <a:graphicFrameLocks noChangeAspect="1"/>
            </wp:cNvGraphicFramePr>
            <a:graphic>
              <a:graphicData uri="http://schemas.openxmlformats.org/drawingml/2006/picture">
                <pic:pic>
                  <pic:nvPicPr>
                    <pic:cNvPr id="0" name="dry_bean_learning_curves.png"/>
                    <pic:cNvPicPr/>
                  </pic:nvPicPr>
                  <pic:blipFill>
                    <a:blip r:embed="rId22"/>
                    <a:stretch>
                      <a:fillRect/>
                    </a:stretch>
                  </pic:blipFill>
                  <pic:spPr>
                    <a:xfrm>
                      <a:off x="0" y="0"/>
                      <a:ext cx="5120640" cy="2371177"/>
                    </a:xfrm>
                    <a:prstGeom prst="rect"/>
                  </pic:spPr>
                </pic:pic>
              </a:graphicData>
            </a:graphic>
          </wp:inline>
        </w:drawing>
      </w:r>
    </w:p>
    <w:p>
      <w:pPr>
        <w:spacing w:after="160"/>
        <w:jc w:val="center"/>
      </w:pPr>
      <w:r>
        <w:rPr>
          <w:i/>
          <w:color w:val="4B5563"/>
          <w:sz w:val="18"/>
        </w:rPr>
        <w:t>图：干豆学习曲线对比：RBF-SVM vs. 随机森林</w:t>
      </w:r>
    </w:p>
    <w:p>
      <w:pPr>
        <w:keepNext/>
        <w:spacing w:before="200" w:after="80"/>
      </w:pPr>
      <w:r>
        <w:rPr>
          <w:rFonts w:ascii="DengXian" w:hAnsi="DengXian"/>
          <w:b/>
          <w:color w:val="2563EB"/>
          <w:sz w:val="24"/>
        </w:rPr>
        <w:t>3.4 随机森林特征重要性分析</w:t>
      </w:r>
    </w:p>
    <w:p>
      <w:pPr>
        <w:spacing w:after="80"/>
      </w:pPr>
      <w:r>
        <w:rPr>
          <w:rFonts w:ascii="DengXian" w:hAnsi="DengXian"/>
        </w:rPr>
        <w:t>基尼不纯度重要性排序显示，主轴长（MajorAxisLength）、面积（Area）和凸面积在水稻二分类中贡献了超过 60% 的分裂权重；而在多分类干豆数据集中，形状因子 1（ShapeFactor1）、紧密度（Compactness）与等效直径成为主导判别特征。</w:t>
      </w:r>
    </w:p>
    <w:p>
      <w:pPr>
        <w:spacing w:before="120" w:after="40"/>
        <w:jc w:val="center"/>
      </w:pPr>
      <w:r>
        <w:drawing>
          <wp:inline xmlns:a="http://schemas.openxmlformats.org/drawingml/2006/main" xmlns:pic="http://schemas.openxmlformats.org/drawingml/2006/picture">
            <wp:extent cx="5120640" cy="3381451"/>
            <wp:docPr id="15" name="Picture 15"/>
            <wp:cNvGraphicFramePr>
              <a:graphicFrameLocks noChangeAspect="1"/>
            </wp:cNvGraphicFramePr>
            <a:graphic>
              <a:graphicData uri="http://schemas.openxmlformats.org/drawingml/2006/picture">
                <pic:pic>
                  <pic:nvPicPr>
                    <pic:cNvPr id="0" name="rice_rf_feature_importance.png"/>
                    <pic:cNvPicPr/>
                  </pic:nvPicPr>
                  <pic:blipFill>
                    <a:blip r:embed="rId23"/>
                    <a:stretch>
                      <a:fillRect/>
                    </a:stretch>
                  </pic:blipFill>
                  <pic:spPr>
                    <a:xfrm>
                      <a:off x="0" y="0"/>
                      <a:ext cx="5120640" cy="3381451"/>
                    </a:xfrm>
                    <a:prstGeom prst="rect"/>
                  </pic:spPr>
                </pic:pic>
              </a:graphicData>
            </a:graphic>
          </wp:inline>
        </w:drawing>
      </w:r>
    </w:p>
    <w:p>
      <w:pPr>
        <w:spacing w:after="160"/>
        <w:jc w:val="center"/>
      </w:pPr>
      <w:r>
        <w:rPr>
          <w:i/>
          <w:color w:val="4B5563"/>
          <w:sz w:val="18"/>
        </w:rPr>
        <w:t>图：水稻随机森林特征重要性排序</w:t>
      </w:r>
    </w:p>
    <w:p>
      <w:pPr>
        <w:spacing w:before="120" w:after="40"/>
        <w:jc w:val="center"/>
      </w:pPr>
      <w:r>
        <w:drawing>
          <wp:inline xmlns:a="http://schemas.openxmlformats.org/drawingml/2006/main" xmlns:pic="http://schemas.openxmlformats.org/drawingml/2006/picture">
            <wp:extent cx="5120640" cy="3470698"/>
            <wp:docPr id="16" name="Picture 16"/>
            <wp:cNvGraphicFramePr>
              <a:graphicFrameLocks noChangeAspect="1"/>
            </wp:cNvGraphicFramePr>
            <a:graphic>
              <a:graphicData uri="http://schemas.openxmlformats.org/drawingml/2006/picture">
                <pic:pic>
                  <pic:nvPicPr>
                    <pic:cNvPr id="0" name="dry_bean_rf_feature_importance.png"/>
                    <pic:cNvPicPr/>
                  </pic:nvPicPr>
                  <pic:blipFill>
                    <a:blip r:embed="rId24"/>
                    <a:stretch>
                      <a:fillRect/>
                    </a:stretch>
                  </pic:blipFill>
                  <pic:spPr>
                    <a:xfrm>
                      <a:off x="0" y="0"/>
                      <a:ext cx="5120640" cy="3470698"/>
                    </a:xfrm>
                    <a:prstGeom prst="rect"/>
                  </pic:spPr>
                </pic:pic>
              </a:graphicData>
            </a:graphic>
          </wp:inline>
        </w:drawing>
      </w:r>
    </w:p>
    <w:p>
      <w:pPr>
        <w:spacing w:after="160"/>
        <w:jc w:val="center"/>
      </w:pPr>
      <w:r>
        <w:rPr>
          <w:i/>
          <w:color w:val="4B5563"/>
          <w:sz w:val="18"/>
        </w:rPr>
        <w:t>图：干豆随机森林特征重要性排序 (前12个属性)</w:t>
      </w:r>
    </w:p>
    <w:p>
      <w:pPr>
        <w:keepNext/>
        <w:spacing w:before="280" w:after="120"/>
      </w:pPr>
      <w:r>
        <w:rPr>
          <w:rFonts w:ascii="DengXian" w:hAnsi="DengXian"/>
          <w:b/>
          <w:color w:val="1E40AF"/>
          <w:sz w:val="28"/>
        </w:rPr>
        <w:t>4. 模型评估与性能可视化</w:t>
      </w:r>
    </w:p>
    <w:p>
      <w:pPr>
        <w:keepNext/>
        <w:spacing w:before="200" w:after="80"/>
      </w:pPr>
      <w:r>
        <w:rPr>
          <w:rFonts w:ascii="DengXian" w:hAnsi="DengXian"/>
          <w:b/>
          <w:color w:val="2563EB"/>
          <w:sz w:val="24"/>
        </w:rPr>
        <w:t>4.1 定量评估 Benchmark 汇总表</w:t>
      </w:r>
    </w:p>
    <w:p>
      <w:pPr>
        <w:spacing w:after="80"/>
      </w:pPr>
      <w:r>
        <w:rPr>
          <w:rFonts w:ascii="DengXian" w:hAnsi="DengXian"/>
        </w:rPr>
        <w:t>在 20% 留出测试集与 5 折分层交叉验证下评估的模型定量性能指标汇总如下表所示：</w:t>
      </w:r>
    </w:p>
    <w:tbl>
      <w:tblPr>
        <w:tblW w:type="auto" w:w="0"/>
        <w:jc w:val="center"/>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1040"/>
            <w:shd w:fill="1E40AF"/>
          </w:tcPr>
          <w:p>
            <w:pPr>
              <w:jc w:val="center"/>
            </w:pPr>
            <w:r>
              <w:rPr>
                <w:b/>
                <w:color w:val="FFFFFF"/>
                <w:sz w:val="17"/>
              </w:rPr>
              <w:t>数据集</w:t>
            </w:r>
          </w:p>
        </w:tc>
        <w:tc>
          <w:tcPr>
            <w:tcW w:type="dxa" w:w="1040"/>
            <w:shd w:fill="1E40AF"/>
          </w:tcPr>
          <w:p>
            <w:pPr>
              <w:jc w:val="center"/>
            </w:pPr>
            <w:r>
              <w:rPr>
                <w:b/>
                <w:color w:val="FFFFFF"/>
                <w:sz w:val="17"/>
              </w:rPr>
              <w:t>算法模型</w:t>
            </w:r>
          </w:p>
        </w:tc>
        <w:tc>
          <w:tcPr>
            <w:tcW w:type="dxa" w:w="1040"/>
            <w:shd w:fill="1E40AF"/>
          </w:tcPr>
          <w:p>
            <w:pPr>
              <w:jc w:val="center"/>
            </w:pPr>
            <w:r>
              <w:rPr>
                <w:b/>
                <w:color w:val="FFFFFF"/>
                <w:sz w:val="17"/>
              </w:rPr>
              <w:t>5折CV准确率(Std)</w:t>
            </w:r>
          </w:p>
        </w:tc>
        <w:tc>
          <w:tcPr>
            <w:tcW w:type="dxa" w:w="1040"/>
            <w:shd w:fill="1E40AF"/>
          </w:tcPr>
          <w:p>
            <w:pPr>
              <w:jc w:val="center"/>
            </w:pPr>
            <w:r>
              <w:rPr>
                <w:b/>
                <w:color w:val="FFFFFF"/>
                <w:sz w:val="17"/>
              </w:rPr>
              <w:t>测试集准确率</w:t>
            </w:r>
          </w:p>
        </w:tc>
        <w:tc>
          <w:tcPr>
            <w:tcW w:type="dxa" w:w="1040"/>
            <w:shd w:fill="1E40AF"/>
          </w:tcPr>
          <w:p>
            <w:pPr>
              <w:jc w:val="center"/>
            </w:pPr>
            <w:r>
              <w:rPr>
                <w:b/>
                <w:color w:val="FFFFFF"/>
                <w:sz w:val="17"/>
              </w:rPr>
              <w:t>Balanced Acc</w:t>
            </w:r>
          </w:p>
        </w:tc>
        <w:tc>
          <w:tcPr>
            <w:tcW w:type="dxa" w:w="1040"/>
            <w:shd w:fill="1E40AF"/>
          </w:tcPr>
          <w:p>
            <w:pPr>
              <w:jc w:val="center"/>
            </w:pPr>
            <w:r>
              <w:rPr>
                <w:b/>
                <w:color w:val="FFFFFF"/>
                <w:sz w:val="17"/>
              </w:rPr>
              <w:t>Macro Prec</w:t>
            </w:r>
          </w:p>
        </w:tc>
        <w:tc>
          <w:tcPr>
            <w:tcW w:type="dxa" w:w="1040"/>
            <w:shd w:fill="1E40AF"/>
          </w:tcPr>
          <w:p>
            <w:pPr>
              <w:jc w:val="center"/>
            </w:pPr>
            <w:r>
              <w:rPr>
                <w:b/>
                <w:color w:val="FFFFFF"/>
                <w:sz w:val="17"/>
              </w:rPr>
              <w:t>Macro Rec</w:t>
            </w:r>
          </w:p>
        </w:tc>
        <w:tc>
          <w:tcPr>
            <w:tcW w:type="dxa" w:w="1040"/>
            <w:shd w:fill="1E40AF"/>
          </w:tcPr>
          <w:p>
            <w:pPr>
              <w:jc w:val="center"/>
            </w:pPr>
            <w:r>
              <w:rPr>
                <w:b/>
                <w:color w:val="FFFFFF"/>
                <w:sz w:val="17"/>
              </w:rPr>
              <w:t>Macro F1</w:t>
            </w:r>
          </w:p>
        </w:tc>
        <w:tc>
          <w:tcPr>
            <w:tcW w:type="dxa" w:w="1040"/>
            <w:shd w:fill="1E40AF"/>
          </w:tcPr>
          <w:p>
            <w:pPr>
              <w:jc w:val="center"/>
            </w:pPr>
            <w:r>
              <w:rPr>
                <w:b/>
                <w:color w:val="FFFFFF"/>
                <w:sz w:val="17"/>
              </w:rPr>
              <w:t>运行耗时(s)</w:t>
            </w:r>
          </w:p>
        </w:tc>
      </w:tr>
      <w:tr>
        <w:tc>
          <w:tcPr>
            <w:tcW w:type="dxa" w:w="1040"/>
            <w:shd w:fill="FFFFFF"/>
          </w:tcPr>
          <w:p>
            <w:r>
              <w:t>Rice</w:t>
            </w:r>
          </w:p>
        </w:tc>
        <w:tc>
          <w:tcPr>
            <w:tcW w:type="dxa" w:w="1040"/>
            <w:shd w:fill="FFFFFF"/>
          </w:tcPr>
          <w:p>
            <w:pPr>
              <w:jc w:val="center"/>
            </w:pPr>
            <w:r>
              <w:rPr>
                <w:sz w:val="17"/>
              </w:rPr>
              <w:t>RBF-SVM</w:t>
            </w:r>
          </w:p>
        </w:tc>
        <w:tc>
          <w:tcPr>
            <w:tcW w:type="dxa" w:w="1040"/>
            <w:shd w:fill="FFFFFF"/>
          </w:tcPr>
          <w:p>
            <w:r>
              <w:t>93.01% (±0.012)</w:t>
            </w:r>
          </w:p>
        </w:tc>
        <w:tc>
          <w:tcPr>
            <w:tcW w:type="dxa" w:w="1040"/>
            <w:shd w:fill="FFFFFF"/>
          </w:tcPr>
          <w:p>
            <w:r>
              <w:t>91.73%</w:t>
            </w:r>
          </w:p>
        </w:tc>
        <w:tc>
          <w:tcPr>
            <w:tcW w:type="dxa" w:w="1040"/>
            <w:shd w:fill="FFFFFF"/>
          </w:tcPr>
          <w:p>
            <w:r>
              <w:t>91.58%</w:t>
            </w:r>
          </w:p>
        </w:tc>
        <w:tc>
          <w:tcPr>
            <w:tcW w:type="dxa" w:w="1040"/>
            <w:shd w:fill="FFFFFF"/>
          </w:tcPr>
          <w:p>
            <w:r>
              <w:t>91.54%</w:t>
            </w:r>
          </w:p>
        </w:tc>
        <w:tc>
          <w:tcPr>
            <w:tcW w:type="dxa" w:w="1040"/>
            <w:shd w:fill="FFFFFF"/>
          </w:tcPr>
          <w:p>
            <w:r>
              <w:t>91.58%</w:t>
            </w:r>
          </w:p>
        </w:tc>
        <w:tc>
          <w:tcPr>
            <w:tcW w:type="dxa" w:w="1040"/>
            <w:shd w:fill="FFFFFF"/>
          </w:tcPr>
          <w:p>
            <w:r>
              <w:t>0.9156</w:t>
            </w:r>
          </w:p>
        </w:tc>
        <w:tc>
          <w:tcPr>
            <w:tcW w:type="dxa" w:w="1040"/>
            <w:shd w:fill="FFFFFF"/>
          </w:tcPr>
          <w:p>
            <w:r>
              <w:t>6.59s</w:t>
            </w:r>
          </w:p>
        </w:tc>
      </w:tr>
      <w:tr>
        <w:tc>
          <w:tcPr>
            <w:tcW w:type="dxa" w:w="1040"/>
            <w:shd w:fill="F3F4F6"/>
          </w:tcPr>
          <w:p>
            <w:r>
              <w:t>Rice</w:t>
            </w:r>
          </w:p>
        </w:tc>
        <w:tc>
          <w:tcPr>
            <w:tcW w:type="dxa" w:w="1040"/>
            <w:shd w:fill="F3F4F6"/>
          </w:tcPr>
          <w:p>
            <w:r>
              <w:t>Random Forest</w:t>
            </w:r>
          </w:p>
        </w:tc>
        <w:tc>
          <w:tcPr>
            <w:tcW w:type="dxa" w:w="1040"/>
            <w:shd w:fill="F3F4F6"/>
          </w:tcPr>
          <w:p>
            <w:pPr>
              <w:jc w:val="center"/>
            </w:pPr>
            <w:r>
              <w:rPr>
                <w:sz w:val="17"/>
              </w:rPr>
              <w:t>92.52% (±0.008)</w:t>
            </w:r>
          </w:p>
        </w:tc>
        <w:tc>
          <w:tcPr>
            <w:tcW w:type="dxa" w:w="1040"/>
            <w:shd w:fill="F3F4F6"/>
          </w:tcPr>
          <w:p>
            <w:r>
              <w:t>92.13%</w:t>
            </w:r>
          </w:p>
        </w:tc>
        <w:tc>
          <w:tcPr>
            <w:tcW w:type="dxa" w:w="1040"/>
            <w:shd w:fill="F3F4F6"/>
          </w:tcPr>
          <w:p>
            <w:r>
              <w:t>91.65%</w:t>
            </w:r>
          </w:p>
        </w:tc>
        <w:tc>
          <w:tcPr>
            <w:tcW w:type="dxa" w:w="1040"/>
            <w:shd w:fill="F3F4F6"/>
          </w:tcPr>
          <w:p>
            <w:r>
              <w:t>92.25%</w:t>
            </w:r>
          </w:p>
        </w:tc>
        <w:tc>
          <w:tcPr>
            <w:tcW w:type="dxa" w:w="1040"/>
            <w:shd w:fill="F3F4F6"/>
          </w:tcPr>
          <w:p>
            <w:r>
              <w:t>91.65%</w:t>
            </w:r>
          </w:p>
        </w:tc>
        <w:tc>
          <w:tcPr>
            <w:tcW w:type="dxa" w:w="1040"/>
            <w:shd w:fill="F3F4F6"/>
          </w:tcPr>
          <w:p>
            <w:r>
              <w:t>0.9190</w:t>
            </w:r>
          </w:p>
        </w:tc>
        <w:tc>
          <w:tcPr>
            <w:tcW w:type="dxa" w:w="1040"/>
            <w:shd w:fill="F3F4F6"/>
          </w:tcPr>
          <w:p>
            <w:r>
              <w:t>15.01s</w:t>
            </w:r>
          </w:p>
        </w:tc>
      </w:tr>
      <w:tr>
        <w:tc>
          <w:tcPr>
            <w:tcW w:type="dxa" w:w="1040"/>
            <w:shd w:fill="FFFFFF"/>
          </w:tcPr>
          <w:p>
            <w:r>
              <w:t>Dry Bean</w:t>
            </w:r>
          </w:p>
        </w:tc>
        <w:tc>
          <w:tcPr>
            <w:tcW w:type="dxa" w:w="1040"/>
            <w:shd w:fill="FFFFFF"/>
          </w:tcPr>
          <w:p>
            <w:r>
              <w:t>RBF-SVM</w:t>
            </w:r>
          </w:p>
        </w:tc>
        <w:tc>
          <w:tcPr>
            <w:tcW w:type="dxa" w:w="1040"/>
            <w:shd w:fill="FFFFFF"/>
          </w:tcPr>
          <w:p>
            <w:r>
              <w:t>92.99% (±0.007)</w:t>
            </w:r>
          </w:p>
        </w:tc>
        <w:tc>
          <w:tcPr>
            <w:tcW w:type="dxa" w:w="1040"/>
            <w:shd w:fill="FFFFFF"/>
          </w:tcPr>
          <w:p>
            <w:pPr>
              <w:jc w:val="center"/>
            </w:pPr>
            <w:r>
              <w:rPr>
                <w:sz w:val="17"/>
              </w:rPr>
              <w:t>92.43%</w:t>
            </w:r>
          </w:p>
        </w:tc>
        <w:tc>
          <w:tcPr>
            <w:tcW w:type="dxa" w:w="1040"/>
            <w:shd w:fill="FFFFFF"/>
          </w:tcPr>
          <w:p>
            <w:r>
              <w:t>93.68%</w:t>
            </w:r>
          </w:p>
        </w:tc>
        <w:tc>
          <w:tcPr>
            <w:tcW w:type="dxa" w:w="1040"/>
            <w:shd w:fill="FFFFFF"/>
          </w:tcPr>
          <w:p>
            <w:r>
              <w:t>93.38%</w:t>
            </w:r>
          </w:p>
        </w:tc>
        <w:tc>
          <w:tcPr>
            <w:tcW w:type="dxa" w:w="1040"/>
            <w:shd w:fill="FFFFFF"/>
          </w:tcPr>
          <w:p>
            <w:r>
              <w:t>93.68%</w:t>
            </w:r>
          </w:p>
        </w:tc>
        <w:tc>
          <w:tcPr>
            <w:tcW w:type="dxa" w:w="1040"/>
            <w:shd w:fill="FFFFFF"/>
          </w:tcPr>
          <w:p>
            <w:r>
              <w:t>0.9352</w:t>
            </w:r>
          </w:p>
        </w:tc>
        <w:tc>
          <w:tcPr>
            <w:tcW w:type="dxa" w:w="1040"/>
            <w:shd w:fill="FFFFFF"/>
          </w:tcPr>
          <w:p>
            <w:r>
              <w:t>12.27s</w:t>
            </w:r>
          </w:p>
        </w:tc>
      </w:tr>
      <w:tr>
        <w:tc>
          <w:tcPr>
            <w:tcW w:type="dxa" w:w="1040"/>
            <w:shd w:fill="F3F4F6"/>
          </w:tcPr>
          <w:p>
            <w:r>
              <w:t>Dry Bean</w:t>
            </w:r>
          </w:p>
        </w:tc>
        <w:tc>
          <w:tcPr>
            <w:tcW w:type="dxa" w:w="1040"/>
            <w:shd w:fill="F3F4F6"/>
          </w:tcPr>
          <w:p>
            <w:r>
              <w:t>Random Forest</w:t>
            </w:r>
          </w:p>
        </w:tc>
        <w:tc>
          <w:tcPr>
            <w:tcW w:type="dxa" w:w="1040"/>
            <w:shd w:fill="F3F4F6"/>
          </w:tcPr>
          <w:p>
            <w:r>
              <w:t>92.50% (±0.005)</w:t>
            </w:r>
          </w:p>
        </w:tc>
        <w:tc>
          <w:tcPr>
            <w:tcW w:type="dxa" w:w="1040"/>
            <w:shd w:fill="F3F4F6"/>
          </w:tcPr>
          <w:p>
            <w:r>
              <w:t>91.73%</w:t>
            </w:r>
          </w:p>
        </w:tc>
        <w:tc>
          <w:tcPr>
            <w:tcW w:type="dxa" w:w="1040"/>
            <w:shd w:fill="F3F4F6"/>
          </w:tcPr>
          <w:p>
            <w:pPr>
              <w:jc w:val="center"/>
            </w:pPr>
            <w:r>
              <w:rPr>
                <w:sz w:val="17"/>
              </w:rPr>
              <w:t>92.86%</w:t>
            </w:r>
          </w:p>
        </w:tc>
        <w:tc>
          <w:tcPr>
            <w:tcW w:type="dxa" w:w="1040"/>
            <w:shd w:fill="F3F4F6"/>
          </w:tcPr>
          <w:p>
            <w:r>
              <w:t>93.02%</w:t>
            </w:r>
          </w:p>
        </w:tc>
        <w:tc>
          <w:tcPr>
            <w:tcW w:type="dxa" w:w="1040"/>
            <w:shd w:fill="F3F4F6"/>
          </w:tcPr>
          <w:p>
            <w:r>
              <w:t>92.86%</w:t>
            </w:r>
          </w:p>
        </w:tc>
        <w:tc>
          <w:tcPr>
            <w:tcW w:type="dxa" w:w="1040"/>
            <w:shd w:fill="F3F4F6"/>
          </w:tcPr>
          <w:p>
            <w:r>
              <w:t>0.9293</w:t>
            </w:r>
          </w:p>
        </w:tc>
        <w:tc>
          <w:tcPr>
            <w:tcW w:type="dxa" w:w="1040"/>
            <w:shd w:fill="F3F4F6"/>
          </w:tcPr>
          <w:p>
            <w:r>
              <w:t>101.94s</w:t>
            </w:r>
          </w:p>
        </w:tc>
      </w:tr>
    </w:tbl>
    <w:p>
      <w:pPr>
        <w:spacing w:after="80"/>
      </w:pPr>
    </w:p>
    <w:p>
      <w:pPr>
        <w:spacing w:before="120" w:after="40"/>
        <w:jc w:val="center"/>
      </w:pPr>
      <w:r>
        <w:drawing>
          <wp:inline xmlns:a="http://schemas.openxmlformats.org/drawingml/2006/main" xmlns:pic="http://schemas.openxmlformats.org/drawingml/2006/picture">
            <wp:extent cx="5120640" cy="3442090"/>
            <wp:docPr id="17" name="Picture 17"/>
            <wp:cNvGraphicFramePr>
              <a:graphicFrameLocks noChangeAspect="1"/>
            </wp:cNvGraphicFramePr>
            <a:graphic>
              <a:graphicData uri="http://schemas.openxmlformats.org/drawingml/2006/picture">
                <pic:pic>
                  <pic:nvPicPr>
                    <pic:cNvPr id="0" name="model_comparison_test_accuracy.png"/>
                    <pic:cNvPicPr/>
                  </pic:nvPicPr>
                  <pic:blipFill>
                    <a:blip r:embed="rId25"/>
                    <a:stretch>
                      <a:fillRect/>
                    </a:stretch>
                  </pic:blipFill>
                  <pic:spPr>
                    <a:xfrm>
                      <a:off x="0" y="0"/>
                      <a:ext cx="5120640" cy="3442090"/>
                    </a:xfrm>
                    <a:prstGeom prst="rect"/>
                  </pic:spPr>
                </pic:pic>
              </a:graphicData>
            </a:graphic>
          </wp:inline>
        </w:drawing>
      </w:r>
    </w:p>
    <w:p>
      <w:pPr>
        <w:spacing w:after="160"/>
        <w:jc w:val="center"/>
      </w:pPr>
      <w:r>
        <w:rPr>
          <w:i/>
          <w:color w:val="4B5563"/>
          <w:sz w:val="18"/>
        </w:rPr>
        <w:t>图：测试集准确率 Benchmark 横向对比</w:t>
      </w:r>
    </w:p>
    <w:p>
      <w:pPr>
        <w:spacing w:before="120" w:after="40"/>
        <w:jc w:val="center"/>
      </w:pPr>
      <w:r>
        <w:drawing>
          <wp:inline xmlns:a="http://schemas.openxmlformats.org/drawingml/2006/main" xmlns:pic="http://schemas.openxmlformats.org/drawingml/2006/picture">
            <wp:extent cx="5120640" cy="3443519"/>
            <wp:docPr id="18" name="Picture 18"/>
            <wp:cNvGraphicFramePr>
              <a:graphicFrameLocks noChangeAspect="1"/>
            </wp:cNvGraphicFramePr>
            <a:graphic>
              <a:graphicData uri="http://schemas.openxmlformats.org/drawingml/2006/picture">
                <pic:pic>
                  <pic:nvPicPr>
                    <pic:cNvPr id="0" name="model_comparison_macro_f1.png"/>
                    <pic:cNvPicPr/>
                  </pic:nvPicPr>
                  <pic:blipFill>
                    <a:blip r:embed="rId26"/>
                    <a:stretch>
                      <a:fillRect/>
                    </a:stretch>
                  </pic:blipFill>
                  <pic:spPr>
                    <a:xfrm>
                      <a:off x="0" y="0"/>
                      <a:ext cx="5120640" cy="3443519"/>
                    </a:xfrm>
                    <a:prstGeom prst="rect"/>
                  </pic:spPr>
                </pic:pic>
              </a:graphicData>
            </a:graphic>
          </wp:inline>
        </w:drawing>
      </w:r>
    </w:p>
    <w:p>
      <w:pPr>
        <w:spacing w:after="160"/>
        <w:jc w:val="center"/>
      </w:pPr>
      <w:r>
        <w:rPr>
          <w:i/>
          <w:color w:val="4B5563"/>
          <w:sz w:val="18"/>
        </w:rPr>
        <w:t>图：Macro F1 Benchmark 横向对比</w:t>
      </w:r>
    </w:p>
    <w:p>
      <w:pPr>
        <w:spacing w:before="120" w:after="40"/>
        <w:jc w:val="center"/>
      </w:pPr>
      <w:r>
        <w:drawing>
          <wp:inline xmlns:a="http://schemas.openxmlformats.org/drawingml/2006/main" xmlns:pic="http://schemas.openxmlformats.org/drawingml/2006/picture">
            <wp:extent cx="5120640" cy="3466543"/>
            <wp:docPr id="19" name="Picture 19"/>
            <wp:cNvGraphicFramePr>
              <a:graphicFrameLocks noChangeAspect="1"/>
            </wp:cNvGraphicFramePr>
            <a:graphic>
              <a:graphicData uri="http://schemas.openxmlformats.org/drawingml/2006/picture">
                <pic:pic>
                  <pic:nvPicPr>
                    <pic:cNvPr id="0" name="model_comparison_time.png"/>
                    <pic:cNvPicPr/>
                  </pic:nvPicPr>
                  <pic:blipFill>
                    <a:blip r:embed="rId27"/>
                    <a:stretch>
                      <a:fillRect/>
                    </a:stretch>
                  </pic:blipFill>
                  <pic:spPr>
                    <a:xfrm>
                      <a:off x="0" y="0"/>
                      <a:ext cx="5120640" cy="3466543"/>
                    </a:xfrm>
                    <a:prstGeom prst="rect"/>
                  </pic:spPr>
                </pic:pic>
              </a:graphicData>
            </a:graphic>
          </wp:inline>
        </w:drawing>
      </w:r>
    </w:p>
    <w:p>
      <w:pPr>
        <w:spacing w:after="160"/>
        <w:jc w:val="center"/>
      </w:pPr>
      <w:r>
        <w:rPr>
          <w:i/>
          <w:color w:val="4B5563"/>
          <w:sz w:val="18"/>
        </w:rPr>
        <w:t>图：模型训练与搜索耗时 (秒)</w:t>
      </w:r>
    </w:p>
    <w:p>
      <w:pPr>
        <w:spacing w:before="120" w:after="40"/>
        <w:jc w:val="center"/>
      </w:pPr>
      <w:r>
        <w:drawing>
          <wp:inline xmlns:a="http://schemas.openxmlformats.org/drawingml/2006/main" xmlns:pic="http://schemas.openxmlformats.org/drawingml/2006/picture">
            <wp:extent cx="5120640" cy="3399787"/>
            <wp:docPr id="20" name="Picture 20"/>
            <wp:cNvGraphicFramePr>
              <a:graphicFrameLocks noChangeAspect="1"/>
            </wp:cNvGraphicFramePr>
            <a:graphic>
              <a:graphicData uri="http://schemas.openxmlformats.org/drawingml/2006/picture">
                <pic:pic>
                  <pic:nvPicPr>
                    <pic:cNvPr id="0" name="model_cv_stability_comparison.png"/>
                    <pic:cNvPicPr/>
                  </pic:nvPicPr>
                  <pic:blipFill>
                    <a:blip r:embed="rId28"/>
                    <a:stretch>
                      <a:fillRect/>
                    </a:stretch>
                  </pic:blipFill>
                  <pic:spPr>
                    <a:xfrm>
                      <a:off x="0" y="0"/>
                      <a:ext cx="5120640" cy="3399787"/>
                    </a:xfrm>
                    <a:prstGeom prst="rect"/>
                  </pic:spPr>
                </pic:pic>
              </a:graphicData>
            </a:graphic>
          </wp:inline>
        </w:drawing>
      </w:r>
    </w:p>
    <w:p>
      <w:pPr>
        <w:spacing w:after="160"/>
        <w:jc w:val="center"/>
      </w:pPr>
      <w:r>
        <w:rPr>
          <w:i/>
          <w:color w:val="4B5563"/>
          <w:sz w:val="18"/>
        </w:rPr>
        <w:t>图：5 折交叉验证准确率稳定性分布</w:t>
      </w:r>
    </w:p>
    <w:p>
      <w:pPr>
        <w:keepNext/>
        <w:spacing w:before="200" w:after="80"/>
      </w:pPr>
      <w:r>
        <w:rPr>
          <w:rFonts w:ascii="DengXian" w:hAnsi="DengXian"/>
          <w:b/>
          <w:color w:val="2563EB"/>
          <w:sz w:val="24"/>
        </w:rPr>
        <w:t>4.2 混淆矩阵与 PCA 错误空间诊断</w:t>
      </w:r>
    </w:p>
    <w:p>
      <w:pPr>
        <w:spacing w:after="80"/>
      </w:pPr>
      <w:r>
        <w:rPr>
          <w:rFonts w:ascii="DengXian" w:hAnsi="DengXian"/>
        </w:rPr>
        <w:t>归一化混淆矩阵显示，两种模型在 Bombay 品种上均取得了 100% 的召回率。然而，Dermason 与 Sira 之间存在 ~9%-10% 的相互误判。将误分类点（红色 X 标记）叠加至 PCA 投影空间，证明分类错误并非随机发生，而是严格聚焦于交界重叠区域。</w:t>
      </w:r>
    </w:p>
    <w:p>
      <w:pPr>
        <w:spacing w:before="120" w:after="40"/>
        <w:jc w:val="center"/>
      </w:pPr>
      <w:r>
        <w:drawing>
          <wp:inline xmlns:a="http://schemas.openxmlformats.org/drawingml/2006/main" xmlns:pic="http://schemas.openxmlformats.org/drawingml/2006/picture">
            <wp:extent cx="5120640" cy="2800807"/>
            <wp:docPr id="21" name="Picture 21"/>
            <wp:cNvGraphicFramePr>
              <a:graphicFrameLocks noChangeAspect="1"/>
            </wp:cNvGraphicFramePr>
            <a:graphic>
              <a:graphicData uri="http://schemas.openxmlformats.org/drawingml/2006/picture">
                <pic:pic>
                  <pic:nvPicPr>
                    <pic:cNvPr id="0" name="rice_confusion_matrices.png"/>
                    <pic:cNvPicPr/>
                  </pic:nvPicPr>
                  <pic:blipFill>
                    <a:blip r:embed="rId29"/>
                    <a:stretch>
                      <a:fillRect/>
                    </a:stretch>
                  </pic:blipFill>
                  <pic:spPr>
                    <a:xfrm>
                      <a:off x="0" y="0"/>
                      <a:ext cx="5120640" cy="2800807"/>
                    </a:xfrm>
                    <a:prstGeom prst="rect"/>
                  </pic:spPr>
                </pic:pic>
              </a:graphicData>
            </a:graphic>
          </wp:inline>
        </w:drawing>
      </w:r>
    </w:p>
    <w:p>
      <w:pPr>
        <w:spacing w:after="160"/>
        <w:jc w:val="center"/>
      </w:pPr>
      <w:r>
        <w:rPr>
          <w:i/>
          <w:color w:val="4B5563"/>
          <w:sz w:val="18"/>
        </w:rPr>
        <w:t>图：水稻测试集混淆矩阵 (数量与 recall 占比)</w:t>
      </w:r>
    </w:p>
    <w:p>
      <w:pPr>
        <w:spacing w:before="120" w:after="40"/>
        <w:jc w:val="center"/>
      </w:pPr>
      <w:r>
        <w:drawing>
          <wp:inline xmlns:a="http://schemas.openxmlformats.org/drawingml/2006/main" xmlns:pic="http://schemas.openxmlformats.org/drawingml/2006/picture">
            <wp:extent cx="5120640" cy="2806908"/>
            <wp:docPr id="22" name="Picture 22"/>
            <wp:cNvGraphicFramePr>
              <a:graphicFrameLocks noChangeAspect="1"/>
            </wp:cNvGraphicFramePr>
            <a:graphic>
              <a:graphicData uri="http://schemas.openxmlformats.org/drawingml/2006/picture">
                <pic:pic>
                  <pic:nvPicPr>
                    <pic:cNvPr id="0" name="dry_bean_confusion_matrices.png"/>
                    <pic:cNvPicPr/>
                  </pic:nvPicPr>
                  <pic:blipFill>
                    <a:blip r:embed="rId30"/>
                    <a:stretch>
                      <a:fillRect/>
                    </a:stretch>
                  </pic:blipFill>
                  <pic:spPr>
                    <a:xfrm>
                      <a:off x="0" y="0"/>
                      <a:ext cx="5120640" cy="2806908"/>
                    </a:xfrm>
                    <a:prstGeom prst="rect"/>
                  </pic:spPr>
                </pic:pic>
              </a:graphicData>
            </a:graphic>
          </wp:inline>
        </w:drawing>
      </w:r>
    </w:p>
    <w:p>
      <w:pPr>
        <w:spacing w:after="160"/>
        <w:jc w:val="center"/>
      </w:pPr>
      <w:r>
        <w:rPr>
          <w:i/>
          <w:color w:val="4B5563"/>
          <w:sz w:val="18"/>
        </w:rPr>
        <w:t>图：干豆测试集混淆矩阵 (7个品种)</w:t>
      </w:r>
    </w:p>
    <w:p>
      <w:pPr>
        <w:spacing w:before="120" w:after="40"/>
        <w:jc w:val="center"/>
      </w:pPr>
      <w:r>
        <w:drawing>
          <wp:inline xmlns:a="http://schemas.openxmlformats.org/drawingml/2006/main" xmlns:pic="http://schemas.openxmlformats.org/drawingml/2006/picture">
            <wp:extent cx="5120640" cy="3062166"/>
            <wp:docPr id="23" name="Picture 23"/>
            <wp:cNvGraphicFramePr>
              <a:graphicFrameLocks noChangeAspect="1"/>
            </wp:cNvGraphicFramePr>
            <a:graphic>
              <a:graphicData uri="http://schemas.openxmlformats.org/drawingml/2006/picture">
                <pic:pic>
                  <pic:nvPicPr>
                    <pic:cNvPr id="0" name="rice_per_class_metrics.png"/>
                    <pic:cNvPicPr/>
                  </pic:nvPicPr>
                  <pic:blipFill>
                    <a:blip r:embed="rId31"/>
                    <a:stretch>
                      <a:fillRect/>
                    </a:stretch>
                  </pic:blipFill>
                  <pic:spPr>
                    <a:xfrm>
                      <a:off x="0" y="0"/>
                      <a:ext cx="5120640" cy="3062166"/>
                    </a:xfrm>
                    <a:prstGeom prst="rect"/>
                  </pic:spPr>
                </pic:pic>
              </a:graphicData>
            </a:graphic>
          </wp:inline>
        </w:drawing>
      </w:r>
    </w:p>
    <w:p>
      <w:pPr>
        <w:spacing w:after="160"/>
        <w:jc w:val="center"/>
      </w:pPr>
      <w:r>
        <w:rPr>
          <w:i/>
          <w:color w:val="4B5563"/>
          <w:sz w:val="18"/>
        </w:rPr>
        <w:t>图：水稻各品种 Precision, Recall, F1 分解</w:t>
      </w:r>
    </w:p>
    <w:p>
      <w:pPr>
        <w:spacing w:before="120" w:after="40"/>
        <w:jc w:val="center"/>
      </w:pPr>
      <w:r>
        <w:drawing>
          <wp:inline xmlns:a="http://schemas.openxmlformats.org/drawingml/2006/main" xmlns:pic="http://schemas.openxmlformats.org/drawingml/2006/picture">
            <wp:extent cx="5120640" cy="3126442"/>
            <wp:docPr id="24" name="Picture 24"/>
            <wp:cNvGraphicFramePr>
              <a:graphicFrameLocks noChangeAspect="1"/>
            </wp:cNvGraphicFramePr>
            <a:graphic>
              <a:graphicData uri="http://schemas.openxmlformats.org/drawingml/2006/picture">
                <pic:pic>
                  <pic:nvPicPr>
                    <pic:cNvPr id="0" name="dry_bean_per_class_metrics.png"/>
                    <pic:cNvPicPr/>
                  </pic:nvPicPr>
                  <pic:blipFill>
                    <a:blip r:embed="rId32"/>
                    <a:stretch>
                      <a:fillRect/>
                    </a:stretch>
                  </pic:blipFill>
                  <pic:spPr>
                    <a:xfrm>
                      <a:off x="0" y="0"/>
                      <a:ext cx="5120640" cy="3126442"/>
                    </a:xfrm>
                    <a:prstGeom prst="rect"/>
                  </pic:spPr>
                </pic:pic>
              </a:graphicData>
            </a:graphic>
          </wp:inline>
        </w:drawing>
      </w:r>
    </w:p>
    <w:p>
      <w:pPr>
        <w:spacing w:after="160"/>
        <w:jc w:val="center"/>
      </w:pPr>
      <w:r>
        <w:rPr>
          <w:i/>
          <w:color w:val="4B5563"/>
          <w:sz w:val="18"/>
        </w:rPr>
        <w:t>图：干豆各品种 Precision, Recall, F1 分解</w:t>
      </w:r>
    </w:p>
    <w:p>
      <w:pPr>
        <w:spacing w:before="120" w:after="40"/>
        <w:jc w:val="center"/>
      </w:pPr>
      <w:r>
        <w:drawing>
          <wp:inline xmlns:a="http://schemas.openxmlformats.org/drawingml/2006/main" xmlns:pic="http://schemas.openxmlformats.org/drawingml/2006/picture">
            <wp:extent cx="5120640" cy="3238141"/>
            <wp:docPr id="25" name="Picture 25"/>
            <wp:cNvGraphicFramePr>
              <a:graphicFrameLocks noChangeAspect="1"/>
            </wp:cNvGraphicFramePr>
            <a:graphic>
              <a:graphicData uri="http://schemas.openxmlformats.org/drawingml/2006/picture">
                <pic:pic>
                  <pic:nvPicPr>
                    <pic:cNvPr id="0" name="rice_rbf_svm_error_pca.png"/>
                    <pic:cNvPicPr/>
                  </pic:nvPicPr>
                  <pic:blipFill>
                    <a:blip r:embed="rId33"/>
                    <a:stretch>
                      <a:fillRect/>
                    </a:stretch>
                  </pic:blipFill>
                  <pic:spPr>
                    <a:xfrm>
                      <a:off x="0" y="0"/>
                      <a:ext cx="5120640" cy="3238141"/>
                    </a:xfrm>
                    <a:prstGeom prst="rect"/>
                  </pic:spPr>
                </pic:pic>
              </a:graphicData>
            </a:graphic>
          </wp:inline>
        </w:drawing>
      </w:r>
    </w:p>
    <w:p>
      <w:pPr>
        <w:spacing w:after="160"/>
        <w:jc w:val="center"/>
      </w:pPr>
      <w:r>
        <w:rPr>
          <w:i/>
          <w:color w:val="4B5563"/>
          <w:sz w:val="18"/>
        </w:rPr>
        <w:t>图：水稻 RBF-SVM 错误样本 PCA 空间诊断</w:t>
      </w:r>
    </w:p>
    <w:p>
      <w:pPr>
        <w:spacing w:before="120" w:after="40"/>
        <w:jc w:val="center"/>
      </w:pPr>
      <w:r>
        <w:drawing>
          <wp:inline xmlns:a="http://schemas.openxmlformats.org/drawingml/2006/main" xmlns:pic="http://schemas.openxmlformats.org/drawingml/2006/picture">
            <wp:extent cx="5120640" cy="3207878"/>
            <wp:docPr id="26" name="Picture 26"/>
            <wp:cNvGraphicFramePr>
              <a:graphicFrameLocks noChangeAspect="1"/>
            </wp:cNvGraphicFramePr>
            <a:graphic>
              <a:graphicData uri="http://schemas.openxmlformats.org/drawingml/2006/picture">
                <pic:pic>
                  <pic:nvPicPr>
                    <pic:cNvPr id="0" name="dry_bean_rbf_svm_error_pca.png"/>
                    <pic:cNvPicPr/>
                  </pic:nvPicPr>
                  <pic:blipFill>
                    <a:blip r:embed="rId34"/>
                    <a:stretch>
                      <a:fillRect/>
                    </a:stretch>
                  </pic:blipFill>
                  <pic:spPr>
                    <a:xfrm>
                      <a:off x="0" y="0"/>
                      <a:ext cx="5120640" cy="3207878"/>
                    </a:xfrm>
                    <a:prstGeom prst="rect"/>
                  </pic:spPr>
                </pic:pic>
              </a:graphicData>
            </a:graphic>
          </wp:inline>
        </w:drawing>
      </w:r>
    </w:p>
    <w:p>
      <w:pPr>
        <w:spacing w:after="160"/>
        <w:jc w:val="center"/>
      </w:pPr>
      <w:r>
        <w:rPr>
          <w:i/>
          <w:color w:val="4B5563"/>
          <w:sz w:val="18"/>
        </w:rPr>
        <w:t>图：干豆 RBF-SVM 错误样本 PCA 空间诊断</w:t>
      </w:r>
    </w:p>
    <w:p>
      <w:pPr>
        <w:keepNext/>
        <w:spacing w:before="280" w:after="120"/>
      </w:pPr>
      <w:r>
        <w:rPr>
          <w:rFonts w:ascii="DengXian" w:hAnsi="DengXian"/>
          <w:b/>
          <w:color w:val="1E40AF"/>
          <w:sz w:val="28"/>
        </w:rPr>
        <w:t>5. 视觉叙事与商业应用洞察</w:t>
      </w:r>
    </w:p>
    <w:p>
      <w:pPr>
        <w:pStyle w:val="ListBullet"/>
        <w:spacing w:after="80"/>
      </w:pPr>
      <w:r>
        <w:rPr>
          <w:rFonts w:ascii="DengXian" w:hAnsi="DengXian"/>
          <w:b/>
        </w:rPr>
        <w:t>连续几何特征契合 RBF 核函数平滑边界：</w:t>
      </w:r>
      <w:r>
        <w:rPr>
          <w:rFonts w:ascii="DengXian" w:hAnsi="DengXian"/>
        </w:rPr>
        <w:t>农产品形态学特征均为连续物理测量值，RBF-SVM 构建的连续平滑决策超平面更契合连续物理分布，在多分类复杂任务上超越了决策树的阶梯式割裂边界（干豆 Macro F1: 0.9352 vs 0.9293）。</w:t>
      </w:r>
    </w:p>
    <w:p>
      <w:pPr>
        <w:pStyle w:val="ListBullet"/>
        <w:spacing w:after="80"/>
      </w:pPr>
      <w:r>
        <w:rPr>
          <w:rFonts w:ascii="DengXian" w:hAnsi="DengXian"/>
          <w:b/>
        </w:rPr>
        <w:t>计算时间效率的扩展性对比：</w:t>
      </w:r>
      <w:r>
        <w:rPr>
          <w:rFonts w:ascii="DengXian" w:hAnsi="DengXian"/>
        </w:rPr>
        <w:t>随机森林在样本量与特征维度增加时训练耗时显著上升（干豆数据集耗时 101.9 秒，而 RBF-SVM 仅需 12.3 秒）。RBF-SVM 实现了 8.3 倍的计算加速，更适合工业流水线实时分选系统。</w:t>
      </w:r>
    </w:p>
    <w:p>
      <w:pPr>
        <w:pStyle w:val="ListBullet"/>
        <w:spacing w:after="80"/>
      </w:pPr>
      <w:r>
        <w:rPr>
          <w:rFonts w:ascii="DengXian" w:hAnsi="DengXian"/>
          <w:b/>
        </w:rPr>
        <w:t>工业分选策略建议：</w:t>
      </w:r>
      <w:r>
        <w:rPr>
          <w:rFonts w:ascii="DengXian" w:hAnsi="DengXian"/>
        </w:rPr>
        <w:t>基础形态特征可在独特性特征品种（如 Bombay, Seker）上实现 100% 识别率。针对高重叠品种（Sira 与 Dermason），建议工业系统补充纹理或多光谱特征以突破分类瓶颈。</w:t>
      </w:r>
    </w:p>
    <w:p>
      <w:pPr>
        <w:keepNext/>
        <w:spacing w:before="280" w:after="120"/>
      </w:pPr>
      <w:r>
        <w:rPr>
          <w:rFonts w:ascii="DengXian" w:hAnsi="DengXian"/>
          <w:b/>
          <w:color w:val="1E40AF"/>
          <w:sz w:val="28"/>
        </w:rPr>
        <w:t>6. 结论总结与学习曲线差异补充说明</w:t>
      </w:r>
    </w:p>
    <w:p>
      <w:pPr>
        <w:spacing w:after="80"/>
      </w:pPr>
      <w:r>
        <w:rPr>
          <w:rFonts w:ascii="DengXian" w:hAnsi="DengXian"/>
        </w:rPr>
        <w:t>本项目成功构建了涵盖数据探索、超参数优化表面、学习曲线分析以及错误空间诊断的完整数据可视化与 AI 建模分析框架。主要结论与核心发现总结如下：</w:t>
      </w:r>
    </w:p>
    <w:p>
      <w:pPr>
        <w:pStyle w:val="ListBullet"/>
        <w:spacing w:after="80"/>
      </w:pPr>
      <w:r>
        <w:rPr>
          <w:rFonts w:ascii="DengXian" w:hAnsi="DengXian"/>
          <w:b/>
        </w:rPr>
        <w:t>1. 整体算法扩展性与复杂度适应力：</w:t>
      </w:r>
      <w:r>
        <w:rPr>
          <w:rFonts w:ascii="DengXian" w:hAnsi="DengXian"/>
        </w:rPr>
        <w:t>在低维二分类数据（Rice）上，RBF-SVM 与随机森林均取得了约 92% 的高准确率。然而，当扩展至高维多分类且存在簇重叠的数据（Dry Bean）时，RBF-SVM 在 Macro F1（0.9352 vs 0.9293）和测试集准确率（92.43% vs 91.73%）上均优于随机森林，且计算速度提升 8.3 倍。</w:t>
      </w:r>
    </w:p>
    <w:p>
      <w:pPr>
        <w:pStyle w:val="ListBullet"/>
        <w:spacing w:after="80"/>
      </w:pPr>
      <w:r>
        <w:rPr>
          <w:rFonts w:ascii="DengXian" w:hAnsi="DengXian"/>
          <w:b/>
        </w:rPr>
        <w:t>2. 两种机器学习算法学习曲线特性的补充对比说明：</w:t>
      </w:r>
      <w:r>
        <w:rPr>
          <w:rFonts w:ascii="DengXian" w:hAnsi="DengXian"/>
        </w:rPr>
        <w:t>本研究的一个核心发现是通过学习曲线可视化直观揭示了两种算法在内在机制与样本效率上的本质差异：</w:t>
        <w:br/>
        <w:t xml:space="preserve"> - RBF-SVM 学习曲线特点：RBF-SVM 的训练集曲线从非饱和准确率（~93.5%）开始，随样本量增加与 5 折交叉验证曲线极其平滑地双向收敛。训练集与验证集之间的渐近间隙极小（&lt; 1.5%），且标准差带极窄。这证明高斯核平滑超平面能够在不发生过拟合的情况下高效泛化，具有极高的样本利用效率。</w:t>
        <w:br/>
        <w:t xml:space="preserve"> - 随机森林学习曲线特点：相比之下，由于决策树集成的强记忆能力，随机森林在所有样本量下均保持近乎 100% 的训练集准确率。尽管验证集曲线随样本扩充从 ~88% 稳步上升至 ~92.5%，但训练集与验证集之间始终保持着 ~6.5% 的固定泛化间隙。这体现了树模型阶梯式轴对齐割裂边界的固有特性，需要更多数据来逼近连续非线性边界。</w:t>
        <w:br/>
        <w:t xml:space="preserve"> - 总结说明：RBF-SVM 在连续物理属性特征上展现出更平滑的泛化收敛性与更低的高方差风险；而随机森林依赖于较强的数据记忆能力，需要更大样本量来削减阶梯决策边界的逼近误差。</w:t>
      </w:r>
    </w:p>
    <w:p>
      <w:pPr>
        <w:pStyle w:val="ListBullet"/>
        <w:spacing w:after="80"/>
      </w:pPr>
      <w:r>
        <w:rPr>
          <w:rFonts w:ascii="DengXian" w:hAnsi="DengXian"/>
          <w:b/>
        </w:rPr>
        <w:t>3. 方法论创新与数据可视化贡献：</w:t>
      </w:r>
      <w:r>
        <w:rPr>
          <w:rFonts w:ascii="DengXian" w:hAnsi="DengXian"/>
        </w:rPr>
        <w:t>本研究创新性地引入了 2D PCA 误分类空间诊断映射法，将错误样本点精准叠加于带置信椭圆的 PCA 特征空间中。这从视觉上验证了分类失效源自物理边界交叠（如 Sira / Dermason）而非模型随机不稳定性。</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DengXian" w:hAnsi="DengXian"/>
      <w:color w:val="1F29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