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Viet Lai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012140464</w:t>
      </w:r>
    </w:p>
    <w:p w:rsidR="00000000" w:rsidDel="00000000" w:rsidP="00000000" w:rsidRDefault="00000000" w:rsidRPr="00000000">
      <w:pPr>
        <w:pBdr/>
        <w:ind w:left="288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Emergency Notification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Emergency notification system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All users store a phone number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Sends notification to mobile app and to all cell numbers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Design goals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Quick use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Send an instant message to every user at the press of a button.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Pre-written messages with the ability to quick edit them before release.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Easy accessibility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Regulated to contain only important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Cost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https://www.textmagic.com/sms-pricing/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API Friendly mass texting solution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Expensive per notification - $2000 for 50000 messages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Quick and easy extension to our current api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Time to implement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- 1 work week (40 hours) of work to implement and test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Code is extremely simple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Load the TextMagic REST API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Add methods to current classes that call required functions from the TextMagic API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Extend previous classes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Extensions to current classes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Notification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Send(phonelist), Calls the send method from ™ API, takes a phone number list as an argument, and also sends a notification to mobile app.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Edit(string), Change notification information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Phone Number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New classes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PhoneList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 GatherNumbers, Goes through every user and gets phone number from them, store in an array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textmagic.com/sms-pricing/" TargetMode="External"/><Relationship Id="rId6" Type="http://schemas.openxmlformats.org/officeDocument/2006/relationships/header" Target="header1.xml"/></Relationships>
</file>