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9EC50">
      <w:pPr>
        <w:adjustRightInd w:val="0"/>
        <w:snapToGrid w:val="0"/>
        <w:spacing w:line="560" w:lineRule="exact"/>
        <w:ind w:firstLine="0" w:firstLineChars="0"/>
        <w:jc w:val="left"/>
        <w:rPr>
          <w:rFonts w:hint="eastAsia" w:ascii="宋体" w:hAnsi="宋体" w:eastAsia="宋体" w:cs="方正小标宋简体"/>
          <w:sz w:val="32"/>
          <w:szCs w:val="32"/>
        </w:rPr>
      </w:pPr>
      <w:bookmarkStart w:id="0" w:name="_Toc164633463"/>
      <w:r>
        <w:rPr>
          <w:rFonts w:hint="eastAsia" w:ascii="微软雅黑" w:hAnsi="微软雅黑" w:eastAsia="微软雅黑" w:cs="方正小标宋简体"/>
          <w:szCs w:val="28"/>
        </w:rPr>
        <w:t>附件1</w:t>
      </w:r>
      <w:r>
        <w:rPr>
          <w:rFonts w:hint="eastAsia" w:ascii="宋体" w:hAnsi="宋体" w:eastAsia="宋体" w:cs="方正小标宋简体"/>
          <w:sz w:val="32"/>
          <w:szCs w:val="32"/>
        </w:rPr>
        <w:t>：</w:t>
      </w:r>
    </w:p>
    <w:p w14:paraId="33B70B61">
      <w:pPr>
        <w:adjustRightInd w:val="0"/>
        <w:snapToGrid w:val="0"/>
        <w:spacing w:line="560" w:lineRule="exact"/>
        <w:ind w:firstLine="0" w:firstLineChars="0"/>
        <w:jc w:val="center"/>
        <w:rPr>
          <w:rFonts w:hint="eastAsia" w:ascii="微软雅黑" w:hAnsi="微软雅黑" w:eastAsia="微软雅黑" w:cs="方正小标宋简体"/>
          <w:b/>
          <w:bCs/>
          <w:sz w:val="44"/>
          <w:szCs w:val="44"/>
        </w:rPr>
      </w:pPr>
      <w:r>
        <w:rPr>
          <w:rFonts w:ascii="微软雅黑" w:hAnsi="微软雅黑" w:eastAsia="微软雅黑" w:cs="方正小标宋简体"/>
          <w:b/>
          <w:bCs/>
          <w:sz w:val="44"/>
          <w:szCs w:val="44"/>
        </w:rPr>
        <w:t>智能体创新实践大赛</w:t>
      </w:r>
      <w:r>
        <w:rPr>
          <w:rFonts w:hint="eastAsia" w:ascii="微软雅黑" w:hAnsi="微软雅黑" w:eastAsia="微软雅黑" w:cs="方正小标宋简体"/>
          <w:b/>
          <w:bCs/>
          <w:sz w:val="44"/>
          <w:szCs w:val="44"/>
        </w:rPr>
        <w:t>报名表</w:t>
      </w:r>
    </w:p>
    <w:p w14:paraId="103C50D9">
      <w:pPr>
        <w:adjustRightInd w:val="0"/>
        <w:snapToGrid w:val="0"/>
        <w:spacing w:line="560" w:lineRule="exact"/>
        <w:ind w:firstLine="640"/>
        <w:rPr>
          <w:rFonts w:eastAsia="仿宋_GB2312"/>
          <w:bCs/>
          <w:sz w:val="32"/>
          <w:szCs w:val="32"/>
        </w:rPr>
      </w:pPr>
    </w:p>
    <w:tbl>
      <w:tblPr>
        <w:tblStyle w:val="8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636"/>
        <w:gridCol w:w="1178"/>
        <w:gridCol w:w="1571"/>
        <w:gridCol w:w="915"/>
        <w:gridCol w:w="2094"/>
        <w:gridCol w:w="1448"/>
      </w:tblGrid>
      <w:tr w14:paraId="23E6B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671" w:type="pct"/>
            <w:vAlign w:val="center"/>
          </w:tcPr>
          <w:p w14:paraId="74F648AE">
            <w:pPr>
              <w:adjustRightInd w:val="0"/>
              <w:snapToGrid w:val="0"/>
              <w:ind w:firstLine="0" w:firstLineChars="0"/>
              <w:jc w:val="center"/>
              <w:rPr>
                <w:rFonts w:hint="eastAsia" w:ascii="微软雅黑" w:hAnsi="微软雅黑" w:eastAsia="微软雅黑"/>
                <w:bCs/>
                <w:sz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</w:rPr>
              <w:t>队伍</w:t>
            </w:r>
            <w:r>
              <w:rPr>
                <w:rFonts w:ascii="微软雅黑" w:hAnsi="微软雅黑" w:eastAsia="微软雅黑"/>
                <w:b/>
                <w:sz w:val="24"/>
              </w:rPr>
              <w:t>名称</w:t>
            </w:r>
          </w:p>
        </w:tc>
        <w:tc>
          <w:tcPr>
            <w:tcW w:w="4328" w:type="pct"/>
            <w:gridSpan w:val="6"/>
            <w:vAlign w:val="center"/>
          </w:tcPr>
          <w:p w14:paraId="274F2FBA">
            <w:pPr>
              <w:adjustRightInd w:val="0"/>
              <w:snapToGrid w:val="0"/>
              <w:ind w:firstLine="0" w:firstLineChars="0"/>
              <w:rPr>
                <w:rFonts w:hint="eastAsia" w:eastAsia="仿宋_GB2312"/>
                <w:sz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lang w:val="en-US" w:eastAsia="zh-CN"/>
              </w:rPr>
              <w:t>来到世界最高城理塘太美丽了这不丁真吗队</w:t>
            </w:r>
          </w:p>
        </w:tc>
      </w:tr>
      <w:tr w14:paraId="24748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671" w:type="pct"/>
            <w:vAlign w:val="center"/>
          </w:tcPr>
          <w:p w14:paraId="6517CE07">
            <w:pPr>
              <w:adjustRightInd w:val="0"/>
              <w:snapToGrid w:val="0"/>
              <w:ind w:firstLine="0" w:firstLineChars="0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</w:rPr>
              <w:t>参赛赛道</w:t>
            </w:r>
          </w:p>
        </w:tc>
        <w:tc>
          <w:tcPr>
            <w:tcW w:w="4328" w:type="pct"/>
            <w:gridSpan w:val="6"/>
          </w:tcPr>
          <w:p w14:paraId="54EA8024">
            <w:pPr>
              <w:adjustRightInd w:val="0"/>
              <w:snapToGrid w:val="0"/>
              <w:ind w:firstLine="0" w:firstLineChars="0"/>
              <w:rPr>
                <w:rFonts w:hint="eastAsia" w:cs="微软雅黑" w:asciiTheme="majorEastAsia" w:hAnsiTheme="majorEastAsia" w:eastAsiaTheme="majorEastAsia"/>
                <w:sz w:val="24"/>
              </w:rPr>
            </w:pPr>
            <w:r>
              <w:rPr>
                <w:rFonts w:hint="eastAsia" w:cs="微软雅黑" w:asciiTheme="majorEastAsia" w:hAnsiTheme="majorEastAsia" w:eastAsiaTheme="majorEastAsia"/>
                <w:sz w:val="24"/>
                <w:lang w:eastAsia="zh-CN"/>
              </w:rPr>
              <w:t>☑</w:t>
            </w:r>
            <w:r>
              <w:rPr>
                <w:rFonts w:hint="eastAsia" w:cs="微软雅黑" w:asciiTheme="majorEastAsia" w:hAnsiTheme="majorEastAsia" w:eastAsiaTheme="majorEastAsia"/>
                <w:sz w:val="24"/>
              </w:rPr>
              <w:t>中兴赛道   □</w:t>
            </w:r>
            <w:r>
              <w:rPr>
                <w:rFonts w:cs="微软雅黑" w:asciiTheme="majorEastAsia" w:hAnsiTheme="majorEastAsia" w:eastAsiaTheme="majorEastAsia"/>
                <w:sz w:val="24"/>
              </w:rPr>
              <w:t>揭榜挂帅赛道</w:t>
            </w:r>
          </w:p>
          <w:p w14:paraId="2B6EE3D5">
            <w:pPr>
              <w:adjustRightInd w:val="0"/>
              <w:snapToGrid w:val="0"/>
              <w:ind w:firstLine="0" w:firstLineChars="0"/>
              <w:rPr>
                <w:rFonts w:hint="eastAsia" w:asciiTheme="majorEastAsia" w:hAnsiTheme="majorEastAsia" w:eastAsiaTheme="majorEastAsia"/>
                <w:sz w:val="24"/>
              </w:rPr>
            </w:pPr>
          </w:p>
          <w:p w14:paraId="5D47BEEE">
            <w:pPr>
              <w:adjustRightInd w:val="0"/>
              <w:snapToGrid w:val="0"/>
              <w:ind w:firstLine="0" w:firstLineChars="0"/>
              <w:rPr>
                <w:rFonts w:hint="eastAsia"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（</w:t>
            </w:r>
            <w:r>
              <w:rPr>
                <w:rFonts w:hint="eastAsia" w:asciiTheme="majorEastAsia" w:hAnsiTheme="majorEastAsia" w:eastAsiaTheme="majorEastAsia"/>
                <w:sz w:val="24"/>
              </w:rPr>
              <w:sym w:font="Wingdings 2" w:char="F050"/>
            </w:r>
            <w:r>
              <w:rPr>
                <w:rFonts w:hint="eastAsia" w:asciiTheme="majorEastAsia" w:hAnsiTheme="majorEastAsia" w:eastAsiaTheme="majorEastAsia"/>
                <w:sz w:val="24"/>
              </w:rPr>
              <w:t>）本科组（）研究生组</w:t>
            </w:r>
          </w:p>
        </w:tc>
      </w:tr>
      <w:tr w14:paraId="734D2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  <w:jc w:val="center"/>
        </w:trPr>
        <w:tc>
          <w:tcPr>
            <w:tcW w:w="671" w:type="pct"/>
            <w:vAlign w:val="center"/>
          </w:tcPr>
          <w:p w14:paraId="25B3E01B">
            <w:pPr>
              <w:adjustRightInd w:val="0"/>
              <w:snapToGrid w:val="0"/>
              <w:spacing w:line="560" w:lineRule="exact"/>
              <w:ind w:firstLine="0" w:firstLineChars="0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</w:rPr>
              <w:t>参赛命题</w:t>
            </w:r>
          </w:p>
        </w:tc>
        <w:tc>
          <w:tcPr>
            <w:tcW w:w="4328" w:type="pct"/>
            <w:gridSpan w:val="6"/>
            <w:vAlign w:val="center"/>
          </w:tcPr>
          <w:p w14:paraId="00A9206A">
            <w:pPr>
              <w:spacing w:line="220" w:lineRule="auto"/>
              <w:ind w:firstLine="0" w:firstLineChars="0"/>
              <w:rPr>
                <w:rFonts w:eastAsia="仿宋_GB2312"/>
                <w:szCs w:val="28"/>
              </w:rPr>
            </w:pPr>
            <w:r>
              <w:rPr>
                <w:rFonts w:hint="eastAsia" w:eastAsia="仿宋_GB2312"/>
                <w:sz w:val="24"/>
                <w:lang w:val="en-US" w:eastAsia="zh-CN"/>
              </w:rPr>
              <w:t>命题四：学习DDL与资料管理智能体</w:t>
            </w:r>
          </w:p>
        </w:tc>
      </w:tr>
      <w:tr w14:paraId="00C48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exact"/>
          <w:jc w:val="center"/>
        </w:trPr>
        <w:tc>
          <w:tcPr>
            <w:tcW w:w="5000" w:type="pct"/>
            <w:gridSpan w:val="7"/>
            <w:vAlign w:val="center"/>
          </w:tcPr>
          <w:p w14:paraId="608F9E9B">
            <w:pPr>
              <w:adjustRightInd w:val="0"/>
              <w:snapToGrid w:val="0"/>
              <w:spacing w:line="360" w:lineRule="exact"/>
              <w:ind w:firstLine="0" w:firstLineChars="0"/>
              <w:jc w:val="center"/>
              <w:rPr>
                <w:rFonts w:hint="eastAsia" w:asciiTheme="majorEastAsia" w:hAnsiTheme="majorEastAsia" w:eastAsiaTheme="majorEastAsia"/>
                <w:b/>
                <w:sz w:val="24"/>
              </w:rPr>
            </w:pPr>
            <w:r>
              <w:rPr>
                <w:rFonts w:hint="eastAsia" w:cs="微软雅黑" w:asciiTheme="majorEastAsia" w:hAnsiTheme="majorEastAsia" w:eastAsiaTheme="majorEastAsia"/>
                <w:bCs/>
                <w:sz w:val="24"/>
              </w:rPr>
              <w:t>是否需要</w:t>
            </w:r>
            <w:r>
              <w:rPr>
                <w:rFonts w:hint="eastAsia" w:cs="___WRD_EMBED_SUB_50" w:asciiTheme="majorEastAsia" w:hAnsiTheme="majorEastAsia" w:eastAsiaTheme="majorEastAsia"/>
                <w:bCs/>
                <w:sz w:val="24"/>
              </w:rPr>
              <w:t>组</w:t>
            </w:r>
            <w:r>
              <w:rPr>
                <w:rFonts w:hint="eastAsia" w:cs="微软雅黑" w:asciiTheme="majorEastAsia" w:hAnsiTheme="majorEastAsia" w:eastAsiaTheme="majorEastAsia"/>
                <w:bCs/>
                <w:sz w:val="24"/>
              </w:rPr>
              <w:t>委会提供</w:t>
            </w:r>
            <w:r>
              <w:rPr>
                <w:rFonts w:hint="eastAsia" w:cs="___WRD_EMBED_SUB_50" w:asciiTheme="majorEastAsia" w:hAnsiTheme="majorEastAsia" w:eastAsiaTheme="majorEastAsia"/>
                <w:bCs/>
                <w:sz w:val="24"/>
              </w:rPr>
              <w:t>技术</w:t>
            </w:r>
            <w:r>
              <w:rPr>
                <w:rFonts w:hint="eastAsia" w:cs="微软雅黑" w:asciiTheme="majorEastAsia" w:hAnsiTheme="majorEastAsia" w:eastAsiaTheme="majorEastAsia"/>
                <w:bCs/>
                <w:sz w:val="24"/>
              </w:rPr>
              <w:t xml:space="preserve">支持或数据说明 </w:t>
            </w:r>
            <w:r>
              <w:rPr>
                <w:rFonts w:hint="eastAsia" w:cs="微软雅黑" w:asciiTheme="majorEastAsia" w:hAnsiTheme="majorEastAsia" w:eastAsiaTheme="majorEastAsia"/>
                <w:bCs/>
                <w:sz w:val="24"/>
                <w:lang w:eastAsia="zh-CN"/>
              </w:rPr>
              <w:t>☑</w:t>
            </w:r>
            <w:r>
              <w:rPr>
                <w:rFonts w:hint="eastAsia" w:cs="微软雅黑" w:asciiTheme="majorEastAsia" w:hAnsiTheme="majorEastAsia" w:eastAsiaTheme="majorEastAsia"/>
                <w:bCs/>
                <w:sz w:val="24"/>
              </w:rPr>
              <w:t>是  □否</w:t>
            </w:r>
          </w:p>
        </w:tc>
      </w:tr>
      <w:tr w14:paraId="5582A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exact"/>
          <w:jc w:val="center"/>
        </w:trPr>
        <w:tc>
          <w:tcPr>
            <w:tcW w:w="671" w:type="pct"/>
            <w:vMerge w:val="restart"/>
            <w:vAlign w:val="center"/>
          </w:tcPr>
          <w:p w14:paraId="0DE20638">
            <w:pPr>
              <w:adjustRightInd w:val="0"/>
              <w:snapToGrid w:val="0"/>
              <w:spacing w:line="340" w:lineRule="exact"/>
              <w:ind w:firstLine="0" w:firstLineChars="0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</w:rPr>
              <w:t>队伍负责人及团队主要成员</w:t>
            </w:r>
          </w:p>
        </w:tc>
        <w:tc>
          <w:tcPr>
            <w:tcW w:w="351" w:type="pct"/>
            <w:vMerge w:val="restart"/>
            <w:vAlign w:val="center"/>
          </w:tcPr>
          <w:p w14:paraId="331551CF">
            <w:pPr>
              <w:adjustRightInd w:val="0"/>
              <w:snapToGrid w:val="0"/>
              <w:spacing w:line="520" w:lineRule="exact"/>
              <w:ind w:firstLine="0" w:firstLineChars="0"/>
              <w:jc w:val="center"/>
              <w:rPr>
                <w:rFonts w:ascii="微软雅黑" w:hAnsi="微软雅黑" w:eastAsia="微软雅黑"/>
                <w:b/>
                <w:sz w:val="24"/>
              </w:rPr>
            </w:pPr>
            <w:r>
              <w:rPr>
                <w:rFonts w:ascii="微软雅黑" w:hAnsi="微软雅黑" w:eastAsia="微软雅黑"/>
                <w:b/>
                <w:sz w:val="24"/>
              </w:rPr>
              <w:t>负</w:t>
            </w:r>
          </w:p>
          <w:p w14:paraId="53F051C5">
            <w:pPr>
              <w:adjustRightInd w:val="0"/>
              <w:snapToGrid w:val="0"/>
              <w:spacing w:line="520" w:lineRule="exact"/>
              <w:ind w:firstLine="0" w:firstLineChars="0"/>
              <w:jc w:val="center"/>
              <w:rPr>
                <w:rFonts w:ascii="微软雅黑" w:hAnsi="微软雅黑" w:eastAsia="微软雅黑"/>
                <w:b/>
                <w:sz w:val="24"/>
              </w:rPr>
            </w:pPr>
            <w:r>
              <w:rPr>
                <w:rFonts w:ascii="微软雅黑" w:hAnsi="微软雅黑" w:eastAsia="微软雅黑"/>
                <w:b/>
                <w:sz w:val="24"/>
              </w:rPr>
              <w:t>责</w:t>
            </w:r>
          </w:p>
          <w:p w14:paraId="659EACCE">
            <w:pPr>
              <w:adjustRightInd w:val="0"/>
              <w:snapToGrid w:val="0"/>
              <w:spacing w:line="520" w:lineRule="exact"/>
              <w:ind w:firstLine="0" w:firstLineChars="0"/>
              <w:jc w:val="center"/>
              <w:rPr>
                <w:rFonts w:ascii="微软雅黑" w:hAnsi="微软雅黑" w:eastAsia="微软雅黑"/>
                <w:b/>
                <w:sz w:val="24"/>
              </w:rPr>
            </w:pPr>
            <w:r>
              <w:rPr>
                <w:rFonts w:ascii="微软雅黑" w:hAnsi="微软雅黑" w:eastAsia="微软雅黑"/>
                <w:b/>
                <w:sz w:val="24"/>
              </w:rPr>
              <w:t>人</w:t>
            </w:r>
          </w:p>
          <w:p w14:paraId="13584C6E">
            <w:pPr>
              <w:adjustRightInd w:val="0"/>
              <w:snapToGrid w:val="0"/>
              <w:spacing w:line="520" w:lineRule="exact"/>
              <w:ind w:firstLine="0" w:firstLineChars="0"/>
              <w:jc w:val="center"/>
              <w:rPr>
                <w:rFonts w:ascii="微软雅黑" w:hAnsi="微软雅黑" w:eastAsia="微软雅黑"/>
                <w:b/>
                <w:sz w:val="24"/>
              </w:rPr>
            </w:pPr>
            <w:r>
              <w:rPr>
                <w:rFonts w:ascii="微软雅黑" w:hAnsi="微软雅黑" w:eastAsia="微软雅黑"/>
                <w:b/>
                <w:sz w:val="24"/>
              </w:rPr>
              <w:t>团</w:t>
            </w:r>
          </w:p>
          <w:p w14:paraId="3D78D986">
            <w:pPr>
              <w:adjustRightInd w:val="0"/>
              <w:snapToGrid w:val="0"/>
              <w:spacing w:line="520" w:lineRule="exact"/>
              <w:ind w:firstLine="0" w:firstLineChars="0"/>
              <w:jc w:val="center"/>
              <w:rPr>
                <w:rFonts w:ascii="微软雅黑" w:hAnsi="微软雅黑" w:eastAsia="微软雅黑"/>
                <w:b/>
                <w:sz w:val="24"/>
              </w:rPr>
            </w:pPr>
            <w:r>
              <w:rPr>
                <w:rFonts w:ascii="微软雅黑" w:hAnsi="微软雅黑" w:eastAsia="微软雅黑"/>
                <w:b/>
                <w:sz w:val="24"/>
              </w:rPr>
              <w:t>队</w:t>
            </w:r>
          </w:p>
          <w:p w14:paraId="603DC10B">
            <w:pPr>
              <w:adjustRightInd w:val="0"/>
              <w:snapToGrid w:val="0"/>
              <w:spacing w:line="520" w:lineRule="exact"/>
              <w:ind w:firstLine="0" w:firstLineChars="0"/>
              <w:jc w:val="center"/>
              <w:rPr>
                <w:rFonts w:ascii="微软雅黑" w:hAnsi="微软雅黑" w:eastAsia="微软雅黑"/>
                <w:b/>
                <w:sz w:val="24"/>
              </w:rPr>
            </w:pPr>
            <w:r>
              <w:rPr>
                <w:rFonts w:ascii="微软雅黑" w:hAnsi="微软雅黑" w:eastAsia="微软雅黑"/>
                <w:b/>
                <w:sz w:val="24"/>
              </w:rPr>
              <w:t>主</w:t>
            </w:r>
          </w:p>
          <w:p w14:paraId="3C23BB42">
            <w:pPr>
              <w:adjustRightInd w:val="0"/>
              <w:snapToGrid w:val="0"/>
              <w:spacing w:line="520" w:lineRule="exact"/>
              <w:ind w:firstLine="0" w:firstLineChars="0"/>
              <w:jc w:val="center"/>
              <w:rPr>
                <w:rFonts w:ascii="微软雅黑" w:hAnsi="微软雅黑" w:eastAsia="微软雅黑"/>
                <w:b/>
                <w:sz w:val="24"/>
              </w:rPr>
            </w:pPr>
            <w:r>
              <w:rPr>
                <w:rFonts w:ascii="微软雅黑" w:hAnsi="微软雅黑" w:eastAsia="微软雅黑"/>
                <w:b/>
                <w:sz w:val="24"/>
              </w:rPr>
              <w:t>要</w:t>
            </w:r>
          </w:p>
          <w:p w14:paraId="41D39AE8">
            <w:pPr>
              <w:adjustRightInd w:val="0"/>
              <w:snapToGrid w:val="0"/>
              <w:spacing w:line="520" w:lineRule="exact"/>
              <w:ind w:firstLine="0" w:firstLineChars="0"/>
              <w:jc w:val="center"/>
              <w:rPr>
                <w:rFonts w:ascii="微软雅黑" w:hAnsi="微软雅黑" w:eastAsia="微软雅黑"/>
                <w:b/>
                <w:sz w:val="24"/>
              </w:rPr>
            </w:pPr>
            <w:r>
              <w:rPr>
                <w:rFonts w:ascii="微软雅黑" w:hAnsi="微软雅黑" w:eastAsia="微软雅黑"/>
                <w:b/>
                <w:sz w:val="24"/>
              </w:rPr>
              <w:t>成</w:t>
            </w:r>
          </w:p>
          <w:p w14:paraId="457DD369">
            <w:pPr>
              <w:adjustRightInd w:val="0"/>
              <w:snapToGrid w:val="0"/>
              <w:spacing w:line="520" w:lineRule="exact"/>
              <w:ind w:firstLine="0" w:firstLineChars="0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ascii="微软雅黑" w:hAnsi="微软雅黑" w:eastAsia="微软雅黑"/>
                <w:b/>
                <w:sz w:val="24"/>
              </w:rPr>
              <w:t>员</w:t>
            </w:r>
          </w:p>
        </w:tc>
        <w:tc>
          <w:tcPr>
            <w:tcW w:w="650" w:type="pct"/>
            <w:vAlign w:val="center"/>
          </w:tcPr>
          <w:p w14:paraId="07244767">
            <w:pPr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姓名</w:t>
            </w:r>
          </w:p>
        </w:tc>
        <w:tc>
          <w:tcPr>
            <w:tcW w:w="867" w:type="pct"/>
            <w:vAlign w:val="center"/>
          </w:tcPr>
          <w:p w14:paraId="15D3EF3F">
            <w:pPr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所在</w:t>
            </w:r>
            <w:r>
              <w:rPr>
                <w:rFonts w:hint="eastAsia" w:ascii="宋体" w:hAnsi="宋体" w:eastAsia="宋体"/>
                <w:sz w:val="24"/>
              </w:rPr>
              <w:t>学</w:t>
            </w:r>
            <w:r>
              <w:rPr>
                <w:rFonts w:ascii="宋体" w:hAnsi="宋体" w:eastAsia="宋体"/>
                <w:sz w:val="24"/>
              </w:rPr>
              <w:t>院</w:t>
            </w:r>
          </w:p>
        </w:tc>
        <w:tc>
          <w:tcPr>
            <w:tcW w:w="505" w:type="pct"/>
            <w:vAlign w:val="center"/>
          </w:tcPr>
          <w:p w14:paraId="7E8DF988">
            <w:pPr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年级</w:t>
            </w:r>
          </w:p>
        </w:tc>
        <w:tc>
          <w:tcPr>
            <w:tcW w:w="1155" w:type="pct"/>
            <w:vAlign w:val="center"/>
          </w:tcPr>
          <w:p w14:paraId="27AAD8B5">
            <w:pPr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所学专业</w:t>
            </w:r>
          </w:p>
        </w:tc>
        <w:tc>
          <w:tcPr>
            <w:tcW w:w="799" w:type="pct"/>
            <w:vAlign w:val="center"/>
          </w:tcPr>
          <w:p w14:paraId="60486CCC">
            <w:pPr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手机号码</w:t>
            </w:r>
          </w:p>
        </w:tc>
      </w:tr>
      <w:tr w14:paraId="301D8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5" w:hRule="exact"/>
          <w:jc w:val="center"/>
        </w:trPr>
        <w:tc>
          <w:tcPr>
            <w:tcW w:w="671" w:type="pct"/>
            <w:vMerge w:val="continue"/>
            <w:vAlign w:val="center"/>
          </w:tcPr>
          <w:p w14:paraId="11607C38">
            <w:pPr>
              <w:widowControl/>
              <w:adjustRightInd w:val="0"/>
              <w:snapToGrid w:val="0"/>
              <w:spacing w:line="560" w:lineRule="exact"/>
              <w:ind w:firstLine="0" w:firstLineChars="0"/>
              <w:jc w:val="left"/>
              <w:rPr>
                <w:rFonts w:eastAsia="仿宋_GB2312"/>
                <w:b/>
                <w:sz w:val="24"/>
              </w:rPr>
            </w:pPr>
          </w:p>
        </w:tc>
        <w:tc>
          <w:tcPr>
            <w:tcW w:w="351" w:type="pct"/>
            <w:vMerge w:val="continue"/>
            <w:vAlign w:val="center"/>
          </w:tcPr>
          <w:p w14:paraId="3D8A2698">
            <w:pPr>
              <w:widowControl/>
              <w:adjustRightInd w:val="0"/>
              <w:snapToGrid w:val="0"/>
              <w:ind w:firstLine="0" w:firstLineChars="0"/>
              <w:jc w:val="left"/>
              <w:rPr>
                <w:rFonts w:eastAsia="仿宋_GB2312"/>
                <w:b/>
                <w:sz w:val="24"/>
              </w:rPr>
            </w:pPr>
          </w:p>
        </w:tc>
        <w:tc>
          <w:tcPr>
            <w:tcW w:w="650" w:type="pct"/>
            <w:vAlign w:val="center"/>
          </w:tcPr>
          <w:p w14:paraId="77F75C2C">
            <w:pPr>
              <w:adjustRightInd w:val="0"/>
              <w:snapToGrid w:val="0"/>
              <w:spacing w:line="540" w:lineRule="exact"/>
              <w:ind w:firstLine="0" w:firstLineChars="0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董琪</w:t>
            </w:r>
          </w:p>
        </w:tc>
        <w:tc>
          <w:tcPr>
            <w:tcW w:w="867" w:type="pct"/>
            <w:vAlign w:val="center"/>
          </w:tcPr>
          <w:p w14:paraId="679804B6">
            <w:pPr>
              <w:adjustRightInd w:val="0"/>
              <w:snapToGrid w:val="0"/>
              <w:spacing w:line="540" w:lineRule="exact"/>
              <w:ind w:firstLine="0" w:firstLineChars="0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计算机科学与工程学院</w:t>
            </w:r>
          </w:p>
        </w:tc>
        <w:tc>
          <w:tcPr>
            <w:tcW w:w="505" w:type="pct"/>
            <w:vAlign w:val="center"/>
          </w:tcPr>
          <w:p w14:paraId="4DF9965A">
            <w:pPr>
              <w:adjustRightInd w:val="0"/>
              <w:snapToGrid w:val="0"/>
              <w:spacing w:line="540" w:lineRule="exact"/>
              <w:ind w:firstLine="0" w:firstLineChars="0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2025级硕</w:t>
            </w:r>
          </w:p>
        </w:tc>
        <w:tc>
          <w:tcPr>
            <w:tcW w:w="1155" w:type="pct"/>
            <w:vAlign w:val="center"/>
          </w:tcPr>
          <w:p w14:paraId="7B09EB89">
            <w:pPr>
              <w:adjustRightInd w:val="0"/>
              <w:snapToGrid w:val="0"/>
              <w:spacing w:line="540" w:lineRule="exact"/>
              <w:ind w:firstLine="0" w:firstLineChars="0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计算机技术</w:t>
            </w:r>
          </w:p>
        </w:tc>
        <w:tc>
          <w:tcPr>
            <w:tcW w:w="799" w:type="pct"/>
            <w:vAlign w:val="center"/>
          </w:tcPr>
          <w:p w14:paraId="469DD5BD">
            <w:pPr>
              <w:adjustRightInd w:val="0"/>
              <w:snapToGrid w:val="0"/>
              <w:spacing w:line="540" w:lineRule="exact"/>
              <w:ind w:firstLine="0" w:firstLineChars="0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18761656928</w:t>
            </w:r>
          </w:p>
        </w:tc>
      </w:tr>
      <w:tr w14:paraId="3CA4D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71" w:type="pct"/>
            <w:vMerge w:val="continue"/>
            <w:vAlign w:val="center"/>
          </w:tcPr>
          <w:p w14:paraId="78DB7865">
            <w:pPr>
              <w:widowControl/>
              <w:adjustRightInd w:val="0"/>
              <w:snapToGrid w:val="0"/>
              <w:spacing w:line="560" w:lineRule="exact"/>
              <w:ind w:firstLine="0" w:firstLineChars="0"/>
              <w:jc w:val="left"/>
              <w:rPr>
                <w:rFonts w:eastAsia="仿宋_GB2312"/>
                <w:b/>
                <w:sz w:val="24"/>
              </w:rPr>
            </w:pPr>
          </w:p>
        </w:tc>
        <w:tc>
          <w:tcPr>
            <w:tcW w:w="351" w:type="pct"/>
            <w:vMerge w:val="restart"/>
            <w:vAlign w:val="center"/>
          </w:tcPr>
          <w:p w14:paraId="6A4DEFD5">
            <w:pPr>
              <w:adjustRightInd w:val="0"/>
              <w:snapToGrid w:val="0"/>
              <w:spacing w:line="520" w:lineRule="exact"/>
              <w:ind w:firstLine="0" w:firstLineChars="0"/>
              <w:jc w:val="center"/>
              <w:rPr>
                <w:rFonts w:hint="eastAsia" w:ascii="微软雅黑" w:hAnsi="微软雅黑" w:eastAsia="微软雅黑"/>
                <w:b/>
                <w:sz w:val="24"/>
              </w:rPr>
            </w:pPr>
            <w:r>
              <w:rPr>
                <w:rFonts w:ascii="微软雅黑" w:hAnsi="微软雅黑" w:eastAsia="微软雅黑"/>
                <w:b/>
                <w:sz w:val="24"/>
              </w:rPr>
              <w:t>团队主要</w:t>
            </w:r>
          </w:p>
          <w:p w14:paraId="2657035F">
            <w:pPr>
              <w:adjustRightInd w:val="0"/>
              <w:snapToGrid w:val="0"/>
              <w:spacing w:line="520" w:lineRule="exact"/>
              <w:ind w:firstLine="0" w:firstLineChars="0"/>
              <w:jc w:val="center"/>
              <w:rPr>
                <w:rFonts w:hint="eastAsia" w:ascii="微软雅黑" w:hAnsi="微软雅黑" w:eastAsia="微软雅黑"/>
                <w:b/>
                <w:sz w:val="24"/>
              </w:rPr>
            </w:pPr>
            <w:r>
              <w:rPr>
                <w:rFonts w:ascii="微软雅黑" w:hAnsi="微软雅黑" w:eastAsia="微软雅黑"/>
                <w:b/>
                <w:sz w:val="24"/>
              </w:rPr>
              <w:t>成员</w:t>
            </w:r>
          </w:p>
          <w:p w14:paraId="74062DD0">
            <w:pPr>
              <w:adjustRightInd w:val="0"/>
              <w:snapToGrid w:val="0"/>
              <w:spacing w:line="520" w:lineRule="exact"/>
              <w:ind w:firstLine="0" w:firstLineChars="0"/>
              <w:jc w:val="center"/>
              <w:rPr>
                <w:rFonts w:eastAsia="仿宋_GB2312"/>
                <w:b/>
                <w:sz w:val="24"/>
              </w:rPr>
            </w:pPr>
          </w:p>
        </w:tc>
        <w:tc>
          <w:tcPr>
            <w:tcW w:w="650" w:type="pct"/>
            <w:vAlign w:val="center"/>
          </w:tcPr>
          <w:p w14:paraId="2C18679F">
            <w:pPr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姓名</w:t>
            </w:r>
          </w:p>
        </w:tc>
        <w:tc>
          <w:tcPr>
            <w:tcW w:w="867" w:type="pct"/>
            <w:vAlign w:val="center"/>
          </w:tcPr>
          <w:p w14:paraId="3F4BF755">
            <w:pPr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所在学院</w:t>
            </w:r>
          </w:p>
        </w:tc>
        <w:tc>
          <w:tcPr>
            <w:tcW w:w="505" w:type="pct"/>
            <w:vAlign w:val="center"/>
          </w:tcPr>
          <w:p w14:paraId="605C5709">
            <w:pPr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年级</w:t>
            </w:r>
          </w:p>
        </w:tc>
        <w:tc>
          <w:tcPr>
            <w:tcW w:w="1155" w:type="pct"/>
            <w:vAlign w:val="center"/>
          </w:tcPr>
          <w:p w14:paraId="5183E855">
            <w:pPr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所学专业</w:t>
            </w:r>
          </w:p>
        </w:tc>
        <w:tc>
          <w:tcPr>
            <w:tcW w:w="799" w:type="pct"/>
            <w:vAlign w:val="center"/>
          </w:tcPr>
          <w:p w14:paraId="4C74EC94">
            <w:pPr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手机号码</w:t>
            </w:r>
          </w:p>
        </w:tc>
      </w:tr>
      <w:tr w14:paraId="652B1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exact"/>
          <w:jc w:val="center"/>
        </w:trPr>
        <w:tc>
          <w:tcPr>
            <w:tcW w:w="671" w:type="pct"/>
            <w:vMerge w:val="continue"/>
            <w:vAlign w:val="center"/>
          </w:tcPr>
          <w:p w14:paraId="1A2FC91E">
            <w:pPr>
              <w:widowControl/>
              <w:adjustRightInd w:val="0"/>
              <w:snapToGrid w:val="0"/>
              <w:spacing w:line="560" w:lineRule="exact"/>
              <w:ind w:firstLine="0" w:firstLineChars="0"/>
              <w:jc w:val="left"/>
              <w:rPr>
                <w:rFonts w:eastAsia="仿宋_GB2312"/>
                <w:b/>
                <w:sz w:val="24"/>
              </w:rPr>
            </w:pPr>
          </w:p>
        </w:tc>
        <w:tc>
          <w:tcPr>
            <w:tcW w:w="351" w:type="pct"/>
            <w:vMerge w:val="continue"/>
            <w:vAlign w:val="center"/>
          </w:tcPr>
          <w:p w14:paraId="36434AB5">
            <w:pPr>
              <w:widowControl/>
              <w:adjustRightInd w:val="0"/>
              <w:snapToGrid w:val="0"/>
              <w:spacing w:line="560" w:lineRule="exact"/>
              <w:ind w:firstLine="0" w:firstLineChars="0"/>
              <w:jc w:val="left"/>
              <w:rPr>
                <w:rFonts w:eastAsia="仿宋_GB2312"/>
                <w:b/>
                <w:sz w:val="24"/>
              </w:rPr>
            </w:pPr>
          </w:p>
        </w:tc>
        <w:tc>
          <w:tcPr>
            <w:tcW w:w="650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95CE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安雪</w:t>
            </w:r>
            <w:bookmarkStart w:id="1" w:name="_GoBack"/>
            <w:bookmarkEnd w:id="1"/>
            <w:r>
              <w:rPr>
                <w:rFonts w:hint="eastAsia" w:ascii="宋体" w:hAnsi="宋体" w:eastAsia="宋体"/>
                <w:sz w:val="24"/>
                <w:lang w:val="en-US" w:eastAsia="zh-CN"/>
              </w:rPr>
              <w:t>燕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139F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40" w:lineRule="exact"/>
              <w:ind w:firstLine="0" w:firstLineChars="0"/>
              <w:jc w:val="center"/>
              <w:textAlignment w:val="auto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计算机科学与工程学院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C924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40" w:lineRule="exact"/>
              <w:ind w:firstLine="0" w:firstLineChars="0"/>
              <w:jc w:val="center"/>
              <w:textAlignment w:val="auto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2025级硕</w:t>
            </w:r>
          </w:p>
        </w:tc>
        <w:tc>
          <w:tcPr>
            <w:tcW w:w="11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9531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40" w:lineRule="exact"/>
              <w:ind w:firstLine="0" w:firstLineChars="0"/>
              <w:jc w:val="center"/>
              <w:textAlignment w:val="auto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计算机技术</w:t>
            </w:r>
          </w:p>
        </w:tc>
        <w:tc>
          <w:tcPr>
            <w:tcW w:w="7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9026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40" w:lineRule="exact"/>
              <w:ind w:firstLine="0" w:firstLineChars="0"/>
              <w:jc w:val="center"/>
              <w:textAlignment w:val="auto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13139582021</w:t>
            </w:r>
          </w:p>
        </w:tc>
      </w:tr>
      <w:tr w14:paraId="326E5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4" w:hRule="exact"/>
          <w:jc w:val="center"/>
        </w:trPr>
        <w:tc>
          <w:tcPr>
            <w:tcW w:w="671" w:type="pct"/>
            <w:vMerge w:val="continue"/>
            <w:vAlign w:val="center"/>
          </w:tcPr>
          <w:p w14:paraId="41569E84">
            <w:pPr>
              <w:widowControl/>
              <w:adjustRightInd w:val="0"/>
              <w:snapToGrid w:val="0"/>
              <w:spacing w:line="560" w:lineRule="exact"/>
              <w:ind w:firstLine="0" w:firstLineChars="0"/>
              <w:jc w:val="left"/>
              <w:rPr>
                <w:rFonts w:eastAsia="仿宋_GB2312"/>
                <w:b/>
                <w:sz w:val="24"/>
              </w:rPr>
            </w:pPr>
          </w:p>
        </w:tc>
        <w:tc>
          <w:tcPr>
            <w:tcW w:w="351" w:type="pct"/>
            <w:vMerge w:val="continue"/>
            <w:vAlign w:val="center"/>
          </w:tcPr>
          <w:p w14:paraId="330C0F83">
            <w:pPr>
              <w:widowControl/>
              <w:adjustRightInd w:val="0"/>
              <w:snapToGrid w:val="0"/>
              <w:spacing w:line="560" w:lineRule="exact"/>
              <w:ind w:firstLine="0" w:firstLineChars="0"/>
              <w:jc w:val="left"/>
              <w:rPr>
                <w:rFonts w:eastAsia="仿宋_GB2312"/>
                <w:b/>
                <w:sz w:val="24"/>
              </w:rPr>
            </w:pPr>
          </w:p>
        </w:tc>
        <w:tc>
          <w:tcPr>
            <w:tcW w:w="650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BBDB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陆鹏飞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D124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计算机科学与工程学院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853F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2025级硕</w:t>
            </w:r>
          </w:p>
        </w:tc>
        <w:tc>
          <w:tcPr>
            <w:tcW w:w="11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DFFF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人工智能</w:t>
            </w:r>
          </w:p>
        </w:tc>
        <w:tc>
          <w:tcPr>
            <w:tcW w:w="7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5A0B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15212132927</w:t>
            </w:r>
          </w:p>
        </w:tc>
      </w:tr>
      <w:tr w14:paraId="6EBD7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71" w:type="pct"/>
            <w:vMerge w:val="continue"/>
            <w:vAlign w:val="center"/>
          </w:tcPr>
          <w:p w14:paraId="4DB5C361">
            <w:pPr>
              <w:widowControl/>
              <w:adjustRightInd w:val="0"/>
              <w:snapToGrid w:val="0"/>
              <w:spacing w:line="560" w:lineRule="exact"/>
              <w:ind w:firstLine="0" w:firstLineChars="0"/>
              <w:jc w:val="left"/>
              <w:rPr>
                <w:rFonts w:eastAsia="仿宋_GB2312"/>
                <w:b/>
                <w:sz w:val="24"/>
              </w:rPr>
            </w:pPr>
          </w:p>
        </w:tc>
        <w:tc>
          <w:tcPr>
            <w:tcW w:w="351" w:type="pct"/>
            <w:vMerge w:val="continue"/>
            <w:vAlign w:val="center"/>
          </w:tcPr>
          <w:p w14:paraId="51154F95">
            <w:pPr>
              <w:widowControl/>
              <w:adjustRightInd w:val="0"/>
              <w:snapToGrid w:val="0"/>
              <w:spacing w:line="560" w:lineRule="exact"/>
              <w:ind w:firstLine="0" w:firstLineChars="0"/>
              <w:jc w:val="left"/>
              <w:rPr>
                <w:rFonts w:eastAsia="仿宋_GB2312"/>
                <w:b/>
                <w:sz w:val="24"/>
              </w:rPr>
            </w:pPr>
          </w:p>
        </w:tc>
        <w:tc>
          <w:tcPr>
            <w:tcW w:w="650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9ADDD2">
            <w:pPr>
              <w:adjustRightInd w:val="0"/>
              <w:snapToGrid w:val="0"/>
              <w:spacing w:line="540" w:lineRule="exact"/>
              <w:ind w:firstLine="0" w:firstLineChars="0"/>
              <w:jc w:val="center"/>
              <w:rPr>
                <w:rFonts w:hint="eastAsia" w:ascii="宋体" w:hAnsi="宋体" w:eastAsia="宋体"/>
                <w:sz w:val="24"/>
              </w:rPr>
            </w:pP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3CA134">
            <w:pPr>
              <w:adjustRightInd w:val="0"/>
              <w:snapToGrid w:val="0"/>
              <w:spacing w:line="540" w:lineRule="exact"/>
              <w:ind w:firstLine="0" w:firstLineChars="0"/>
              <w:jc w:val="center"/>
              <w:rPr>
                <w:rFonts w:hint="eastAsia" w:ascii="宋体" w:hAnsi="宋体" w:eastAsia="宋体"/>
                <w:sz w:val="24"/>
              </w:rPr>
            </w:pP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00E830">
            <w:pPr>
              <w:adjustRightInd w:val="0"/>
              <w:snapToGrid w:val="0"/>
              <w:spacing w:line="540" w:lineRule="exact"/>
              <w:ind w:firstLine="0" w:firstLineChars="0"/>
              <w:jc w:val="center"/>
              <w:rPr>
                <w:rFonts w:hint="eastAsia" w:ascii="宋体" w:hAnsi="宋体" w:eastAsia="宋体"/>
                <w:sz w:val="24"/>
              </w:rPr>
            </w:pPr>
          </w:p>
        </w:tc>
        <w:tc>
          <w:tcPr>
            <w:tcW w:w="11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D837ED">
            <w:pPr>
              <w:adjustRightInd w:val="0"/>
              <w:snapToGrid w:val="0"/>
              <w:spacing w:line="540" w:lineRule="exact"/>
              <w:ind w:firstLine="0" w:firstLineChars="0"/>
              <w:jc w:val="center"/>
              <w:rPr>
                <w:rFonts w:hint="eastAsia" w:ascii="宋体" w:hAnsi="宋体" w:eastAsia="宋体"/>
                <w:sz w:val="24"/>
              </w:rPr>
            </w:pPr>
          </w:p>
        </w:tc>
        <w:tc>
          <w:tcPr>
            <w:tcW w:w="7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E66BAC">
            <w:pPr>
              <w:adjustRightInd w:val="0"/>
              <w:snapToGrid w:val="0"/>
              <w:spacing w:line="540" w:lineRule="exact"/>
              <w:ind w:firstLine="0" w:firstLineChars="0"/>
              <w:jc w:val="center"/>
              <w:rPr>
                <w:rFonts w:hint="eastAsia" w:ascii="宋体" w:hAnsi="宋体" w:eastAsia="宋体"/>
                <w:sz w:val="24"/>
              </w:rPr>
            </w:pPr>
          </w:p>
        </w:tc>
      </w:tr>
      <w:tr w14:paraId="11B89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671" w:type="pct"/>
            <w:vMerge w:val="continue"/>
            <w:vAlign w:val="center"/>
          </w:tcPr>
          <w:p w14:paraId="759F7245">
            <w:pPr>
              <w:widowControl/>
              <w:adjustRightInd w:val="0"/>
              <w:snapToGrid w:val="0"/>
              <w:spacing w:line="560" w:lineRule="exact"/>
              <w:ind w:firstLine="0" w:firstLineChars="0"/>
              <w:jc w:val="left"/>
              <w:rPr>
                <w:rFonts w:eastAsia="仿宋_GB2312"/>
                <w:b/>
                <w:sz w:val="24"/>
              </w:rPr>
            </w:pPr>
          </w:p>
        </w:tc>
        <w:tc>
          <w:tcPr>
            <w:tcW w:w="351" w:type="pct"/>
            <w:vMerge w:val="continue"/>
            <w:vAlign w:val="center"/>
          </w:tcPr>
          <w:p w14:paraId="00EFC791">
            <w:pPr>
              <w:widowControl/>
              <w:adjustRightInd w:val="0"/>
              <w:snapToGrid w:val="0"/>
              <w:spacing w:line="560" w:lineRule="exact"/>
              <w:ind w:firstLine="0" w:firstLineChars="0"/>
              <w:jc w:val="left"/>
              <w:rPr>
                <w:rFonts w:eastAsia="仿宋_GB2312"/>
                <w:b/>
                <w:sz w:val="24"/>
              </w:rPr>
            </w:pPr>
          </w:p>
        </w:tc>
        <w:tc>
          <w:tcPr>
            <w:tcW w:w="650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C7BAF4">
            <w:pPr>
              <w:adjustRightInd w:val="0"/>
              <w:snapToGrid w:val="0"/>
              <w:spacing w:line="540" w:lineRule="exact"/>
              <w:ind w:firstLine="0" w:firstLineChars="0"/>
              <w:jc w:val="center"/>
              <w:rPr>
                <w:rFonts w:hint="eastAsia" w:ascii="宋体" w:hAnsi="宋体" w:eastAsia="宋体"/>
                <w:sz w:val="24"/>
              </w:rPr>
            </w:pP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E5BDBBD">
            <w:pPr>
              <w:adjustRightInd w:val="0"/>
              <w:snapToGrid w:val="0"/>
              <w:spacing w:line="540" w:lineRule="exact"/>
              <w:ind w:firstLine="0" w:firstLineChars="0"/>
              <w:jc w:val="center"/>
              <w:rPr>
                <w:rFonts w:hint="eastAsia" w:ascii="宋体" w:hAnsi="宋体" w:eastAsia="宋体"/>
                <w:sz w:val="24"/>
              </w:rPr>
            </w:pP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509B060">
            <w:pPr>
              <w:adjustRightInd w:val="0"/>
              <w:snapToGrid w:val="0"/>
              <w:spacing w:line="540" w:lineRule="exact"/>
              <w:ind w:firstLine="0" w:firstLineChars="0"/>
              <w:jc w:val="center"/>
              <w:rPr>
                <w:rFonts w:hint="eastAsia" w:ascii="宋体" w:hAnsi="宋体" w:eastAsia="宋体"/>
                <w:sz w:val="24"/>
              </w:rPr>
            </w:pPr>
          </w:p>
        </w:tc>
        <w:tc>
          <w:tcPr>
            <w:tcW w:w="1155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FC0126A">
            <w:pPr>
              <w:adjustRightInd w:val="0"/>
              <w:snapToGrid w:val="0"/>
              <w:spacing w:line="540" w:lineRule="exact"/>
              <w:ind w:firstLine="0" w:firstLineChars="0"/>
              <w:jc w:val="center"/>
              <w:rPr>
                <w:rFonts w:hint="eastAsia" w:ascii="宋体" w:hAnsi="宋体" w:eastAsia="宋体"/>
                <w:sz w:val="24"/>
              </w:rPr>
            </w:pPr>
          </w:p>
        </w:tc>
        <w:tc>
          <w:tcPr>
            <w:tcW w:w="799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68F478C">
            <w:pPr>
              <w:adjustRightInd w:val="0"/>
              <w:snapToGrid w:val="0"/>
              <w:spacing w:line="540" w:lineRule="exact"/>
              <w:ind w:firstLine="0" w:firstLineChars="0"/>
              <w:jc w:val="center"/>
              <w:rPr>
                <w:rFonts w:hint="eastAsia" w:ascii="宋体" w:hAnsi="宋体" w:eastAsia="宋体"/>
                <w:sz w:val="24"/>
              </w:rPr>
            </w:pPr>
          </w:p>
        </w:tc>
      </w:tr>
      <w:tr w14:paraId="4EAFE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8" w:hRule="atLeast"/>
          <w:jc w:val="center"/>
        </w:trPr>
        <w:tc>
          <w:tcPr>
            <w:tcW w:w="671" w:type="pct"/>
            <w:vAlign w:val="center"/>
          </w:tcPr>
          <w:p w14:paraId="2BCF5D86">
            <w:pPr>
              <w:widowControl/>
              <w:adjustRightInd w:val="0"/>
              <w:snapToGrid w:val="0"/>
              <w:spacing w:line="560" w:lineRule="exact"/>
              <w:ind w:firstLine="0" w:firstLineChars="0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</w:rPr>
              <w:t>项目初步设想</w:t>
            </w:r>
          </w:p>
          <w:p w14:paraId="6425E0A2">
            <w:pPr>
              <w:widowControl/>
              <w:adjustRightInd w:val="0"/>
              <w:snapToGrid w:val="0"/>
              <w:spacing w:line="560" w:lineRule="exact"/>
              <w:ind w:firstLine="0" w:firstLineChars="0"/>
              <w:jc w:val="left"/>
              <w:rPr>
                <w:rFonts w:eastAsia="仿宋_GB2312"/>
                <w:b/>
                <w:sz w:val="24"/>
              </w:rPr>
            </w:pPr>
          </w:p>
        </w:tc>
        <w:tc>
          <w:tcPr>
            <w:tcW w:w="4328" w:type="pct"/>
            <w:gridSpan w:val="6"/>
            <w:tcBorders>
              <w:right w:val="single" w:color="auto" w:sz="4" w:space="0"/>
            </w:tcBorders>
            <w:vAlign w:val="center"/>
          </w:tcPr>
          <w:p w14:paraId="7304757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2" w:beforeLines="50" w:beforeAutospacing="0" w:after="192" w:afterLines="50" w:afterAutospacing="0" w:line="240" w:lineRule="auto"/>
              <w:ind w:left="0" w:right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知南·Echo——学习DDL与资料管理智能体</w:t>
            </w:r>
          </w:p>
          <w:p w14:paraId="1BB25062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2" w:beforeLines="50" w:beforeAutospacing="0" w:afterAutospacing="0" w:line="360" w:lineRule="auto"/>
              <w:ind w:left="0" w:leftChars="0" w:right="0" w:firstLine="0" w:firstLine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一、项目概述</w:t>
            </w:r>
          </w:p>
          <w:p w14:paraId="3A720FA8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「知南·Echo」是一款面向大学生个人学习管理的智能体Web应用，聚焦DDL规划与资料整理两大核心场景，以智能体对话交互为核心入口，融合资料入库、智能检索、复习规划与主动提醒能力。学生通过自然语言与智能体对话，即可完成资料整理、DDL录入、资料检索、复习计划生成等全部操作，无需学习复杂的菜单与流程。</w:t>
            </w:r>
          </w:p>
          <w:p w14:paraId="3BA9FA20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产品取意“知南而行，必有回响”——如同学习路上的指南针，智能体不替用户背负行囊，而是以对话与提醒的方式，为用户指明方向、回应需求。</w:t>
            </w:r>
          </w:p>
          <w:p w14:paraId="05CC3139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本产品旨在打造一个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从“功能堆砌的工具”升级为“听得懂、办得到、会主动”的智能体。用户面对的不再是冷冰冰的功能菜单，而是一位懂学习、知节奏的智能助手，通过对话完成所有学习管理任务。</w:t>
            </w:r>
          </w:p>
          <w:p w14:paraId="31CE07AC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2" w:beforeLines="50" w:beforeAutospacing="0" w:afterAutospacing="0" w:line="360" w:lineRule="auto"/>
              <w:ind w:left="0" w:leftChars="0" w:right="0" w:firstLine="0" w:firstLine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二、需求分析与目标用户</w:t>
            </w:r>
          </w:p>
          <w:p w14:paraId="7583308C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2" w:beforeLines="50" w:beforeAutospacing="0" w:after="0" w:afterAutospacing="0" w:line="360" w:lineRule="auto"/>
              <w:ind w:left="0" w:leftChars="0" w:right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2.1 </w:t>
            </w:r>
            <w:r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痛点洞察</w:t>
            </w:r>
          </w:p>
          <w:p w14:paraId="6B754FC3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大学生日常学习中面临三类核心痛点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一是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资料散乱，课件在网盘、试题在微信、笔记在不同工具间各自为政，查找一份资料往往耗费大量时间；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二是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DDL易遗漏，各课程截止日期分散于群聊、邮件、口头通知，缺乏统一追踪工具，临近截止才匆忙应对；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三是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复习无绪，考前面对海量资料不知从何入手，整理复习提纲费时费力，缺乏系统性规划。</w:t>
            </w:r>
          </w:p>
          <w:p w14:paraId="7937851F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现有解决方案的局限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包括：1）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传统工具功能割裂，日历管DDL、网盘存资料、笔记做复习，数据无法打通；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2）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操作路径长，完成一个任务需要多次切换页面和点击；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3）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被动响应，用户不操作就没有任何反馈。</w:t>
            </w:r>
          </w:p>
          <w:p w14:paraId="617C9214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2" w:beforeLines="50" w:beforeAutospacing="0" w:after="0" w:afterAutospacing="0" w:line="360" w:lineRule="auto"/>
              <w:ind w:left="0" w:leftChars="0" w:right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2.2 </w:t>
            </w:r>
            <w:r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目标用户</w:t>
            </w:r>
          </w:p>
          <w:p w14:paraId="661EB402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核心用户为在校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大学生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，尤其适合同时修读多门课程、DDL密集的学生，以及希望建立个人学习知识库但缺乏整理习惯的学生，还有考前需要系统性复习规划的学生。</w:t>
            </w:r>
          </w:p>
          <w:p w14:paraId="5C16C332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学期初批量导入课程资料建立知识库，学期中日常录入DDL并接收智能提醒、随时对话检索资料，考试周一键生成复习清单与每日复习计划。</w:t>
            </w:r>
          </w:p>
          <w:p w14:paraId="3F8A900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2" w:beforeLines="50" w:beforeAutospacing="0" w:afterAutospacing="0" w:line="360" w:lineRule="auto"/>
              <w:ind w:left="0" w:leftChars="0" w:right="0" w:firstLine="0" w:firstLine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三、核心功能设计</w:t>
            </w:r>
          </w:p>
          <w:p w14:paraId="0ACD8EA5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2" w:beforeLines="50" w:beforeAutospacing="0" w:after="0" w:afterAutospacing="0" w:line="360" w:lineRule="auto"/>
              <w:ind w:left="0" w:leftChars="0" w:right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3.1</w:t>
            </w:r>
            <w:r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 xml:space="preserve"> 智能体对话交互——核心入口</w:t>
            </w:r>
          </w:p>
          <w:p w14:paraId="36A25763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对话即操作。用户通过自然语言与智能体交互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，让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智能体理解意图、调度能力、完成任务，而非让用户学习复杂的菜单流程。智能体具备意图识别能力，能准确理解用户是想录入DDL、检索资料、整理文件还是生成复习计划；具备多轮对话能力，支持上下文理解与追问；当无法理解用户意图时，智能体主动引导用户明确需求，而非直接报错，实现优雅的兜底处理。</w:t>
            </w:r>
          </w:p>
          <w:p w14:paraId="5EF025C2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典型对话示例如下：</w:t>
            </w:r>
          </w:p>
          <w:p w14:paraId="3519B1F1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用户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帮我整理这学期数据结构的所有资料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；</w:t>
            </w:r>
          </w:p>
          <w:p w14:paraId="1AAD959C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智能体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引导用户上传或指定文件夹，自动完成文件解析、分类归档与标签生成后回复整理结果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。</w:t>
            </w:r>
          </w:p>
          <w:p w14:paraId="168B8D9A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用户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下周有哪些DDL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；</w:t>
            </w:r>
          </w:p>
          <w:p w14:paraId="355BC9AE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智能体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直接列出下周所有截止任务并询问是否需要生成复习计划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。</w:t>
            </w:r>
          </w:p>
          <w:p w14:paraId="50A71B2C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用户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帮我找一下操作系统关于进程管理的资料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；</w:t>
            </w:r>
          </w:p>
          <w:p w14:paraId="68B7B411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智能体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检索后列出相关文件并附带内容摘要，可进一步追问细节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。</w:t>
            </w:r>
          </w:p>
          <w:p w14:paraId="29221990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用户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我8月16号考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计算机组成原理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，帮我生成复习计划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；</w:t>
            </w:r>
          </w:p>
          <w:p w14:paraId="29075BEC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智能体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自动生成知识点清单与每日复习计划，并添加到看板。</w:t>
            </w:r>
          </w:p>
          <w:p w14:paraId="6D5CEF74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2" w:beforeLines="50" w:beforeAutospacing="0" w:after="0" w:afterAutospacing="0" w:line="360" w:lineRule="auto"/>
              <w:ind w:left="0" w:leftChars="0" w:right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3.2 </w:t>
            </w:r>
            <w:r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资料入库模块——构建个人知识库</w:t>
            </w:r>
          </w:p>
          <w:p w14:paraId="46CCF278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用户上传学习资料（支持PDF、Word、PPT、TXT、图片、Markdown等格式），支持单个上传和批量拖拽上传。系统自动解析文档全文内容，提取文本与章节结构，并基于文件名和内容自动生成「课程」「类型（课件/试题/笔记/论文）」「章节」「关键词」等标签，将资料归入对应课程目录。解析后的完整文档内容存入数据库，同时将文档分块生成向量Embedding，构建个人知识库，为后续语义检索提供基础。</w:t>
            </w:r>
          </w:p>
          <w:p w14:paraId="034BC4BB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2" w:beforeLines="50" w:beforeAutospacing="0" w:after="0" w:afterAutospacing="0" w:line="360" w:lineRule="auto"/>
              <w:ind w:left="0" w:leftChars="0" w:right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3.3</w:t>
            </w:r>
            <w:r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 xml:space="preserve"> 智能检索模块（RAG）——一问即答</w:t>
            </w:r>
          </w:p>
          <w:p w14:paraId="2B29EE75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这是智能体能力的核心体现。用户用自然语言提问，系统通过向量检索（语义匹配）+ BM25关键词检索双路召回相关内容，经重排序后由LLM生成带来源引用的回答。每条回答均标注出处（文件名、章节、页码），支持用户追问细节，也支持限定检索范围（如“只在数据结构课程里找”）。</w:t>
            </w:r>
          </w:p>
          <w:p w14:paraId="1FC72D47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2" w:beforeLines="50" w:beforeAutospacing="0" w:after="0" w:afterAutospacing="0" w:line="360" w:lineRule="auto"/>
              <w:ind w:left="0" w:leftChars="0" w:right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3.4</w:t>
            </w:r>
            <w:r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 xml:space="preserve"> DDL管理模块——智能时间管家</w:t>
            </w:r>
          </w:p>
          <w:p w14:paraId="001D1686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支持多途径录入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，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包括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对话录入（“帮我记一下算法作业8月12号截止”）、截图OCR识别（上传群通知截图自动提取DDL）、文本批量提取（粘贴通知文字自动识别所有DDL）、文件名解析（上传资料时识别文件名中的日期信息）。DDL看板提供日历视图、列表视图和优先级矩阵视图。智能提醒服务在截止时间前7天、3天、1天、1小时主动推送邮件或浏览器通知。</w:t>
            </w:r>
          </w:p>
          <w:p w14:paraId="7E15E0A0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2" w:beforeLines="50" w:beforeAutospacing="0" w:after="0" w:afterAutospacing="0" w:line="360" w:lineRule="auto"/>
              <w:ind w:left="0" w:leftChars="0" w:right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3.5 </w:t>
            </w:r>
            <w:r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复习规划模块——智能学习规划师</w:t>
            </w:r>
          </w:p>
          <w:p w14:paraId="2F6C085D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基于课程资料自动提取知识树（章→节→知识点），自动生成待复习知识点清单；用户输入考试日期后，系统根据剩余天数和知识量自动排期每日复习内容；每日任务完成标记后进度实时更新，系统根据实际进度智能调整后续计划。</w:t>
            </w:r>
          </w:p>
          <w:p w14:paraId="00556A1C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2" w:beforeLines="50" w:beforeAutospacing="0" w:after="0" w:afterAutospacing="0" w:line="360" w:lineRule="auto"/>
              <w:ind w:left="0" w:leftChars="0" w:right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3.6 </w:t>
            </w:r>
            <w:r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导出中心</w:t>
            </w:r>
          </w:p>
          <w:p w14:paraId="4DAA22A2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支持将DDL导出为iCal格式（导入手机日历），资料目录导出为CSV/Markdown，复习清单导出为Markdown/PDF，数据带得走、用得活。</w:t>
            </w:r>
          </w:p>
          <w:p w14:paraId="7F42BD9E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2" w:beforeLines="50" w:beforeAutospacing="0" w:afterAutospacing="0" w:line="360" w:lineRule="auto"/>
              <w:ind w:left="0" w:leftChars="0" w:right="0" w:firstLine="0" w:firstLine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四、后端数据库设计</w:t>
            </w:r>
          </w:p>
          <w:p w14:paraId="50F59BCE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智能体的核心能力是理解并回答用户关于学习资料的问题——用户问“二叉树有哪些遍历方式”，系统需要检索所有包含该内容的文档；用户问“这个知识点考得多吗”，系统需要分析资料中该知识点的出现频率。因此，完整存储资料内容是智能体功能实现的前提。</w:t>
            </w:r>
          </w:p>
          <w:p w14:paraId="68EA2189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2" w:beforeLines="50" w:beforeAutospacing="0" w:after="0" w:afterAutospacing="0" w:line="360" w:lineRule="auto"/>
              <w:ind w:left="0" w:leftChars="0" w:right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4.1 </w:t>
            </w:r>
            <w:r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数据存储方案</w:t>
            </w:r>
          </w:p>
          <w:tbl>
            <w:tblPr>
              <w:tblStyle w:val="8"/>
              <w:tblW w:w="752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947"/>
              <w:gridCol w:w="2842"/>
              <w:gridCol w:w="2731"/>
            </w:tblGrid>
            <w:tr w14:paraId="2458270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1947" w:type="dxa"/>
                  <w:tcBorders>
                    <w:top w:val="single" w:color="000000" w:sz="12" w:space="0"/>
                    <w:bottom w:val="single" w:color="000000" w:sz="4" w:space="0"/>
                    <w:tl2br w:val="nil"/>
                  </w:tcBorders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1FF7488D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数据类型</w:t>
                  </w:r>
                </w:p>
              </w:tc>
              <w:tc>
                <w:tcPr>
                  <w:tcW w:w="2842" w:type="dxa"/>
                  <w:tcBorders>
                    <w:top w:val="single" w:color="000000" w:sz="12" w:space="0"/>
                    <w:bottom w:val="single" w:color="000000" w:sz="4" w:space="0"/>
                  </w:tcBorders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9AC8148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存储方案</w:t>
                  </w:r>
                </w:p>
              </w:tc>
              <w:tc>
                <w:tcPr>
                  <w:tcW w:w="2731" w:type="dxa"/>
                  <w:tcBorders>
                    <w:top w:val="single" w:color="000000" w:sz="12" w:space="0"/>
                    <w:bottom w:val="single" w:color="000000" w:sz="4" w:space="0"/>
                  </w:tcBorders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98DA1E9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用途</w:t>
                  </w:r>
                </w:p>
              </w:tc>
            </w:tr>
            <w:tr w14:paraId="0E4E5F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947" w:type="dxa"/>
                  <w:tcBorders>
                    <w:top w:val="single" w:color="000000" w:sz="4" w:space="0"/>
                  </w:tcBorders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2964D0F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文件实体</w:t>
                  </w:r>
                </w:p>
              </w:tc>
              <w:tc>
                <w:tcPr>
                  <w:tcW w:w="2842" w:type="dxa"/>
                  <w:tcBorders>
                    <w:top w:val="single" w:color="000000" w:sz="4" w:space="0"/>
                  </w:tcBorders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E709599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阿里云OSS / MinIO</w:t>
                  </w:r>
                </w:p>
              </w:tc>
              <w:tc>
                <w:tcPr>
                  <w:tcW w:w="2731" w:type="dxa"/>
                  <w:tcBorders>
                    <w:top w:val="single" w:color="000000" w:sz="4" w:space="0"/>
                  </w:tcBorders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4E876475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原始文件存档与读取</w:t>
                  </w:r>
                </w:p>
              </w:tc>
            </w:tr>
            <w:tr w14:paraId="76CE299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947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2590135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文档全文内容</w:t>
                  </w:r>
                </w:p>
              </w:tc>
              <w:tc>
                <w:tcPr>
                  <w:tcW w:w="2842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B0C47AD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PostgreSQL（全文检索）</w:t>
                  </w:r>
                </w:p>
              </w:tc>
              <w:tc>
                <w:tcPr>
                  <w:tcW w:w="2731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4BD7A3E8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关键词搜索与内容展示</w:t>
                  </w:r>
                </w:p>
              </w:tc>
            </w:tr>
            <w:tr w14:paraId="72AF750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947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6D18697C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向量索引</w:t>
                  </w:r>
                </w:p>
              </w:tc>
              <w:tc>
                <w:tcPr>
                  <w:tcW w:w="2842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BD191E5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Milvus / Qdrant</w:t>
                  </w:r>
                </w:p>
              </w:tc>
              <w:tc>
                <w:tcPr>
                  <w:tcW w:w="2731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39D7EF88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语义检索（RAG核心）</w:t>
                  </w:r>
                </w:p>
              </w:tc>
            </w:tr>
            <w:tr w14:paraId="2A113DE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947" w:type="dxa"/>
                  <w:tcBorders>
                    <w:bottom w:val="single" w:color="000000" w:sz="12" w:space="0"/>
                  </w:tcBorders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216FAC1B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结构化数据</w:t>
                  </w:r>
                </w:p>
              </w:tc>
              <w:tc>
                <w:tcPr>
                  <w:tcW w:w="2842" w:type="dxa"/>
                  <w:tcBorders>
                    <w:bottom w:val="single" w:color="000000" w:sz="12" w:space="0"/>
                  </w:tcBorders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A7996AD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PostgreSQL</w:t>
                  </w:r>
                </w:p>
              </w:tc>
              <w:tc>
                <w:tcPr>
                  <w:tcW w:w="2731" w:type="dxa"/>
                  <w:tcBorders>
                    <w:bottom w:val="single" w:color="000000" w:sz="12" w:space="0"/>
                  </w:tcBorders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27AE0BCD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用户信息、DDL、课程目录、标签、对话历史</w:t>
                  </w:r>
                </w:p>
              </w:tc>
            </w:tr>
          </w:tbl>
          <w:p w14:paraId="2C5A4716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2" w:beforeLines="50" w:beforeAutospacing="0" w:after="0" w:afterAutospacing="0" w:line="360" w:lineRule="auto"/>
              <w:ind w:left="0" w:leftChars="0" w:right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4.2 </w:t>
            </w:r>
            <w:r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数据安全与隐私</w:t>
            </w:r>
          </w:p>
          <w:p w14:paraId="0963E767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所有资料仅对用户本人可见，采用用户隔离的数据访问策略；HTTPS加密传输；数据库访问需认证，敏感字段加密存储；LLM API调用仅发送脱敏后的文本片段，不含用户身份信息；用户可随时导出或删除全部数据。演示阶段使用公开MOOC课程资料或模拟数据，不涉及真实个人信息。</w:t>
            </w:r>
          </w:p>
          <w:p w14:paraId="4D90B2D9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2" w:beforeLines="50" w:beforeAutospacing="0" w:after="0" w:afterAutospacing="0" w:line="360" w:lineRule="auto"/>
              <w:ind w:left="0" w:leftChars="0" w:right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4.3</w:t>
            </w:r>
            <w:r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存储成本说明</w:t>
            </w:r>
          </w:p>
          <w:p w14:paraId="24727F54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文件存储按量付费，通常0.1-0.2元/GB/月，单用户按50份资料×5MB≈250MB估算，年成本约0.6元；向量数据库Milvus开源版免费，仅需服务器资源；关系数据库使用开源PostgreSQL。单用户年存储总成本低于5元。Demo阶段可使用本地存储+轻量向量库，零云成本运行。</w:t>
            </w:r>
          </w:p>
          <w:p w14:paraId="07109BC2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2" w:beforeLines="50" w:beforeAutospacing="0" w:afterAutospacing="0" w:line="360" w:lineRule="auto"/>
              <w:ind w:left="0" w:leftChars="0" w:right="0" w:firstLine="0" w:firstLine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五、整体架构</w:t>
            </w:r>
          </w:p>
          <w:p w14:paraId="585CD8C9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系统采用分层架构，系统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架构图如下所示。</w:t>
            </w:r>
          </w:p>
          <w:p w14:paraId="4D0C6928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drawing>
                <wp:inline distT="0" distB="0" distL="114300" distR="114300">
                  <wp:extent cx="4703445" cy="4942840"/>
                  <wp:effectExtent l="0" t="0" r="8255" b="10160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b="5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3445" cy="494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D35B6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2" w:beforeLines="50" w:beforeAutospacing="0" w:afterAutospacing="0" w:line="360" w:lineRule="auto"/>
              <w:ind w:left="0" w:leftChars="0" w:right="0" w:firstLine="0" w:firstLineChars="0"/>
              <w:jc w:val="both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 w:bidi="ar-SA"/>
              </w:rPr>
              <w:t>六、整体技术路线</w:t>
            </w:r>
          </w:p>
          <w:tbl>
            <w:tblPr>
              <w:tblStyle w:val="8"/>
              <w:tblW w:w="752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52"/>
              <w:gridCol w:w="2858"/>
              <w:gridCol w:w="2810"/>
            </w:tblGrid>
            <w:tr w14:paraId="7C3B5FB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1852" w:type="dxa"/>
                  <w:tcBorders>
                    <w:top w:val="single" w:color="000000" w:sz="12" w:space="0"/>
                    <w:bottom w:val="single" w:color="000000" w:sz="4" w:space="0"/>
                    <w:tl2br w:val="nil"/>
                  </w:tcBorders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6630BFE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层级</w:t>
                  </w:r>
                </w:p>
              </w:tc>
              <w:tc>
                <w:tcPr>
                  <w:tcW w:w="2858" w:type="dxa"/>
                  <w:tcBorders>
                    <w:top w:val="single" w:color="000000" w:sz="12" w:space="0"/>
                    <w:bottom w:val="single" w:color="000000" w:sz="4" w:space="0"/>
                  </w:tcBorders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35FD165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技术方案</w:t>
                  </w:r>
                </w:p>
              </w:tc>
              <w:tc>
                <w:tcPr>
                  <w:tcW w:w="2810" w:type="dxa"/>
                  <w:tcBorders>
                    <w:top w:val="single" w:color="000000" w:sz="12" w:space="0"/>
                    <w:bottom w:val="single" w:color="000000" w:sz="4" w:space="0"/>
                  </w:tcBorders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1662B17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选型理由</w:t>
                  </w:r>
                </w:p>
              </w:tc>
            </w:tr>
            <w:tr w14:paraId="63A85C0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852" w:type="dxa"/>
                  <w:tcBorders>
                    <w:top w:val="single" w:color="000000" w:sz="4" w:space="0"/>
                  </w:tcBorders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018D0D7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前端</w:t>
                  </w:r>
                </w:p>
              </w:tc>
              <w:tc>
                <w:tcPr>
                  <w:tcW w:w="2858" w:type="dxa"/>
                  <w:tcBorders>
                    <w:top w:val="single" w:color="000000" w:sz="4" w:space="0"/>
                  </w:tcBorders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CC66BF6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Vue3 + TypeScript + Vite</w:t>
                  </w:r>
                </w:p>
              </w:tc>
              <w:tc>
                <w:tcPr>
                  <w:tcW w:w="2810" w:type="dxa"/>
                  <w:tcBorders>
                    <w:top w:val="single" w:color="000000" w:sz="4" w:space="0"/>
                  </w:tcBorders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5D8E2507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响应式SPA，支持PC和移动端；TypeScript保证类型安全</w:t>
                  </w:r>
                </w:p>
              </w:tc>
            </w:tr>
            <w:tr w14:paraId="52A2F00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852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4D947495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UI框架</w:t>
                  </w:r>
                </w:p>
              </w:tc>
              <w:tc>
                <w:tcPr>
                  <w:tcW w:w="2858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47CD334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Element Plus + 自定义主题</w:t>
                  </w:r>
                </w:p>
              </w:tc>
              <w:tc>
                <w:tcPr>
                  <w:tcW w:w="281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5B69E793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PC端主框架，</w:t>
                  </w:r>
                </w:p>
                <w:p w14:paraId="60FB65DB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配合</w:t>
                  </w:r>
                  <w:r>
                    <w:rPr>
                      <w:rFonts w:hint="eastAsia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皮肤</w:t>
                  </w: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主题定制</w:t>
                  </w:r>
                </w:p>
              </w:tc>
            </w:tr>
            <w:tr w14:paraId="7B98573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852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FDFE71E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后端</w:t>
                  </w:r>
                </w:p>
              </w:tc>
              <w:tc>
                <w:tcPr>
                  <w:tcW w:w="2858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A3D53D8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FastAPI (Python)</w:t>
                  </w:r>
                </w:p>
              </w:tc>
              <w:tc>
                <w:tcPr>
                  <w:tcW w:w="281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45C0F47E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高性能异步API，</w:t>
                  </w:r>
                </w:p>
                <w:p w14:paraId="4F0790A3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与AI生态无缝集成</w:t>
                  </w:r>
                </w:p>
              </w:tc>
            </w:tr>
            <w:tr w14:paraId="29ECBD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852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1E7C7098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智能体框架</w:t>
                  </w:r>
                </w:p>
              </w:tc>
              <w:tc>
                <w:tcPr>
                  <w:tcW w:w="2858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E714787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LangGraph</w:t>
                  </w:r>
                </w:p>
              </w:tc>
              <w:tc>
                <w:tcPr>
                  <w:tcW w:w="281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1FE20304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多Agent协同、状态管理、</w:t>
                  </w:r>
                </w:p>
                <w:p w14:paraId="6F6213A5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流程可控，支持复杂任务编排</w:t>
                  </w:r>
                </w:p>
              </w:tc>
            </w:tr>
            <w:tr w14:paraId="29D0ECA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852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58273C14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关系数据库</w:t>
                  </w:r>
                </w:p>
              </w:tc>
              <w:tc>
                <w:tcPr>
                  <w:tcW w:w="2858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06807BA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PostgreSQL</w:t>
                  </w:r>
                </w:p>
              </w:tc>
              <w:tc>
                <w:tcPr>
                  <w:tcW w:w="281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6E679DA6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支持全文检索，数据可靠性高</w:t>
                  </w:r>
                </w:p>
              </w:tc>
            </w:tr>
            <w:tr w14:paraId="0F91C3C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852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6F94639C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向量数据库</w:t>
                  </w:r>
                </w:p>
              </w:tc>
              <w:tc>
                <w:tcPr>
                  <w:tcW w:w="2858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9ACB91C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Milvus / Qdrant</w:t>
                  </w:r>
                </w:p>
              </w:tc>
              <w:tc>
                <w:tcPr>
                  <w:tcW w:w="281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383B3514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专为向量检索优化，</w:t>
                  </w:r>
                </w:p>
                <w:p w14:paraId="0396E827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支持混合检索</w:t>
                  </w:r>
                </w:p>
              </w:tc>
            </w:tr>
            <w:tr w14:paraId="09EA232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852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50C1C191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对象存储</w:t>
                  </w:r>
                </w:p>
              </w:tc>
              <w:tc>
                <w:tcPr>
                  <w:tcW w:w="2858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66195DB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阿里云OSS / MinIO</w:t>
                  </w:r>
                </w:p>
              </w:tc>
              <w:tc>
                <w:tcPr>
                  <w:tcW w:w="281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4F88BFBE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低成本、高可用文件存储</w:t>
                  </w:r>
                </w:p>
              </w:tc>
            </w:tr>
            <w:tr w14:paraId="4BF56EA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852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0D55EAC6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Embedding模型</w:t>
                  </w:r>
                </w:p>
              </w:tc>
              <w:tc>
                <w:tcPr>
                  <w:tcW w:w="2858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78723EF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BGE-M3</w:t>
                  </w:r>
                </w:p>
              </w:tc>
              <w:tc>
                <w:tcPr>
                  <w:tcW w:w="281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0A59367E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中文语义向量效果好，</w:t>
                  </w:r>
                </w:p>
                <w:p w14:paraId="2401BE6E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支持本地部署</w:t>
                  </w:r>
                </w:p>
              </w:tc>
            </w:tr>
            <w:tr w14:paraId="21E7982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852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4B324A0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LLM</w:t>
                  </w:r>
                </w:p>
              </w:tc>
              <w:tc>
                <w:tcPr>
                  <w:tcW w:w="2858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25D55DE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DeepSeek API</w:t>
                  </w:r>
                </w:p>
              </w:tc>
              <w:tc>
                <w:tcPr>
                  <w:tcW w:w="281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7CC78AF2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性价比高，中文能力强，</w:t>
                  </w:r>
                </w:p>
                <w:p w14:paraId="45E1E7E5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适合学生团队</w:t>
                  </w:r>
                </w:p>
              </w:tc>
            </w:tr>
            <w:tr w14:paraId="2C59259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852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1E5042C4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文档解析</w:t>
                  </w:r>
                </w:p>
              </w:tc>
              <w:tc>
                <w:tcPr>
                  <w:tcW w:w="2858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0C12675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PyMuPDF+ python-docx + Apache Tika</w:t>
                  </w:r>
                </w:p>
              </w:tc>
              <w:tc>
                <w:tcPr>
                  <w:tcW w:w="281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72B3FE6E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覆盖主流文档格式</w:t>
                  </w:r>
                </w:p>
              </w:tc>
            </w:tr>
            <w:tr w14:paraId="67ADF8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852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0B8CE317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OCR</w:t>
                  </w:r>
                </w:p>
              </w:tc>
              <w:tc>
                <w:tcPr>
                  <w:tcW w:w="2858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51134C9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PaddleOCR</w:t>
                  </w:r>
                </w:p>
              </w:tc>
              <w:tc>
                <w:tcPr>
                  <w:tcW w:w="281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736AC6C1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中文识别准确率领先</w:t>
                  </w:r>
                </w:p>
              </w:tc>
            </w:tr>
            <w:tr w14:paraId="655F002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852" w:type="dxa"/>
                  <w:tcBorders>
                    <w:bottom w:val="single" w:color="000000" w:sz="12" w:space="0"/>
                  </w:tcBorders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7070C454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部署</w:t>
                  </w:r>
                </w:p>
              </w:tc>
              <w:tc>
                <w:tcPr>
                  <w:tcW w:w="2858" w:type="dxa"/>
                  <w:tcBorders>
                    <w:bottom w:val="single" w:color="000000" w:sz="12" w:space="0"/>
                  </w:tcBorders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C77F777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Docker Compose + Nginx</w:t>
                  </w:r>
                </w:p>
              </w:tc>
              <w:tc>
                <w:tcPr>
                  <w:tcW w:w="2810" w:type="dxa"/>
                  <w:tcBorders>
                    <w:bottom w:val="single" w:color="000000" w:sz="12" w:space="0"/>
                  </w:tcBorders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067B9EC0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容器化部署，便于演示和分发</w:t>
                  </w:r>
                </w:p>
              </w:tc>
            </w:tr>
          </w:tbl>
          <w:p w14:paraId="5E10445E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本产品计划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采用Docker Compose一键部署所有服务（前端静态资源由Nginx托管，后端API服务、PostgreSQL、Milvus、MinIO各自独立容器）。比赛演示阶段可部署于阿里云/腾讯云轻量服务器（4核8G配置即可流畅运行），亦可本地部署运行。</w:t>
            </w:r>
          </w:p>
          <w:p w14:paraId="1B22BBB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2" w:beforeLines="50" w:beforeAutospacing="0" w:afterAutospacing="0" w:line="360" w:lineRule="auto"/>
              <w:ind w:left="0" w:leftChars="0" w:right="0" w:firstLine="0" w:firstLineChars="0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 w:bidi="ar-SA"/>
              </w:rPr>
              <w:t>七、交互与视觉设计</w:t>
            </w:r>
          </w:p>
          <w:p w14:paraId="2B8A1E0E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2" w:beforeLines="50" w:beforeAutospacing="0" w:after="0" w:afterAutospacing="0" w:line="360" w:lineRule="auto"/>
              <w:ind w:left="0" w:leftChars="0" w:right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7.1 </w:t>
            </w:r>
            <w:r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交互设计——双入口模式</w:t>
            </w:r>
          </w:p>
          <w:p w14:paraId="5A851BDA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对话入口为主交互方式，用户通过对话框用自然语言完成全部操作，智能体以对话气泡形式回应，模拟真实助教体验。对话气泡区分用户与智能体，智能体的回答中可嵌入结构化卡片（如DDL列表、资料卡片、复习计划），图文混排，信息直观。</w:t>
            </w:r>
          </w:p>
          <w:p w14:paraId="0CA474E9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drawing>
                <wp:inline distT="0" distB="0" distL="114300" distR="114300">
                  <wp:extent cx="4825365" cy="2711450"/>
                  <wp:effectExtent l="0" t="0" r="5715" b="1270"/>
                  <wp:docPr id="1" name="图片 1" descr="a01583f5cf5f18fdd418545017496d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a01583f5cf5f18fdd418545017496d3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5365" cy="271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1A991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面板入口为辅助方式，当用户需要批量整理、浏览全局或深度管理时，可通过侧边栏和快捷卡片进行操作，与对话界面联动——面板中的操作会同步反映在对话上下文中。</w:t>
            </w:r>
          </w:p>
          <w:p w14:paraId="06A117E4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drawing>
                <wp:inline distT="0" distB="0" distL="114300" distR="114300">
                  <wp:extent cx="4828540" cy="2712720"/>
                  <wp:effectExtent l="0" t="0" r="2540" b="0"/>
                  <wp:docPr id="3" name="图片 3" descr="65abb3a5700578a791c8154ade5717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65abb3a5700578a791c8154ade5717c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8540" cy="271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F7F6B5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快捷卡片区位于对话界面下方，聚合展示“今日DDL”“复习进度”“近期资料”等关键信息，点击即可触发相关对话，缩短操作路径。</w:t>
            </w:r>
          </w:p>
          <w:p w14:paraId="592DE222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drawing>
                <wp:inline distT="0" distB="0" distL="114300" distR="114300">
                  <wp:extent cx="4828540" cy="2712720"/>
                  <wp:effectExtent l="0" t="0" r="2540" b="0"/>
                  <wp:docPr id="4" name="图片 4" descr="ee456d53886281a807028bbfa68ebb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ee456d53886281a807028bbfa68ebb9f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8540" cy="271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48938D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2" w:beforeLines="50" w:beforeAutospacing="0" w:after="0" w:afterAutospacing="0" w:line="360" w:lineRule="auto"/>
              <w:ind w:left="0" w:leftChars="0" w:right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7.2</w:t>
            </w:r>
            <w:r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视觉设计——默认皮肤「二月兰」</w:t>
            </w:r>
          </w:p>
          <w:p w14:paraId="4F623703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二月兰是早春校园里最常见的野花，淡紫四瓣，不事张扬却自成风景。它耐寒、坚韧，在料峭春寒中最早带来春的消息——恰如「知南·Echo」之于学习管理：安静陪伴，恰逢其时。</w:t>
            </w:r>
          </w:p>
          <w:p w14:paraId="3E2B13B2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drawing>
                <wp:inline distT="0" distB="0" distL="114300" distR="114300">
                  <wp:extent cx="4828540" cy="2712720"/>
                  <wp:effectExtent l="0" t="0" r="2540" b="0"/>
                  <wp:docPr id="6" name="图片 6" descr="ce0726c4bdb015a9e21d79f9772bd5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ce0726c4bdb015a9e21d79f9772bd5ee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8540" cy="271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791E0A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 w:firstLineChars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（1）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色彩体系</w:t>
            </w:r>
          </w:p>
          <w:tbl>
            <w:tblPr>
              <w:tblStyle w:val="8"/>
              <w:tblW w:w="752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445"/>
              <w:gridCol w:w="2591"/>
              <w:gridCol w:w="3484"/>
            </w:tblGrid>
            <w:tr w14:paraId="600B66C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1445" w:type="dxa"/>
                  <w:tcBorders>
                    <w:top w:val="single" w:color="000000" w:sz="12" w:space="0"/>
                    <w:bottom w:val="single" w:color="000000" w:sz="4" w:space="0"/>
                    <w:tl2br w:val="nil"/>
                  </w:tcBorders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5A5F1147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色彩角色</w:t>
                  </w:r>
                </w:p>
              </w:tc>
              <w:tc>
                <w:tcPr>
                  <w:tcW w:w="2591" w:type="dxa"/>
                  <w:tcBorders>
                    <w:top w:val="single" w:color="000000" w:sz="12" w:space="0"/>
                    <w:bottom w:val="single" w:color="000000" w:sz="4" w:space="0"/>
                  </w:tcBorders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FB870FD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色值</w:t>
                  </w:r>
                </w:p>
              </w:tc>
              <w:tc>
                <w:tcPr>
                  <w:tcW w:w="3484" w:type="dxa"/>
                  <w:tcBorders>
                    <w:top w:val="single" w:color="000000" w:sz="12" w:space="0"/>
                    <w:bottom w:val="single" w:color="000000" w:sz="4" w:space="0"/>
                  </w:tcBorders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745C7D0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应用场景</w:t>
                  </w:r>
                </w:p>
              </w:tc>
            </w:tr>
            <w:tr w14:paraId="6ABAA74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445" w:type="dxa"/>
                  <w:tcBorders>
                    <w:top w:val="single" w:color="000000" w:sz="4" w:space="0"/>
                  </w:tcBorders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105D75B9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主色</w:t>
                  </w:r>
                </w:p>
              </w:tc>
              <w:tc>
                <w:tcPr>
                  <w:tcW w:w="2591" w:type="dxa"/>
                  <w:tcBorders>
                    <w:top w:val="single" w:color="000000" w:sz="4" w:space="0"/>
                  </w:tcBorders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35B4151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Style w:val="10"/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shd w:val="clear"/>
                      <w:lang w:val="en-US" w:eastAsia="zh-CN" w:bidi="ar"/>
                    </w:rPr>
                    <w:t>#7B4B9A</w:t>
                  </w: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（二月兰紫）</w:t>
                  </w:r>
                </w:p>
              </w:tc>
              <w:tc>
                <w:tcPr>
                  <w:tcW w:w="3484" w:type="dxa"/>
                  <w:tcBorders>
                    <w:top w:val="single" w:color="000000" w:sz="4" w:space="0"/>
                  </w:tcBorders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71A221FE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Logo、按钮、标题、智能体对话气泡（用户气泡浅紫，智能体气泡深紫）</w:t>
                  </w:r>
                </w:p>
              </w:tc>
            </w:tr>
            <w:tr w14:paraId="7ED5529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445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26E9DA07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辅色</w:t>
                  </w:r>
                </w:p>
              </w:tc>
              <w:tc>
                <w:tcPr>
                  <w:tcW w:w="2591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D9D7458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Style w:val="10"/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shd w:val="clear"/>
                      <w:lang w:val="en-US" w:eastAsia="zh-CN" w:bidi="ar"/>
                    </w:rPr>
                    <w:t>#A87BC5</w:t>
                  </w: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（淡紫）</w:t>
                  </w:r>
                </w:p>
              </w:tc>
              <w:tc>
                <w:tcPr>
                  <w:tcW w:w="3484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6E62FE21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卡片边框、标签、图标</w:t>
                  </w:r>
                </w:p>
              </w:tc>
            </w:tr>
            <w:tr w14:paraId="6578393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445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55133010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背景</w:t>
                  </w:r>
                </w:p>
              </w:tc>
              <w:tc>
                <w:tcPr>
                  <w:tcW w:w="2591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24D7D63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Style w:val="10"/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shd w:val="clear"/>
                      <w:lang w:val="en-US" w:eastAsia="zh-CN" w:bidi="ar"/>
                    </w:rPr>
                    <w:t>#F7F2FA</w:t>
                  </w: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（极淡紫白）</w:t>
                  </w:r>
                </w:p>
              </w:tc>
              <w:tc>
                <w:tcPr>
                  <w:tcW w:w="3484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30560C90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全局背景，如晨雾中的花田</w:t>
                  </w:r>
                </w:p>
              </w:tc>
            </w:tr>
            <w:tr w14:paraId="0F7DF5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445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11689C9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强调</w:t>
                  </w:r>
                </w:p>
              </w:tc>
              <w:tc>
                <w:tcPr>
                  <w:tcW w:w="2591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07E57BF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Style w:val="10"/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shd w:val="clear"/>
                      <w:lang w:val="en-US" w:eastAsia="zh-CN" w:bidi="ar"/>
                    </w:rPr>
                    <w:t>#C9A8E0</w:t>
                  </w: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（柔光紫）</w:t>
                  </w:r>
                </w:p>
              </w:tc>
              <w:tc>
                <w:tcPr>
                  <w:tcW w:w="3484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3DC4ED50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悬停状态、选中态背景</w:t>
                  </w:r>
                </w:p>
              </w:tc>
            </w:tr>
            <w:tr w14:paraId="7668E1F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445" w:type="dxa"/>
                  <w:tcBorders>
                    <w:bottom w:val="single" w:color="000000" w:sz="12" w:space="0"/>
                  </w:tcBorders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4730DA7C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点缀</w:t>
                  </w:r>
                </w:p>
              </w:tc>
              <w:tc>
                <w:tcPr>
                  <w:tcW w:w="2591" w:type="dxa"/>
                  <w:tcBorders>
                    <w:bottom w:val="single" w:color="000000" w:sz="12" w:space="0"/>
                  </w:tcBorders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8BFC26D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Style w:val="10"/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shd w:val="clear"/>
                      <w:lang w:val="en-US" w:eastAsia="zh-CN" w:bidi="ar"/>
                    </w:rPr>
                    <w:t>#E8D5F0</w:t>
                  </w: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（花瓣粉紫）</w:t>
                  </w:r>
                </w:p>
              </w:tc>
              <w:tc>
                <w:tcPr>
                  <w:tcW w:w="3484" w:type="dxa"/>
                  <w:tcBorders>
                    <w:bottom w:val="single" w:color="000000" w:sz="12" w:space="0"/>
                  </w:tcBorders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2487AC12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ind w:left="0" w:leftChars="0" w:firstLine="0" w:firstLine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分割线、装饰元素</w:t>
                  </w:r>
                </w:p>
              </w:tc>
            </w:tr>
          </w:tbl>
          <w:p w14:paraId="2BE5D0BA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 w:firstLineChars="0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（2）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视觉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设计</w:t>
            </w:r>
          </w:p>
          <w:p w14:paraId="37320319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毛玻璃效果卡片叠加在淡紫渐变背景上；花瓣形态的进度指示器；花蕊光晕的悬浮操作按钮；圆润柔和的字体与边角。</w:t>
            </w:r>
          </w:p>
          <w:p w14:paraId="78A5881F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 w:firstLineChars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（3）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响应式适配</w:t>
            </w:r>
          </w:p>
          <w:p w14:paraId="768EFE73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PC端采用双栏布局（左课程目录 + 右对话主区），信息密度高；移动端调整为单栏布局，底部Tab导航，对话区全屏展示，按钮与触控区域放大至适合手指操作。</w:t>
            </w:r>
          </w:p>
          <w:p w14:paraId="5EB17648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 w:firstLineChars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（4）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皮肤扩展规划</w:t>
            </w:r>
          </w:p>
          <w:p w14:paraId="279FE212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产品后续将推出多套可更换皮肤（如「银杏金秋」「冬雪素白」「樱花粉黛」等），满足个性化偏好。比赛版本聚焦「二月兰」默认皮肤的完整呈现。</w:t>
            </w:r>
          </w:p>
          <w:p w14:paraId="1C3C410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2" w:beforeLines="50" w:beforeAutospacing="0" w:afterAutospacing="0" w:line="240" w:lineRule="auto"/>
              <w:ind w:left="0" w:leftChars="0" w:right="0" w:firstLine="0" w:firstLineChars="0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kern w:val="44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kern w:val="44"/>
                <w:sz w:val="24"/>
                <w:szCs w:val="24"/>
                <w:shd w:val="clear" w:fill="FFFFFF"/>
                <w:lang w:val="en-US" w:eastAsia="zh-CN" w:bidi="ar-SA"/>
              </w:rPr>
              <w:t>八、预期成果</w:t>
            </w:r>
          </w:p>
          <w:p w14:paraId="36FA174B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2" w:beforeLines="50" w:beforeAutospacing="0" w:after="0" w:afterAutospacing="0" w:line="360" w:lineRule="auto"/>
              <w:ind w:left="0" w:leftChars="0" w:right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8.1 </w:t>
            </w:r>
            <w:r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可运行作品</w:t>
            </w:r>
          </w:p>
          <w:p w14:paraId="47C06767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部署在云服务器的Web应用，提供公网访问链接；3个预置测试账号（含模拟课程、资料、DDL数据）；Docker Compose一键部署配置。作品形式为Web应用，PC与手机端均可访问。</w:t>
            </w:r>
          </w:p>
          <w:p w14:paraId="095313EE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2" w:beforeLines="50" w:beforeAutospacing="0" w:after="0" w:afterAutospacing="0" w:line="360" w:lineRule="auto"/>
              <w:ind w:left="0" w:leftChars="0" w:right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8.2 </w:t>
            </w:r>
            <w:r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技术文档</w:t>
            </w:r>
          </w:p>
          <w:p w14:paraId="6C3ABECD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系统架构图（含智能体模块结构与数据流）、模块说明（各模块功能定义与输入输出）、核心功能介绍（含自动化能力的实现原理）、技术路线与选型理由、部署方式与依赖环境清单、配置项说明。</w:t>
            </w:r>
          </w:p>
          <w:p w14:paraId="78604188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2" w:beforeLines="50" w:beforeAutospacing="0" w:after="0" w:afterAutospacing="0" w:line="360" w:lineRule="auto"/>
              <w:ind w:left="0" w:leftChars="0" w:right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8.3 </w:t>
            </w:r>
            <w:r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README文件</w:t>
            </w:r>
          </w:p>
          <w:p w14:paraId="1F37EFF5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项目简介、环境配置要求、依赖安装命令、启动命令（前端/后端/全部）、运行方式与访问地址、测试方式（含内置测试账号）、常见问题与解决方案。</w:t>
            </w:r>
          </w:p>
          <w:p w14:paraId="436D40EA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2" w:beforeLines="50" w:beforeAutospacing="0" w:after="0" w:afterAutospacing="0" w:line="360" w:lineRule="auto"/>
              <w:ind w:left="0" w:leftChars="0" w:right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8.4 </w:t>
            </w:r>
            <w:r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用例集（≥10条）</w:t>
            </w:r>
          </w:p>
          <w:p w14:paraId="0F7F1506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覆盖正常场景（如“上传资料并自动归档”“对话检索资料”“截图识别DDL”“生成复习计划”）、异常场景（如“上传空文件”“检索无结果”“DDL时间格式错误”“上传不支持的文件格式”）和边界场景（如“批量上传100份文件”“超长文本DDL提取”“跨学期资料检索”）。</w:t>
            </w:r>
          </w:p>
          <w:p w14:paraId="1779F7DA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2" w:beforeLines="50" w:beforeAutospacing="0" w:after="0" w:afterAutospacing="0" w:line="360" w:lineRule="auto"/>
              <w:ind w:left="0" w:leftChars="0" w:right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8.5 </w:t>
            </w:r>
            <w:r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演示视频（3-5分钟）</w:t>
            </w:r>
          </w:p>
          <w:p w14:paraId="7C8C2880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开场（30秒）：产品理念与目标用户介绍；核心演示（2分钟）：对话式资料入库→自动标签→RAG语义检索→DDL录入→复习计划生成；亮点功能展示（1.5分钟）：截图OCR提取DDL / 主动提醒推送 / 多格式导出；收尾（30秒）：使用价值总结与推广展望。</w:t>
            </w:r>
          </w:p>
          <w:p w14:paraId="6066810F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2" w:beforeLines="50" w:beforeAutospacing="0" w:after="0" w:afterAutospacing="0" w:line="360" w:lineRule="auto"/>
              <w:ind w:left="0" w:leftChars="0" w:right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8.6</w:t>
            </w:r>
            <w:r>
              <w:rPr>
                <w:rFonts w:hint="default" w:ascii="Times New Roman" w:hAnsi="Times New Roman" w:eastAsia="宋体" w:cs="Times New Roman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合规说明</w:t>
            </w:r>
          </w:p>
          <w:p w14:paraId="144DBD8A">
            <w:pPr>
              <w:pStyle w:val="7"/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40" w:lineRule="exact"/>
              <w:ind w:left="0" w:right="0" w:firstLine="0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数据来源使用公开MOOC课程资料或自行生成的模拟数据，不涉及真实课程内容版权问题；隐私保护方面所有用户数据隔离，HTTPS传输，LLM API调用时脱敏；演示数据中不包含真实姓名、学号、联系方式等个人信息；如涉及任何真实数据，入库前进行脱敏处理。</w:t>
            </w:r>
          </w:p>
          <w:p w14:paraId="0C23A64F">
            <w:pPr>
              <w:adjustRightInd w:val="0"/>
              <w:snapToGrid w:val="0"/>
              <w:spacing w:line="540" w:lineRule="exact"/>
              <w:ind w:firstLine="0" w:firstLineChars="0"/>
              <w:jc w:val="center"/>
              <w:rPr>
                <w:rFonts w:eastAsia="仿宋_GB2312"/>
                <w:sz w:val="24"/>
              </w:rPr>
            </w:pPr>
          </w:p>
        </w:tc>
      </w:tr>
      <w:bookmarkEnd w:id="0"/>
    </w:tbl>
    <w:p w14:paraId="3A53BCD7">
      <w:pPr>
        <w:autoSpaceDE w:val="0"/>
        <w:autoSpaceDN w:val="0"/>
        <w:adjustRightInd w:val="0"/>
        <w:snapToGrid w:val="0"/>
        <w:spacing w:line="440" w:lineRule="exact"/>
        <w:ind w:firstLine="0" w:firstLineChars="0"/>
        <w:jc w:val="left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7" w:h="16840"/>
      <w:pgMar w:top="2098" w:right="1531" w:bottom="1985" w:left="1531" w:header="720" w:footer="720" w:gutter="0"/>
      <w:cols w:space="0" w:num="1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6DC0411A-27CB-4B4A-BE13-69F67058710F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2" w:fontKey="{9FE25A48-DB88-41A2-AE5B-CEC5CBC1CECD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23C0A24F-7679-46F5-BBE3-45E4F0047D73}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  <w:embedRegular r:id="rId4" w:fontKey="{F2669E34-53C9-4C2C-9B6A-6EB975FACC1B}"/>
  </w:font>
  <w:font w:name="___WRD_EMBED_SUB_50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  <w:embedRegular r:id="rId5" w:fontKey="{0FE0875B-6BFC-4C03-8BB3-2A483A11D856}"/>
  </w:font>
  <w:font w:name="WPSEMBED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WPSEMBED1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70F713">
    <w:pPr>
      <w:pStyle w:val="5"/>
      <w:ind w:firstLine="0" w:firstLineChars="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-1"/>
                          </w:sdtPr>
                          <w:sdtContent>
                            <w:p w14:paraId="0D8C8761">
                              <w:pPr>
                                <w:pStyle w:val="5"/>
                                <w:ind w:firstLine="360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37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-1"/>
                    </w:sdtPr>
                    <w:sdtContent>
                      <w:p w14:paraId="0D8C8761">
                        <w:pPr>
                          <w:pStyle w:val="5"/>
                          <w:ind w:firstLine="360"/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37</w:t>
                        </w:r>
                        <w:r>
                          <w:fldChar w:fldCharType="end"/>
                        </w:r>
                      </w:p>
                    </w:sdtContent>
                  </w:sdt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A5DEE9">
    <w:pPr>
      <w:pStyle w:val="5"/>
      <w:ind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32368533" name="40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A43D12C">
                          <w:pPr>
                            <w:pStyle w:val="5"/>
                            <w:ind w:firstLine="360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42</w:t>
                          </w:r>
                          <w:r>
                            <w:rPr>
                              <w:lang w:val="zh-CN"/>
                            </w:rP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4098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M6pebnPAAAABQEAAA8AAAAAAAAAAQAgAAAAIgAAAGRycy9kb3ducmV2LnhtbFBL&#10;AQIUABQAAAAIAIdO4kC7pZY+/wEAABMEAAAOAAAAAAAAAAEAIAAAAB4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A43D12C">
                    <w:pPr>
                      <w:pStyle w:val="5"/>
                      <w:ind w:firstLine="360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42</w:t>
                    </w:r>
                    <w:r>
                      <w:rPr>
                        <w:lang w:val="zh-CN"/>
                      </w:rP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  <w:p w14:paraId="43655E0C"/>
  <w:p w14:paraId="22D5BE30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73DC3C">
    <w:pPr>
      <w:pStyle w:val="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560"/>
      </w:pPr>
      <w:r>
        <w:separator/>
      </w:r>
    </w:p>
  </w:footnote>
  <w:footnote w:type="continuationSeparator" w:id="1">
    <w:p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3BC07C">
    <w:pPr>
      <w:pStyle w:val="6"/>
      <w:ind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5E6216">
    <w:pPr>
      <w:pStyle w:val="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DAF8A0">
    <w:pPr>
      <w:pStyle w:val="6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M0MDlhZDNiODZmYzU0ZmUyMGRkZjM0ZmM0MzkxMDcifQ=="/>
  </w:docVars>
  <w:rsids>
    <w:rsidRoot w:val="005B248F"/>
    <w:rsid w:val="001528AD"/>
    <w:rsid w:val="001F40D2"/>
    <w:rsid w:val="002664CE"/>
    <w:rsid w:val="00277C26"/>
    <w:rsid w:val="0028122D"/>
    <w:rsid w:val="002E3D79"/>
    <w:rsid w:val="00395EAA"/>
    <w:rsid w:val="004741C0"/>
    <w:rsid w:val="004A6780"/>
    <w:rsid w:val="005B248F"/>
    <w:rsid w:val="005C23B7"/>
    <w:rsid w:val="005C2F1F"/>
    <w:rsid w:val="006A1994"/>
    <w:rsid w:val="006A53F2"/>
    <w:rsid w:val="006B5CD2"/>
    <w:rsid w:val="006F6A9C"/>
    <w:rsid w:val="00784C99"/>
    <w:rsid w:val="00895A79"/>
    <w:rsid w:val="008A16C5"/>
    <w:rsid w:val="009238F3"/>
    <w:rsid w:val="009977B5"/>
    <w:rsid w:val="009A6FB8"/>
    <w:rsid w:val="009D2524"/>
    <w:rsid w:val="00A6679D"/>
    <w:rsid w:val="00AE7C78"/>
    <w:rsid w:val="00AF796A"/>
    <w:rsid w:val="00B30E58"/>
    <w:rsid w:val="00C0620B"/>
    <w:rsid w:val="00C1026B"/>
    <w:rsid w:val="00C333BA"/>
    <w:rsid w:val="00C92E19"/>
    <w:rsid w:val="00CC61EB"/>
    <w:rsid w:val="00DF2EFA"/>
    <w:rsid w:val="00E16473"/>
    <w:rsid w:val="00E7024C"/>
    <w:rsid w:val="00F03FF7"/>
    <w:rsid w:val="00F972AB"/>
    <w:rsid w:val="050C6EE2"/>
    <w:rsid w:val="07AA4FD3"/>
    <w:rsid w:val="0A167FF9"/>
    <w:rsid w:val="0A30354D"/>
    <w:rsid w:val="0C0E362D"/>
    <w:rsid w:val="0C9E3113"/>
    <w:rsid w:val="0E490C4E"/>
    <w:rsid w:val="0FC5515F"/>
    <w:rsid w:val="14DA6F41"/>
    <w:rsid w:val="14EF1875"/>
    <w:rsid w:val="153735D8"/>
    <w:rsid w:val="20942446"/>
    <w:rsid w:val="23850595"/>
    <w:rsid w:val="29962BBC"/>
    <w:rsid w:val="2BD34CF1"/>
    <w:rsid w:val="2DB91787"/>
    <w:rsid w:val="322F72FD"/>
    <w:rsid w:val="36624B80"/>
    <w:rsid w:val="371E15B8"/>
    <w:rsid w:val="37302BE0"/>
    <w:rsid w:val="377B74A0"/>
    <w:rsid w:val="380F0FA3"/>
    <w:rsid w:val="3BBC377D"/>
    <w:rsid w:val="3D7832CB"/>
    <w:rsid w:val="3F204B9E"/>
    <w:rsid w:val="3F970A68"/>
    <w:rsid w:val="40C30A0B"/>
    <w:rsid w:val="41067DC3"/>
    <w:rsid w:val="41B8353B"/>
    <w:rsid w:val="427434C5"/>
    <w:rsid w:val="42B35D2A"/>
    <w:rsid w:val="45592BB7"/>
    <w:rsid w:val="487E0432"/>
    <w:rsid w:val="4D0E7075"/>
    <w:rsid w:val="4DF31D68"/>
    <w:rsid w:val="502D711A"/>
    <w:rsid w:val="54602E8F"/>
    <w:rsid w:val="58DB03E4"/>
    <w:rsid w:val="5A7F100C"/>
    <w:rsid w:val="5BE75C5F"/>
    <w:rsid w:val="5DD23992"/>
    <w:rsid w:val="5EF155DC"/>
    <w:rsid w:val="62F05675"/>
    <w:rsid w:val="645C7B76"/>
    <w:rsid w:val="6726066C"/>
    <w:rsid w:val="67370042"/>
    <w:rsid w:val="677516E5"/>
    <w:rsid w:val="67DF08BF"/>
    <w:rsid w:val="69431F6D"/>
    <w:rsid w:val="6AF93A8C"/>
    <w:rsid w:val="6DFF44F6"/>
    <w:rsid w:val="72144F7F"/>
    <w:rsid w:val="72CB65F3"/>
    <w:rsid w:val="748E22FC"/>
    <w:rsid w:val="7A5C2227"/>
    <w:rsid w:val="7F4A6120"/>
    <w:rsid w:val="B3FDEC11"/>
    <w:rsid w:val="F2F7B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80" w:lineRule="exact"/>
      <w:ind w:firstLine="560" w:firstLineChars="200"/>
      <w:jc w:val="both"/>
    </w:pPr>
    <w:rPr>
      <w:rFonts w:ascii="Times New Roman" w:hAnsi="Times New Roman" w:eastAsia="仿宋" w:cs="Times New Roman"/>
      <w:sz w:val="28"/>
      <w:szCs w:val="36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60" w:lineRule="exact"/>
      <w:outlineLvl w:val="0"/>
    </w:pPr>
    <w:rPr>
      <w:rFonts w:eastAsia="黑体" w:cstheme="minorBidi"/>
      <w:b/>
      <w:kern w:val="44"/>
      <w:sz w:val="32"/>
      <w:szCs w:val="24"/>
    </w:rPr>
  </w:style>
  <w:style w:type="paragraph" w:styleId="3">
    <w:name w:val="heading 2"/>
    <w:basedOn w:val="1"/>
    <w:next w:val="1"/>
    <w:qFormat/>
    <w:uiPriority w:val="9"/>
    <w:pPr>
      <w:keepNext/>
      <w:keepLines/>
      <w:spacing w:line="560" w:lineRule="exact"/>
      <w:ind w:firstLine="643"/>
      <w:outlineLvl w:val="1"/>
    </w:pPr>
    <w:rPr>
      <w:rFonts w:ascii="楷体" w:hAnsi="楷体" w:eastAsia="楷体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7">
    <w:name w:val="Normal (Web)"/>
    <w:basedOn w:val="1"/>
    <w:qFormat/>
    <w:uiPriority w:val="0"/>
    <w:rPr>
      <w:sz w:val="24"/>
    </w:rPr>
  </w:style>
  <w:style w:type="character" w:styleId="10">
    <w:name w:val="HTML Code"/>
    <w:basedOn w:val="9"/>
    <w:qFormat/>
    <w:uiPriority w:val="0"/>
    <w:rPr>
      <w:rFonts w:ascii="Courier New" w:hAnsi="Courier New"/>
      <w:sz w:val="20"/>
    </w:rPr>
  </w:style>
  <w:style w:type="table" w:customStyle="1" w:styleId="11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jpe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4147</Words>
  <Characters>4743</Characters>
  <Lines>116</Lines>
  <Paragraphs>46</Paragraphs>
  <TotalTime>3</TotalTime>
  <ScaleCrop>false</ScaleCrop>
  <LinksUpToDate>false</LinksUpToDate>
  <CharactersWithSpaces>4800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2024-02-27T22:01:00Z</dcterms:created>
  <dc:creator>user</dc:creator>
  <cp:lastModifiedBy>李庆浩</cp:lastModifiedBy>
  <cp:lastPrinted>2025-07-04T19:25:00Z</cp:lastPrinted>
  <dcterms:modified xsi:type="dcterms:W3CDTF">2026-08-11T03:09:18Z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674606BA6FB04E3480742F50D48D962C_13</vt:lpwstr>
  </property>
  <property fmtid="{D5CDD505-2E9C-101B-9397-08002B2CF9AE}" pid="4" name="KSOTemplateDocerSaveRecord">
    <vt:lpwstr>eyJoZGlkIjoiNDFiYjlhZTliMjk4NjJiNjQzZDZkYzQ4YzkyYmMxNTIiLCJ1c2VySWQiOiIxNzMwMzAwNjg2In0=</vt:lpwstr>
  </property>
</Properties>
</file>