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571F0" w14:textId="77777777" w:rsidR="005B43DB" w:rsidRPr="005B43DB" w:rsidRDefault="005B43DB" w:rsidP="005B43DB">
      <w:pPr>
        <w:rPr>
          <w:lang w:val="en-US"/>
        </w:rPr>
      </w:pPr>
      <w:r w:rsidRPr="005B43DB">
        <w:rPr>
          <w:lang w:val="en-US"/>
        </w:rPr>
        <w:t>We had 30 sales from 10 customers, bringing in a total of $8,949.</w:t>
      </w:r>
    </w:p>
    <w:p w14:paraId="5A80B5F0" w14:textId="77777777" w:rsidR="005B43DB" w:rsidRPr="005B43DB" w:rsidRDefault="005B43DB" w:rsidP="005B43DB">
      <w:pPr>
        <w:rPr>
          <w:lang w:val="en-US"/>
        </w:rPr>
      </w:pPr>
    </w:p>
    <w:p w14:paraId="03A3A069" w14:textId="20378180" w:rsidR="005B43DB" w:rsidRDefault="005B43DB" w:rsidP="005B43DB">
      <w:pPr>
        <w:rPr>
          <w:lang w:val="en-US"/>
        </w:rPr>
      </w:pPr>
      <w:r w:rsidRPr="005B43DB">
        <w:rPr>
          <w:lang w:val="en-US"/>
        </w:rPr>
        <w:t>Category Performance:</w:t>
      </w:r>
      <w:r>
        <w:rPr>
          <w:lang w:val="en-US"/>
        </w:rPr>
        <w:br/>
      </w:r>
      <w:r w:rsidRPr="005B43DB">
        <w:rPr>
          <w:lang w:val="en-US"/>
        </w:rPr>
        <w:t>Electronics are our core driver, generating $6,610, or 73.9% of all revenue. Furniture follows at $1,970 (22.0%), while Stationery contributes $369 (4.1%). High-ticket items like the Laptop Pro ($1,200 each) and the 27-inch Monitor ($300) are our biggest sellers.</w:t>
      </w:r>
      <w:r>
        <w:rPr>
          <w:lang w:val="en-US"/>
        </w:rPr>
        <w:br/>
      </w:r>
    </w:p>
    <w:p w14:paraId="477C225B" w14:textId="77777777" w:rsidR="005B43DB" w:rsidRDefault="005B43DB" w:rsidP="005B43DB">
      <w:pPr>
        <w:rPr>
          <w:lang w:val="en-US"/>
        </w:rPr>
      </w:pPr>
      <w:r w:rsidRPr="005B43DB">
        <w:rPr>
          <w:lang w:val="en-US"/>
        </w:rPr>
        <w:t>Regional Analysis:</w:t>
      </w:r>
      <w:r>
        <w:rPr>
          <w:lang w:val="en-US"/>
        </w:rPr>
        <w:br/>
      </w:r>
      <w:r w:rsidRPr="005B43DB">
        <w:rPr>
          <w:lang w:val="en-US"/>
        </w:rPr>
        <w:t>The North region is our clear leader with $3,775 (42.2% of revenue). The South is second with $2,263 (25.3%), followed by the East at $1,921 (21.5%). The West region significantly lags behind at just $990 (11.1%), indicating a major opportunity for improvement through targeted marketing or sales effort</w:t>
      </w:r>
      <w:r>
        <w:rPr>
          <w:lang w:val="en-US"/>
        </w:rPr>
        <w:t>.</w:t>
      </w:r>
    </w:p>
    <w:p w14:paraId="1465A3B2" w14:textId="542FC3EC" w:rsidR="005B43DB" w:rsidRPr="005B43DB" w:rsidRDefault="005B43DB" w:rsidP="005B43DB">
      <w:pPr>
        <w:rPr>
          <w:lang w:val="en-US"/>
        </w:rPr>
      </w:pPr>
      <w:r>
        <w:rPr>
          <w:lang w:val="en-US"/>
        </w:rPr>
        <w:br/>
      </w:r>
      <w:r w:rsidRPr="005B43DB">
        <w:rPr>
          <w:lang w:val="en-US"/>
        </w:rPr>
        <w:t>Customer Insights:</w:t>
      </w:r>
      <w:r>
        <w:rPr>
          <w:lang w:val="en-US"/>
        </w:rPr>
        <w:br/>
      </w:r>
      <w:r w:rsidRPr="005B43DB">
        <w:rPr>
          <w:lang w:val="en-US"/>
        </w:rPr>
        <w:t>Our top customers are critical to our business. Customer C001 spent $2,745, accounting for 30.7% of our total. C002 spent $1,325 (14.8%), and C006 spent $1,311 (14.6%). Our top three customers alone generate 60.1% of our revenue, underscoring the importance of retaining them. The top 20% of customers (2 out of 10) drive 45.5% of our revenue.</w:t>
      </w:r>
    </w:p>
    <w:p w14:paraId="0448B86E" w14:textId="77777777" w:rsidR="005B43DB" w:rsidRDefault="005B43DB" w:rsidP="005B43DB">
      <w:pPr>
        <w:rPr>
          <w:lang w:val="en-US"/>
        </w:rPr>
      </w:pPr>
    </w:p>
    <w:p w14:paraId="46938D3E" w14:textId="003ECCF0" w:rsidR="005B43DB" w:rsidRPr="005B43DB" w:rsidRDefault="005B43DB" w:rsidP="005B43DB">
      <w:pPr>
        <w:rPr>
          <w:lang w:val="en-US"/>
        </w:rPr>
      </w:pPr>
      <w:r w:rsidRPr="005B43DB">
        <w:rPr>
          <w:lang w:val="en-US"/>
        </w:rPr>
        <w:t>Monthly Trend:</w:t>
      </w:r>
      <w:r>
        <w:rPr>
          <w:lang w:val="en-US"/>
        </w:rPr>
        <w:br/>
      </w:r>
      <w:r w:rsidRPr="005B43DB">
        <w:rPr>
          <w:lang w:val="en-US"/>
        </w:rPr>
        <w:t>January started at $2,666 in revenue. February saw a strong increase to $3,760 (up 41%), but March declined to $2,523 (down 33% from February). The quarterly average is approximately $2,983 per month. This indicates volatility rather than steady growth.</w:t>
      </w:r>
    </w:p>
    <w:p w14:paraId="29CA0636" w14:textId="36B0867A" w:rsidR="005B43DB" w:rsidRPr="005B43DB" w:rsidRDefault="005B43DB" w:rsidP="005B43DB">
      <w:pPr>
        <w:rPr>
          <w:lang w:val="en-US"/>
        </w:rPr>
      </w:pPr>
      <w:r w:rsidRPr="005B43DB">
        <w:rPr>
          <w:lang w:val="en-US"/>
        </w:rPr>
        <w:t>Product Highlights:</w:t>
      </w:r>
      <w:r>
        <w:rPr>
          <w:lang w:val="en-US"/>
        </w:rPr>
        <w:br/>
      </w:r>
      <w:r w:rsidRPr="005B43DB">
        <w:rPr>
          <w:lang w:val="en-US"/>
        </w:rPr>
        <w:t>The Laptop Pro was our top product with 4 units sold for $4,800 total. The 27-inch Monitor also sold 4 uni</w:t>
      </w:r>
      <w:r>
        <w:rPr>
          <w:lang w:val="en-US"/>
        </w:rPr>
        <w:t>t</w:t>
      </w:r>
      <w:r w:rsidRPr="005B43DB">
        <w:rPr>
          <w:lang w:val="en-US"/>
        </w:rPr>
        <w:t>s for $1,200, and the Standing Desk sold 3 units for $1,050.</w:t>
      </w:r>
    </w:p>
    <w:p w14:paraId="7C1D22FC" w14:textId="77777777" w:rsidR="005B43DB" w:rsidRDefault="005B43DB" w:rsidP="005B43DB">
      <w:pPr>
        <w:rPr>
          <w:lang w:val="en-US"/>
        </w:rPr>
      </w:pPr>
      <w:r w:rsidRPr="005B43DB">
        <w:rPr>
          <w:lang w:val="en-US"/>
        </w:rPr>
        <w:t>Strategic Recommendations:</w:t>
      </w:r>
    </w:p>
    <w:p w14:paraId="21ADBE83" w14:textId="04D42505" w:rsidR="005B43DB" w:rsidRPr="005B43DB" w:rsidRDefault="005B43DB" w:rsidP="005B43DB">
      <w:pPr>
        <w:ind w:left="708"/>
        <w:rPr>
          <w:lang w:val="en-US"/>
        </w:rPr>
      </w:pPr>
      <w:r w:rsidRPr="005B43DB">
        <w:rPr>
          <w:lang w:val="en-US"/>
        </w:rPr>
        <w:t xml:space="preserve">Loyalty Program: </w:t>
      </w:r>
      <w:r>
        <w:rPr>
          <w:lang w:val="en-US"/>
        </w:rPr>
        <w:tab/>
      </w:r>
      <w:r>
        <w:rPr>
          <w:lang w:val="en-US"/>
        </w:rPr>
        <w:br/>
      </w:r>
      <w:r w:rsidRPr="005B43DB">
        <w:rPr>
          <w:lang w:val="en-US"/>
        </w:rPr>
        <w:t>Since three customers drive over 60% of revenue, implement a loyalty program for high spenders (e.g., over $1,000) with perks, dedicated support, and early access to new products to ensure retention.</w:t>
      </w:r>
    </w:p>
    <w:p w14:paraId="6ABA3404" w14:textId="77777777" w:rsidR="005B43DB" w:rsidRDefault="005B43DB" w:rsidP="005B43DB">
      <w:pPr>
        <w:ind w:left="708"/>
        <w:rPr>
          <w:lang w:val="en-US"/>
        </w:rPr>
      </w:pPr>
      <w:r w:rsidRPr="005B43DB">
        <w:rPr>
          <w:lang w:val="en-US"/>
        </w:rPr>
        <w:t xml:space="preserve">Focus on the West: </w:t>
      </w:r>
      <w:r>
        <w:rPr>
          <w:lang w:val="en-US"/>
        </w:rPr>
        <w:br/>
      </w:r>
      <w:r w:rsidRPr="005B43DB">
        <w:rPr>
          <w:lang w:val="en-US"/>
        </w:rPr>
        <w:t>The West region represents only 11.1% of sales. Targeted advertising, promotions, or assigning a dedicated sales representative could help capture this underperforming market.</w:t>
      </w:r>
    </w:p>
    <w:p w14:paraId="0B1EA00B" w14:textId="7544C804" w:rsidR="005B43DB" w:rsidRPr="005B43DB" w:rsidRDefault="005B43DB" w:rsidP="005B43DB">
      <w:pPr>
        <w:ind w:left="708"/>
        <w:rPr>
          <w:lang w:val="en-US"/>
        </w:rPr>
      </w:pPr>
      <w:r w:rsidRPr="005B43DB">
        <w:rPr>
          <w:lang w:val="en-US"/>
        </w:rPr>
        <w:lastRenderedPageBreak/>
        <w:t xml:space="preserve">Product Bundling: </w:t>
      </w:r>
      <w:r>
        <w:rPr>
          <w:lang w:val="en-US"/>
        </w:rPr>
        <w:br/>
      </w:r>
      <w:r w:rsidRPr="005B43DB">
        <w:rPr>
          <w:lang w:val="en-US"/>
        </w:rPr>
        <w:t>Capitalize on strong electronics sales by creating bundles (e.g., Laptop Pro + Monitor + USB-C Hub) to increase average order value.</w:t>
      </w:r>
    </w:p>
    <w:p w14:paraId="30EE731B" w14:textId="0FD5DF26" w:rsidR="005B43DB" w:rsidRPr="005B43DB" w:rsidRDefault="005B43DB" w:rsidP="005B43DB">
      <w:pPr>
        <w:ind w:left="708"/>
        <w:rPr>
          <w:lang w:val="en-US"/>
        </w:rPr>
      </w:pPr>
      <w:r w:rsidRPr="005B43DB">
        <w:rPr>
          <w:lang w:val="en-US"/>
        </w:rPr>
        <w:t xml:space="preserve">Address Volatility: </w:t>
      </w:r>
      <w:r>
        <w:rPr>
          <w:lang w:val="en-US"/>
        </w:rPr>
        <w:br/>
      </w:r>
      <w:r w:rsidRPr="005B43DB">
        <w:rPr>
          <w:lang w:val="en-US"/>
        </w:rPr>
        <w:t>Investigate the sharp sales drop in March to understand its cause (e.g., seasonal, competitive, internal) and develop strategies to stabilize monthly revenue.</w:t>
      </w:r>
    </w:p>
    <w:p w14:paraId="46C2939F" w14:textId="77777777" w:rsidR="005B43DB" w:rsidRPr="005B43DB" w:rsidRDefault="005B43DB" w:rsidP="005B43DB">
      <w:pPr>
        <w:rPr>
          <w:lang w:val="en-US"/>
        </w:rPr>
      </w:pPr>
    </w:p>
    <w:p w14:paraId="614E31E6" w14:textId="31A6192C" w:rsidR="006834B3" w:rsidRPr="005B43DB" w:rsidRDefault="005B43DB" w:rsidP="005B43DB">
      <w:pPr>
        <w:rPr>
          <w:lang w:val="en-US"/>
        </w:rPr>
      </w:pPr>
      <w:r w:rsidRPr="005B43DB">
        <w:rPr>
          <w:lang w:val="en-US"/>
        </w:rPr>
        <w:t>In summary, Q1 performance was anchored by strong electronics sales and dominant customers in the North region. Our immediate opportunities are to secure our revenue base by focusing on top clients, aggressively grow in the weak West region, and work to stabilize monthly sales trends.</w:t>
      </w:r>
    </w:p>
    <w:sectPr w:rsidR="006834B3" w:rsidRPr="005B43D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013C"/>
    <w:multiLevelType w:val="multilevel"/>
    <w:tmpl w:val="2EC81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2D373E"/>
    <w:multiLevelType w:val="multilevel"/>
    <w:tmpl w:val="2040A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D03AEE"/>
    <w:multiLevelType w:val="multilevel"/>
    <w:tmpl w:val="DBD8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70895"/>
    <w:multiLevelType w:val="multilevel"/>
    <w:tmpl w:val="DA3CE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3585570">
    <w:abstractNumId w:val="3"/>
  </w:num>
  <w:num w:numId="2" w16cid:durableId="894242785">
    <w:abstractNumId w:val="1"/>
  </w:num>
  <w:num w:numId="3" w16cid:durableId="1899440272">
    <w:abstractNumId w:val="0"/>
  </w:num>
  <w:num w:numId="4" w16cid:durableId="6635078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3C8"/>
    <w:rsid w:val="001B23C8"/>
    <w:rsid w:val="001D132F"/>
    <w:rsid w:val="00322973"/>
    <w:rsid w:val="00416D33"/>
    <w:rsid w:val="004C34C9"/>
    <w:rsid w:val="005953B2"/>
    <w:rsid w:val="005B43DB"/>
    <w:rsid w:val="006046E0"/>
    <w:rsid w:val="00633D2A"/>
    <w:rsid w:val="006834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7BB21"/>
  <w15:chartTrackingRefBased/>
  <w15:docId w15:val="{3019E463-8538-45DB-A5A6-36E6C55BF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3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3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3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3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3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3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3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3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3C8"/>
    <w:rPr>
      <w:rFonts w:eastAsiaTheme="majorEastAsia" w:cstheme="majorBidi"/>
      <w:color w:val="272727" w:themeColor="text1" w:themeTint="D8"/>
    </w:rPr>
  </w:style>
  <w:style w:type="paragraph" w:styleId="Title">
    <w:name w:val="Title"/>
    <w:basedOn w:val="Normal"/>
    <w:next w:val="Normal"/>
    <w:link w:val="TitleChar"/>
    <w:uiPriority w:val="10"/>
    <w:qFormat/>
    <w:rsid w:val="001B2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3C8"/>
    <w:pPr>
      <w:spacing w:before="160"/>
      <w:jc w:val="center"/>
    </w:pPr>
    <w:rPr>
      <w:i/>
      <w:iCs/>
      <w:color w:val="404040" w:themeColor="text1" w:themeTint="BF"/>
    </w:rPr>
  </w:style>
  <w:style w:type="character" w:customStyle="1" w:styleId="QuoteChar">
    <w:name w:val="Quote Char"/>
    <w:basedOn w:val="DefaultParagraphFont"/>
    <w:link w:val="Quote"/>
    <w:uiPriority w:val="29"/>
    <w:rsid w:val="001B23C8"/>
    <w:rPr>
      <w:i/>
      <w:iCs/>
      <w:color w:val="404040" w:themeColor="text1" w:themeTint="BF"/>
    </w:rPr>
  </w:style>
  <w:style w:type="paragraph" w:styleId="ListParagraph">
    <w:name w:val="List Paragraph"/>
    <w:basedOn w:val="Normal"/>
    <w:uiPriority w:val="34"/>
    <w:qFormat/>
    <w:rsid w:val="001B23C8"/>
    <w:pPr>
      <w:ind w:left="720"/>
      <w:contextualSpacing/>
    </w:pPr>
  </w:style>
  <w:style w:type="character" w:styleId="IntenseEmphasis">
    <w:name w:val="Intense Emphasis"/>
    <w:basedOn w:val="DefaultParagraphFont"/>
    <w:uiPriority w:val="21"/>
    <w:qFormat/>
    <w:rsid w:val="001B23C8"/>
    <w:rPr>
      <w:i/>
      <w:iCs/>
      <w:color w:val="0F4761" w:themeColor="accent1" w:themeShade="BF"/>
    </w:rPr>
  </w:style>
  <w:style w:type="paragraph" w:styleId="IntenseQuote">
    <w:name w:val="Intense Quote"/>
    <w:basedOn w:val="Normal"/>
    <w:next w:val="Normal"/>
    <w:link w:val="IntenseQuoteChar"/>
    <w:uiPriority w:val="30"/>
    <w:qFormat/>
    <w:rsid w:val="001B2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3C8"/>
    <w:rPr>
      <w:i/>
      <w:iCs/>
      <w:color w:val="0F4761" w:themeColor="accent1" w:themeShade="BF"/>
    </w:rPr>
  </w:style>
  <w:style w:type="character" w:styleId="IntenseReference">
    <w:name w:val="Intense Reference"/>
    <w:basedOn w:val="DefaultParagraphFont"/>
    <w:uiPriority w:val="32"/>
    <w:qFormat/>
    <w:rsid w:val="001B23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382</Words>
  <Characters>2179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 Tanaka</dc:creator>
  <cp:keywords/>
  <dc:description/>
  <cp:lastModifiedBy>Aki Tanaka</cp:lastModifiedBy>
  <cp:revision>3</cp:revision>
  <dcterms:created xsi:type="dcterms:W3CDTF">2026-01-18T13:18:00Z</dcterms:created>
  <dcterms:modified xsi:type="dcterms:W3CDTF">2026-01-18T14:58:00Z</dcterms:modified>
</cp:coreProperties>
</file>