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7C13F5A8" w:rsidR="00C60D22" w:rsidRDefault="00682C9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Compliance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69D62966" w14:textId="73EA2732" w:rsidR="00563A81" w:rsidRPr="00C60D22" w:rsidRDefault="00682C99" w:rsidP="00682C99">
      <w:pPr>
        <w:pStyle w:val="Text"/>
      </w:pPr>
      <w:r>
        <w:t xml:space="preserve">Con questo invito non si sottende in maniera esplicita alcuna aspettativa in merito ad una priorità dei nostri prodotti o servizi.</w:t>
      </w:r>
      <w:r>
        <w:t xml:space="preserve"> </w:t>
      </w:r>
      <w:r>
        <w:t xml:space="preserve">L’invito e l’assunzione dei costi avvengono indipendentemente dalle transazioni commerciali e dalle decisioni di approvvigionamento di ognuno.</w:t>
      </w:r>
      <w:r>
        <w:t xml:space="preserve"> </w:t>
      </w:r>
      <w:r>
        <w:t xml:space="preserve">Abbiamo pagato per voi l'imposta sul reddito dovuta su questo invito in modo forfettario (Art. 37B EStG, legge tedesca relativa all’imposta sul reddito).</w:t>
      </w:r>
      <w:r>
        <w:t xml:space="preserve"> </w:t>
      </w:r>
      <w:r>
        <w:t xml:space="preserve">Se lei è un pubblico ufficiale o un funzionario pubblico, dobbiamo subordinare questo invito all'approvazione dell'autorità responsabile del rilascio del permesso, nell'ambito dei suoi poteri, affinché lei accetti l'invito.</w:t>
      </w:r>
      <w:r>
        <w:t xml:space="preserve"> </w:t>
      </w:r>
      <w:r>
        <w:t xml:space="preserve">Fino a quando non verrà concessa la relativa autorizzazione, l’invito è da considerarsi nullo.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A76F1A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248F0FBD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6E6E202A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4503D763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A76F1A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BED17C-DBD4-43D1-B2A6-3BFD69F2DBCE}"/>
</file>

<file path=customXml/itemProps3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2</cp:revision>
  <dcterms:created xsi:type="dcterms:W3CDTF">2022-03-18T15:52:00Z</dcterms:created>
  <dcterms:modified xsi:type="dcterms:W3CDTF">2022-03-31T10:11:00Z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