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Helvetica" w:cs="Helvetica" w:eastAsia="Helvetica" w:hAnsi="Helvetica"/>
          <w:b/>
          <w:bCs/>
          <w:color w:val="8A8A8A"/>
          <w:spacing w:val="80"/>
          <w:sz w:val="16"/>
          <w:szCs w:val="16"/>
        </w:rPr>
        <w:t xml:space="preserve">TECH SERVICES CHECKLIST · SPEC</w:t>
      </w:r>
    </w:p>
    <w:p>
      <w:pPr>
        <w:spacing w:after="120" w:before="0" w:line="280"/>
      </w:pPr>
      <w:r>
        <w:rPr>
          <w:rFonts w:ascii="Helvetica" w:cs="Helvetica" w:eastAsia="Helvetica" w:hAnsi="Helvetica"/>
          <w:b/>
          <w:bCs/>
          <w:color w:val="111111"/>
          <w:sz w:val="56"/>
          <w:szCs w:val="56"/>
        </w:rPr>
        <w:t xml:space="preserve">The Spec, in Plain English</w:t>
      </w:r>
    </w:p>
    <w:p>
      <w:pPr>
        <w:spacing w:after="480" w:before="0" w:line="320"/>
      </w:pPr>
      <w:r>
        <w:rPr>
          <w:rFonts w:ascii="Georgia" w:cs="Georgia" w:eastAsia="Georgia" w:hAnsi="Georgia"/>
          <w:i/>
          <w:iCs/>
          <w:color w:val="4A4A4A"/>
          <w:sz w:val="26"/>
          <w:szCs w:val="26"/>
        </w:rPr>
        <w:t xml:space="preserve">How the Tech Services tab is laid out, why it's laid out that way, and what each piece is for.</w:t>
      </w:r>
    </w:p>
    <w:p>
      <w:pPr>
        <w:spacing w:after="160" w:before="0" w:line="320"/>
      </w:pPr>
      <w:r>
        <w:rPr>
          <w:rFonts w:ascii="Georgia" w:cs="Georgia" w:eastAsia="Georgia" w:hAnsi="Georgia"/>
          <w:color w:val="111111"/>
          <w:sz w:val="22"/>
          <w:szCs w:val="22"/>
        </w:rPr>
        <w:t xml:space="preserve">This file is the </w:t>
      </w:r>
      <w:r>
        <w:rPr>
          <w:rFonts w:ascii="Georgia" w:cs="Georgia" w:eastAsia="Georgia" w:hAnsi="Georgia"/>
          <w:b/>
          <w:bCs/>
          <w:color w:val="111111"/>
          <w:sz w:val="22"/>
          <w:szCs w:val="22"/>
        </w:rPr>
        <w:t xml:space="preserve">single source of truth</w:t>
      </w:r>
      <w:r>
        <w:rPr>
          <w:rFonts w:ascii="Georgia" w:cs="Georgia" w:eastAsia="Georgia" w:hAnsi="Georgia"/>
          <w:color w:val="111111"/>
          <w:sz w:val="22"/>
          <w:szCs w:val="22"/>
        </w:rPr>
        <w:t xml:space="preserve"> for the Tech Services tab's field layout. When anything changes on the form, change this document first, then update the code. That order keeps the spec and the app from drifting apart.</w:t>
      </w:r>
    </w:p>
    <w:p>
      <w:pPr>
        <w:spacing w:after="160" w:before="0" w:line="320"/>
      </w:pPr>
      <w:r>
        <w:rPr>
          <w:rFonts w:ascii="Georgia" w:cs="Georgia" w:eastAsia="Georgia" w:hAnsi="Georgia"/>
          <w:color w:val="111111"/>
          <w:sz w:val="22"/>
          <w:szCs w:val="22"/>
        </w:rPr>
        <w:t xml:space="preserve">A note on identifiers. Field IDs are sticky — they're </w:t>
      </w:r>
      <w:r>
        <w:rPr>
          <w:rFonts w:ascii="Georgia" w:cs="Georgia" w:eastAsia="Georgia" w:hAnsi="Georgia"/>
          <w:i/>
          <w:iCs/>
          <w:color w:val="111111"/>
          <w:sz w:val="22"/>
          <w:szCs w:val="22"/>
        </w:rPr>
        <w:t xml:space="preserve">localStorage</w:t>
      </w:r>
      <w:r>
        <w:rPr>
          <w:rFonts w:ascii="Georgia" w:cs="Georgia" w:eastAsia="Georgia" w:hAnsi="Georgia"/>
          <w:color w:val="111111"/>
          <w:sz w:val="22"/>
          <w:szCs w:val="22"/>
        </w:rPr>
        <w:t xml:space="preserve"> keys, which means once saved they live in users' browsers. Labels, options, ordering, and required status can all change freely. IDs cannot.</w:t>
      </w:r>
    </w:p>
    <w:p>
      <w:pPr>
        <w:spacing w:after="40" w:before="560"/>
      </w:pPr>
      <w:r>
        <w:rPr>
          <w:rFonts w:ascii="Helvetica" w:cs="Helvetica" w:eastAsia="Helvetica" w:hAnsi="Helvetica"/>
          <w:b/>
          <w:bCs/>
          <w:color w:val="C63A1E"/>
          <w:spacing w:val="60"/>
          <w:sz w:val="16"/>
          <w:szCs w:val="16"/>
        </w:rPr>
        <w:t xml:space="preserve">§ 00</w:t>
      </w:r>
    </w:p>
    <w:p>
      <w:pPr>
        <w:pStyle w:val="Heading1"/>
        <w:pBdr>
          <w:bottom w:val="single" w:color="111111" w:sz="6" w:space="8"/>
        </w:pBdr>
        <w:spacing w:after="160" w:before="0"/>
      </w:pPr>
      <w:r>
        <w:rPr>
          <w:rFonts w:ascii="Helvetica" w:cs="Helvetica" w:eastAsia="Helvetica" w:hAnsi="Helvetica"/>
          <w:b/>
          <w:bCs/>
          <w:color w:val="111111"/>
          <w:sz w:val="40"/>
          <w:szCs w:val="40"/>
        </w:rPr>
        <w:t xml:space="preserve">Still waiting on Jason</w:t>
      </w:r>
    </w:p>
    <w:p>
      <w:pPr>
        <w:spacing w:after="160" w:before="0" w:line="320"/>
      </w:pPr>
      <w:r>
        <w:rPr>
          <w:rFonts w:ascii="Georgia" w:cs="Georgia" w:eastAsia="Georgia" w:hAnsi="Georgia"/>
          <w:color w:val="111111"/>
          <w:sz w:val="22"/>
          <w:szCs w:val="22"/>
        </w:rPr>
        <w:t xml:space="preserve">Four items have to be answered before the spec is truly final. Until Jason weighs in, we've given each one a sensible default so the shop can ship without blocking.</w:t>
      </w:r>
    </w:p>
    <w:p>
      <w:pPr>
        <w:pStyle w:val="Heading2"/>
        <w:spacing w:after="120" w:before="320"/>
      </w:pPr>
      <w:r>
        <w:rPr>
          <w:rFonts w:ascii="Helvetica" w:cs="Helvetica" w:eastAsia="Helvetica" w:hAnsi="Helvetica"/>
          <w:b/>
          <w:bCs/>
          <w:color w:val="111111"/>
          <w:sz w:val="24"/>
          <w:szCs w:val="24"/>
        </w:rPr>
        <w:t xml:space="preserve">T1 · Which fields are required?</w:t>
      </w:r>
    </w:p>
    <w:p>
      <w:pPr>
        <w:spacing w:after="160" w:before="0" w:line="320"/>
      </w:pPr>
      <w:r>
        <w:rPr>
          <w:rFonts w:ascii="Helvetica" w:cs="Helvetica" w:eastAsia="Helvetica" w:hAnsi="Helvetica"/>
          <w:b/>
          <w:bCs/>
          <w:color w:val="111111"/>
          <w:sz w:val="22"/>
          <w:szCs w:val="22"/>
        </w:rPr>
        <w:t xml:space="preserve">Default.  </w:t>
      </w:r>
      <w:r>
        <w:rPr>
          <w:rFonts w:ascii="Georgia" w:cs="Georgia" w:eastAsia="Georgia" w:hAnsi="Georgia"/>
          <w:color w:val="111111"/>
          <w:sz w:val="22"/>
          <w:szCs w:val="22"/>
        </w:rPr>
        <w:t xml:space="preserve">Only "Data file locations" and "Input record count" get the red asterisk. Everything else is optional. Jason's answer may add more.</w:t>
      </w:r>
    </w:p>
    <w:p>
      <w:pPr>
        <w:pBdr>
          <w:bottom w:val="single" w:color="E1E1E1" w:sz="4"/>
        </w:pBdr>
        <w:spacing w:after="200" w:before="200"/>
      </w:pPr>
      <w:r>
        <w:rPr>
          <w:sz w:val="1"/>
          <w:szCs w:val="1"/>
        </w:rPr>
        <w:t xml:space="preserve"/>
      </w:r>
    </w:p>
    <w:p>
      <w:pPr>
        <w:pStyle w:val="Heading2"/>
        <w:spacing w:after="120" w:before="320"/>
      </w:pPr>
      <w:r>
        <w:rPr>
          <w:rFonts w:ascii="Helvetica" w:cs="Helvetica" w:eastAsia="Helvetica" w:hAnsi="Helvetica"/>
          <w:b/>
          <w:bCs/>
          <w:color w:val="111111"/>
          <w:sz w:val="24"/>
          <w:szCs w:val="24"/>
        </w:rPr>
        <w:t xml:space="preserve">T2 · Any fields that are envelope-only?</w:t>
      </w:r>
    </w:p>
    <w:p>
      <w:pPr>
        <w:spacing w:after="160" w:before="0" w:line="320"/>
      </w:pPr>
      <w:r>
        <w:rPr>
          <w:rFonts w:ascii="Helvetica" w:cs="Helvetica" w:eastAsia="Helvetica" w:hAnsi="Helvetica"/>
          <w:b/>
          <w:bCs/>
          <w:color w:val="111111"/>
          <w:sz w:val="22"/>
          <w:szCs w:val="22"/>
        </w:rPr>
        <w:t xml:space="preserve">Default.  </w:t>
      </w:r>
      <w:r>
        <w:rPr>
          <w:rFonts w:ascii="Georgia" w:cs="Georgia" w:eastAsia="Georgia" w:hAnsi="Georgia"/>
          <w:color w:val="111111"/>
          <w:sz w:val="22"/>
          <w:szCs w:val="22"/>
        </w:rPr>
        <w:t xml:space="preserve">None. Every TS field shows up for every job type. If some should hide for letters or postcards, Jason tells us which.</w:t>
      </w:r>
    </w:p>
    <w:p>
      <w:pPr>
        <w:pBdr>
          <w:bottom w:val="single" w:color="E1E1E1" w:sz="4"/>
        </w:pBdr>
        <w:spacing w:after="200" w:before="200"/>
      </w:pPr>
      <w:r>
        <w:rPr>
          <w:sz w:val="1"/>
          <w:szCs w:val="1"/>
        </w:rPr>
        <w:t xml:space="preserve"/>
      </w:r>
    </w:p>
    <w:p>
      <w:pPr>
        <w:pStyle w:val="Heading2"/>
        <w:spacing w:after="120" w:before="320"/>
      </w:pPr>
      <w:r>
        <w:rPr>
          <w:rFonts w:ascii="Helvetica" w:cs="Helvetica" w:eastAsia="Helvetica" w:hAnsi="Helvetica"/>
          <w:b/>
          <w:bCs/>
          <w:color w:val="111111"/>
          <w:sz w:val="24"/>
          <w:szCs w:val="24"/>
        </w:rPr>
        <w:t xml:space="preserve">T3 · Presort dropdown options</w:t>
      </w:r>
    </w:p>
    <w:p>
      <w:pPr>
        <w:spacing w:after="160" w:before="0" w:line="320"/>
      </w:pPr>
      <w:r>
        <w:rPr>
          <w:rFonts w:ascii="Helvetica" w:cs="Helvetica" w:eastAsia="Helvetica" w:hAnsi="Helvetica"/>
          <w:b/>
          <w:bCs/>
          <w:color w:val="111111"/>
          <w:sz w:val="22"/>
          <w:szCs w:val="22"/>
        </w:rPr>
        <w:t xml:space="preserve">Default.  </w:t>
      </w:r>
      <w:r>
        <w:rPr>
          <w:rFonts w:ascii="Georgia" w:cs="Georgia" w:eastAsia="Georgia" w:hAnsi="Georgia"/>
          <w:color w:val="111111"/>
          <w:sz w:val="22"/>
          <w:szCs w:val="22"/>
        </w:rPr>
        <w:t xml:space="preserve">The Presort dropdowns are empty on the first pass. They behave like combo boxes — the operator can type anything. Once Jason supplies the real option lists, it's a one-line edit per field.</w:t>
      </w:r>
    </w:p>
    <w:p>
      <w:pPr>
        <w:pBdr>
          <w:bottom w:val="single" w:color="E1E1E1" w:sz="4"/>
        </w:pBdr>
        <w:spacing w:after="200" w:before="200"/>
      </w:pPr>
      <w:r>
        <w:rPr>
          <w:sz w:val="1"/>
          <w:szCs w:val="1"/>
        </w:rPr>
        <w:t xml:space="preserve"/>
      </w:r>
    </w:p>
    <w:p>
      <w:pPr>
        <w:pStyle w:val="Heading2"/>
        <w:spacing w:after="120" w:before="320"/>
      </w:pPr>
      <w:r>
        <w:rPr>
          <w:rFonts w:ascii="Helvetica" w:cs="Helvetica" w:eastAsia="Helvetica" w:hAnsi="Helvetica"/>
          <w:b/>
          <w:bCs/>
          <w:color w:val="111111"/>
          <w:sz w:val="24"/>
          <w:szCs w:val="24"/>
        </w:rPr>
        <w:t xml:space="preserve">T4 · NCOA "Movers" nesting layout</w:t>
      </w:r>
    </w:p>
    <w:p>
      <w:pPr>
        <w:spacing w:after="160" w:before="0" w:line="320"/>
      </w:pPr>
      <w:r>
        <w:rPr>
          <w:rFonts w:ascii="Helvetica" w:cs="Helvetica" w:eastAsia="Helvetica" w:hAnsi="Helvetica"/>
          <w:b/>
          <w:bCs/>
          <w:color w:val="111111"/>
          <w:sz w:val="22"/>
          <w:szCs w:val="22"/>
        </w:rPr>
        <w:t xml:space="preserve">Default.  </w:t>
      </w:r>
      <w:r>
        <w:rPr>
          <w:rFonts w:ascii="Georgia" w:cs="Georgia" w:eastAsia="Georgia" w:hAnsi="Georgia"/>
          <w:color w:val="111111"/>
          <w:sz w:val="22"/>
          <w:szCs w:val="22"/>
        </w:rPr>
        <w:t xml:space="preserve">Current layout stays — "Movers w/ No New Address" is the entry point for every mover-related toggle. Jason picks from three options (A, B, or C) in the Open Questions doc, Section 2.</w:t>
      </w:r>
    </w:p>
    <w:p>
      <w:pPr>
        <w:spacing w:after="40" w:before="560"/>
      </w:pPr>
      <w:r>
        <w:rPr>
          <w:rFonts w:ascii="Helvetica" w:cs="Helvetica" w:eastAsia="Helvetica" w:hAnsi="Helvetica"/>
          <w:b/>
          <w:bCs/>
          <w:color w:val="C63A1E"/>
          <w:spacing w:val="60"/>
          <w:sz w:val="16"/>
          <w:szCs w:val="16"/>
        </w:rPr>
        <w:t xml:space="preserve">·</w:t>
      </w:r>
    </w:p>
    <w:p>
      <w:pPr>
        <w:pStyle w:val="Heading1"/>
        <w:pBdr>
          <w:bottom w:val="single" w:color="111111" w:sz="6" w:space="8"/>
        </w:pBdr>
        <w:spacing w:after="160" w:before="0"/>
      </w:pPr>
      <w:r>
        <w:rPr>
          <w:rFonts w:ascii="Helvetica" w:cs="Helvetica" w:eastAsia="Helvetica" w:hAnsi="Helvetica"/>
          <w:b/>
          <w:bCs/>
          <w:color w:val="111111"/>
          <w:sz w:val="40"/>
          <w:szCs w:val="40"/>
        </w:rPr>
        <w:t xml:space="preserve">The conventions we use</w:t>
      </w:r>
    </w:p>
    <w:p>
      <w:pPr>
        <w:spacing w:after="160" w:before="0" w:line="320"/>
      </w:pPr>
      <w:r>
        <w:rPr>
          <w:rFonts w:ascii="Georgia" w:cs="Georgia" w:eastAsia="Georgia" w:hAnsi="Georgia"/>
          <w:color w:val="111111"/>
          <w:sz w:val="22"/>
          <w:szCs w:val="22"/>
        </w:rPr>
        <w:t xml:space="preserve">A handful of small rules keep the form behaving consistently across every section.</w:t>
      </w:r>
    </w:p>
    <w:p>
      <w:pPr>
        <w:pStyle w:val="Heading2"/>
        <w:spacing w:after="120" w:before="320"/>
      </w:pPr>
      <w:r>
        <w:rPr>
          <w:rFonts w:ascii="Helvetica" w:cs="Helvetica" w:eastAsia="Helvetica" w:hAnsi="Helvetica"/>
          <w:b/>
          <w:bCs/>
          <w:color w:val="111111"/>
          <w:sz w:val="24"/>
          <w:szCs w:val="24"/>
        </w:rPr>
        <w:t xml:space="preserve">The ts_ prefix</w:t>
      </w:r>
    </w:p>
    <w:p>
      <w:pPr>
        <w:spacing w:after="160" w:before="0" w:line="320"/>
      </w:pPr>
      <w:r>
        <w:rPr>
          <w:rFonts w:ascii="Georgia" w:cs="Georgia" w:eastAsia="Georgia" w:hAnsi="Georgia"/>
          <w:color w:val="111111"/>
          <w:sz w:val="22"/>
          <w:szCs w:val="22"/>
        </w:rPr>
        <w:t xml:space="preserve">Every Tech Services field ID begins with </w:t>
      </w:r>
      <w:r>
        <w:rPr>
          <w:rFonts w:ascii="Consolas" w:cs="Consolas" w:eastAsia="Consolas" w:hAnsi="Consolas"/>
          <w:color w:val="222222"/>
          <w:sz w:val="20"/>
          <w:szCs w:val="20"/>
        </w:rPr>
        <w:t xml:space="preserve">ts_</w:t>
      </w:r>
      <w:r>
        <w:rPr>
          <w:rFonts w:ascii="Georgia" w:cs="Georgia" w:eastAsia="Georgia" w:hAnsi="Georgia"/>
          <w:color w:val="111111"/>
          <w:sz w:val="22"/>
          <w:szCs w:val="22"/>
        </w:rPr>
        <w:t xml:space="preserve">. The app keys its behavior off that prefix — see </w:t>
      </w:r>
      <w:r>
        <w:rPr>
          <w:rFonts w:ascii="Consolas" w:cs="Consolas" w:eastAsia="Consolas" w:hAnsi="Consolas"/>
          <w:color w:val="222222"/>
          <w:sz w:val="20"/>
          <w:szCs w:val="20"/>
        </w:rPr>
        <w:t xml:space="preserve">app.js:2246</w:t>
      </w:r>
      <w:r>
        <w:rPr>
          <w:rFonts w:ascii="Georgia" w:cs="Georgia" w:eastAsia="Georgia" w:hAnsi="Georgia"/>
          <w:color w:val="111111"/>
          <w:sz w:val="22"/>
          <w:szCs w:val="22"/>
        </w:rPr>
        <w:t xml:space="preserve"> and </w:t>
      </w:r>
      <w:r>
        <w:rPr>
          <w:rFonts w:ascii="Consolas" w:cs="Consolas" w:eastAsia="Consolas" w:hAnsi="Consolas"/>
          <w:color w:val="222222"/>
          <w:sz w:val="20"/>
          <w:szCs w:val="20"/>
        </w:rPr>
        <w:t xml:space="preserve">app.js:2260–2272</w:t>
      </w:r>
      <w:r>
        <w:rPr>
          <w:rFonts w:ascii="Georgia" w:cs="Georgia" w:eastAsia="Georgia" w:hAnsi="Georgia"/>
          <w:color w:val="111111"/>
          <w:sz w:val="22"/>
          <w:szCs w:val="22"/>
        </w:rPr>
        <w:t xml:space="preserve"> — so breaking the prefix would break the whole tab.</w:t>
      </w:r>
    </w:p>
    <w:p>
      <w:pPr>
        <w:pStyle w:val="Heading2"/>
        <w:spacing w:after="120" w:before="320"/>
      </w:pPr>
      <w:r>
        <w:rPr>
          <w:rFonts w:ascii="Helvetica" w:cs="Helvetica" w:eastAsia="Helvetica" w:hAnsi="Helvetica"/>
          <w:b/>
          <w:bCs/>
          <w:color w:val="111111"/>
          <w:sz w:val="24"/>
          <w:szCs w:val="24"/>
        </w:rPr>
        <w:t xml:space="preserve">Three flavors of field</w:t>
      </w:r>
    </w:p>
    <w:p>
      <w:pPr>
        <w:spacing w:after="160" w:before="0" w:line="320"/>
      </w:pPr>
      <w:r>
        <w:rPr>
          <w:rFonts w:ascii="Georgia" w:cs="Georgia" w:eastAsia="Georgia" w:hAnsi="Georgia"/>
          <w:color w:val="111111"/>
          <w:sz w:val="22"/>
          <w:szCs w:val="22"/>
        </w:rPr>
        <w:t xml:space="preserve">A </w:t>
      </w:r>
      <w:r>
        <w:rPr>
          <w:rFonts w:ascii="Georgia" w:cs="Georgia" w:eastAsia="Georgia" w:hAnsi="Georgia"/>
          <w:b/>
          <w:bCs/>
          <w:color w:val="111111"/>
          <w:sz w:val="22"/>
          <w:szCs w:val="22"/>
        </w:rPr>
        <w:t xml:space="preserve">toggle plus a note</w:t>
      </w:r>
      <w:r>
        <w:rPr>
          <w:rFonts w:ascii="Georgia" w:cs="Georgia" w:eastAsia="Georgia" w:hAnsi="Georgia"/>
          <w:color w:val="111111"/>
          <w:sz w:val="22"/>
          <w:szCs w:val="22"/>
        </w:rPr>
        <w:t xml:space="preserve"> pairs </w:t>
      </w:r>
      <w:r>
        <w:rPr>
          <w:rFonts w:ascii="Consolas" w:cs="Consolas" w:eastAsia="Consolas" w:hAnsi="Consolas"/>
          <w:color w:val="222222"/>
          <w:sz w:val="20"/>
          <w:szCs w:val="20"/>
        </w:rPr>
        <w:t xml:space="preserve">ts_spN</w:t>
      </w:r>
      <w:r>
        <w:rPr>
          <w:rFonts w:ascii="Georgia" w:cs="Georgia" w:eastAsia="Georgia" w:hAnsi="Georgia"/>
          <w:color w:val="111111"/>
          <w:sz w:val="22"/>
          <w:szCs w:val="22"/>
        </w:rPr>
        <w:t xml:space="preserve"> (the checkbox) with </w:t>
      </w:r>
      <w:r>
        <w:rPr>
          <w:rFonts w:ascii="Consolas" w:cs="Consolas" w:eastAsia="Consolas" w:hAnsi="Consolas"/>
          <w:color w:val="222222"/>
          <w:sz w:val="20"/>
          <w:szCs w:val="20"/>
        </w:rPr>
        <w:t xml:space="preserve">ts_spNn</w:t>
      </w:r>
      <w:r>
        <w:rPr>
          <w:rFonts w:ascii="Georgia" w:cs="Georgia" w:eastAsia="Georgia" w:hAnsi="Georgia"/>
          <w:color w:val="111111"/>
          <w:sz w:val="22"/>
          <w:szCs w:val="22"/>
        </w:rPr>
        <w:t xml:space="preserve"> (the adjacent text field). A </w:t>
      </w:r>
      <w:r>
        <w:rPr>
          <w:rFonts w:ascii="Georgia" w:cs="Georgia" w:eastAsia="Georgia" w:hAnsi="Georgia"/>
          <w:b/>
          <w:bCs/>
          <w:color w:val="111111"/>
          <w:sz w:val="22"/>
          <w:szCs w:val="22"/>
        </w:rPr>
        <w:t xml:space="preserve">filepath toggle</w:t>
      </w:r>
      <w:r>
        <w:rPr>
          <w:rFonts w:ascii="Georgia" w:cs="Georgia" w:eastAsia="Georgia" w:hAnsi="Georgia"/>
          <w:color w:val="111111"/>
          <w:sz w:val="22"/>
          <w:szCs w:val="22"/>
        </w:rPr>
        <w:t xml:space="preserve"> does the same with </w:t>
      </w:r>
      <w:r>
        <w:rPr>
          <w:rFonts w:ascii="Consolas" w:cs="Consolas" w:eastAsia="Consolas" w:hAnsi="Consolas"/>
          <w:color w:val="222222"/>
          <w:sz w:val="20"/>
          <w:szCs w:val="20"/>
        </w:rPr>
        <w:t xml:space="preserve">ts_fpN</w:t>
      </w:r>
      <w:r>
        <w:rPr>
          <w:rFonts w:ascii="Georgia" w:cs="Georgia" w:eastAsia="Georgia" w:hAnsi="Georgia"/>
          <w:color w:val="111111"/>
          <w:sz w:val="22"/>
          <w:szCs w:val="22"/>
        </w:rPr>
        <w:t xml:space="preserve"> and </w:t>
      </w:r>
      <w:r>
        <w:rPr>
          <w:rFonts w:ascii="Consolas" w:cs="Consolas" w:eastAsia="Consolas" w:hAnsi="Consolas"/>
          <w:color w:val="222222"/>
          <w:sz w:val="20"/>
          <w:szCs w:val="20"/>
        </w:rPr>
        <w:t xml:space="preserve">ts_fpNn</w:t>
      </w:r>
      <w:r>
        <w:rPr>
          <w:rFonts w:ascii="Georgia" w:cs="Georgia" w:eastAsia="Georgia" w:hAnsi="Georgia"/>
          <w:color w:val="111111"/>
          <w:sz w:val="22"/>
          <w:szCs w:val="22"/>
        </w:rPr>
        <w:t xml:space="preserve">, and the filepath only prints when the toggle is on. A </w:t>
      </w:r>
      <w:r>
        <w:rPr>
          <w:rFonts w:ascii="Georgia" w:cs="Georgia" w:eastAsia="Georgia" w:hAnsi="Georgia"/>
          <w:b/>
          <w:bCs/>
          <w:color w:val="111111"/>
          <w:sz w:val="22"/>
          <w:szCs w:val="22"/>
        </w:rPr>
        <w:t xml:space="preserve">checkbox-only row</w:t>
      </w:r>
      <w:r>
        <w:rPr>
          <w:rFonts w:ascii="Georgia" w:cs="Georgia" w:eastAsia="Georgia" w:hAnsi="Georgia"/>
          <w:color w:val="111111"/>
          <w:sz w:val="22"/>
          <w:szCs w:val="22"/>
        </w:rPr>
        <w:t xml:space="preserve"> — no text field at all — uses </w:t>
      </w:r>
      <w:r>
        <w:rPr>
          <w:rFonts w:ascii="Consolas" w:cs="Consolas" w:eastAsia="Consolas" w:hAnsi="Consolas"/>
          <w:color w:val="222222"/>
          <w:sz w:val="20"/>
          <w:szCs w:val="20"/>
        </w:rPr>
        <w:t xml:space="preserve">ts_cbN</w:t>
      </w:r>
      <w:r>
        <w:rPr>
          <w:rFonts w:ascii="Georgia" w:cs="Georgia" w:eastAsia="Georgia" w:hAnsi="Georgia"/>
          <w:color w:val="111111"/>
          <w:sz w:val="22"/>
          <w:szCs w:val="22"/>
        </w:rPr>
        <w:t xml:space="preserve">.</w:t>
      </w:r>
    </w:p>
    <w:p>
      <w:pPr>
        <w:pStyle w:val="Heading2"/>
        <w:spacing w:after="120" w:before="320"/>
      </w:pPr>
      <w:r>
        <w:rPr>
          <w:rFonts w:ascii="Helvetica" w:cs="Helvetica" w:eastAsia="Helvetica" w:hAnsi="Helvetica"/>
          <w:b/>
          <w:bCs/>
          <w:color w:val="111111"/>
          <w:sz w:val="24"/>
          <w:szCs w:val="24"/>
        </w:rPr>
        <w:t xml:space="preserve">Grouping and indentation</w:t>
      </w:r>
    </w:p>
    <w:p>
      <w:pPr>
        <w:spacing w:after="160" w:before="0" w:line="320"/>
      </w:pPr>
      <w:r>
        <w:rPr>
          <w:rFonts w:ascii="Georgia" w:cs="Georgia" w:eastAsia="Georgia" w:hAnsi="Georgia"/>
          <w:color w:val="111111"/>
          <w:sz w:val="22"/>
          <w:szCs w:val="22"/>
        </w:rPr>
        <w:t xml:space="preserve">Sub-group headers are small bold labels above a cluster of indented fields. They're purely visual — no toggle, no state. They just help the eye group related things.</w:t>
      </w:r>
    </w:p>
    <w:p>
      <w:pPr>
        <w:spacing w:after="160" w:before="0" w:line="320"/>
      </w:pPr>
      <w:r>
        <w:rPr>
          <w:rFonts w:ascii="Georgia" w:cs="Georgia" w:eastAsia="Georgia" w:hAnsi="Georgia"/>
          <w:color w:val="111111"/>
          <w:sz w:val="22"/>
          <w:szCs w:val="22"/>
        </w:rPr>
        <w:t xml:space="preserve">Indentation runs two levels deep. Level 1 is a child of a top-level field; level 2 is a child of a level-1 field. Required fields get a red asterisk, and an empty value there blocks the user from printing.</w:t>
      </w:r>
    </w:p>
    <w:p>
      <w:pPr>
        <w:spacing w:after="40" w:before="560"/>
      </w:pPr>
      <w:r>
        <w:rPr>
          <w:rFonts w:ascii="Helvetica" w:cs="Helvetica" w:eastAsia="Helvetica" w:hAnsi="Helvetica"/>
          <w:b/>
          <w:bCs/>
          <w:color w:val="C63A1E"/>
          <w:spacing w:val="60"/>
          <w:sz w:val="16"/>
          <w:szCs w:val="16"/>
        </w:rPr>
        <w:t xml:space="preserve">§ 01</w:t>
      </w:r>
    </w:p>
    <w:p>
      <w:pPr>
        <w:pStyle w:val="Heading1"/>
        <w:pBdr>
          <w:bottom w:val="single" w:color="111111" w:sz="6" w:space="8"/>
        </w:pBdr>
        <w:spacing w:after="160" w:before="0"/>
      </w:pPr>
      <w:r>
        <w:rPr>
          <w:rFonts w:ascii="Helvetica" w:cs="Helvetica" w:eastAsia="Helvetica" w:hAnsi="Helvetica"/>
          <w:b/>
          <w:bCs/>
          <w:color w:val="111111"/>
          <w:sz w:val="40"/>
          <w:szCs w:val="40"/>
        </w:rPr>
        <w:t xml:space="preserve">Data Conversion</w:t>
      </w:r>
    </w:p>
    <w:p>
      <w:pPr>
        <w:spacing w:after="160" w:before="0" w:line="320"/>
      </w:pPr>
      <w:r>
        <w:rPr>
          <w:rFonts w:ascii="Georgia" w:cs="Georgia" w:eastAsia="Georgia" w:hAnsi="Georgia"/>
          <w:color w:val="111111"/>
          <w:sz w:val="22"/>
          <w:szCs w:val="22"/>
        </w:rPr>
        <w:t xml:space="preserve">The first section on the tab. It covers what the file is and how it'll be split. Two fields are required; everything else is optional support.</w:t>
      </w:r>
    </w:p>
    <w:p>
      <w:pPr>
        <w:pStyle w:val="Heading2"/>
        <w:spacing w:after="120" w:before="320"/>
      </w:pPr>
      <w:r>
        <w:rPr>
          <w:rFonts w:ascii="Helvetica" w:cs="Helvetica" w:eastAsia="Helvetica" w:hAnsi="Helvetica"/>
          <w:b/>
          <w:bCs/>
          <w:color w:val="111111"/>
          <w:sz w:val="24"/>
          <w:szCs w:val="24"/>
        </w:rPr>
        <w:t xml:space="preserve">The required fields</w:t>
      </w:r>
    </w:p>
    <w:p>
      <w:pPr>
        <w:spacing w:after="160" w:before="0" w:line="320"/>
      </w:pPr>
      <w:r>
        <w:rPr>
          <w:rFonts w:ascii="Consolas" w:cs="Consolas" w:eastAsia="Consolas" w:hAnsi="Consolas"/>
          <w:color w:val="222222"/>
          <w:sz w:val="20"/>
          <w:szCs w:val="20"/>
        </w:rPr>
        <w:t xml:space="preserve">ts_fp10</w:t>
      </w:r>
      <w:r>
        <w:rPr>
          <w:rFonts w:ascii="Georgia" w:cs="Georgia" w:eastAsia="Georgia" w:hAnsi="Georgia"/>
          <w:color w:val="111111"/>
          <w:sz w:val="22"/>
          <w:szCs w:val="22"/>
        </w:rPr>
        <w:t xml:space="preserve"> · </w:t>
      </w:r>
      <w:r>
        <w:rPr>
          <w:rFonts w:ascii="Consolas" w:cs="Consolas" w:eastAsia="Consolas" w:hAnsi="Consolas"/>
          <w:color w:val="222222"/>
          <w:sz w:val="20"/>
          <w:szCs w:val="20"/>
        </w:rPr>
        <w:t xml:space="preserve">ts_fp10n</w:t>
      </w:r>
      <w:r>
        <w:rPr>
          <w:rFonts w:ascii="Georgia" w:cs="Georgia" w:eastAsia="Georgia" w:hAnsi="Georgia"/>
          <w:color w:val="111111"/>
          <w:sz w:val="22"/>
          <w:szCs w:val="22"/>
        </w:rPr>
        <w:t xml:space="preserve">  </w:t>
      </w:r>
      <w:r>
        <w:rPr>
          <w:rFonts w:ascii="Georgia" w:cs="Georgia" w:eastAsia="Georgia" w:hAnsi="Georgia"/>
          <w:b/>
          <w:bCs/>
          <w:color w:val="111111"/>
          <w:sz w:val="22"/>
          <w:szCs w:val="22"/>
        </w:rPr>
        <w:t xml:space="preserve">Data file locations</w:t>
      </w:r>
      <w:r>
        <w:rPr>
          <w:rFonts w:ascii="Georgia" w:cs="Georgia" w:eastAsia="Georgia" w:hAnsi="Georgia"/>
          <w:color w:val="111111"/>
          <w:sz w:val="22"/>
          <w:szCs w:val="22"/>
        </w:rPr>
        <w:t xml:space="preserve">. A filepath field that auto-grows as you type, so long paths don't get truncated. The placeholder reminds the CSR to include seed files and suppression files in the same paste.</w:t>
      </w:r>
    </w:p>
    <w:p>
      <w:pPr>
        <w:spacing w:after="160" w:before="0" w:line="320"/>
      </w:pPr>
      <w:r>
        <w:rPr>
          <w:rFonts w:ascii="Consolas" w:cs="Consolas" w:eastAsia="Consolas" w:hAnsi="Consolas"/>
          <w:color w:val="222222"/>
          <w:sz w:val="20"/>
          <w:szCs w:val="20"/>
        </w:rPr>
        <w:t xml:space="preserve">ts_sp20n</w:t>
      </w:r>
      <w:r>
        <w:rPr>
          <w:rFonts w:ascii="Georgia" w:cs="Georgia" w:eastAsia="Georgia" w:hAnsi="Georgia"/>
          <w:color w:val="111111"/>
          <w:sz w:val="22"/>
          <w:szCs w:val="22"/>
        </w:rPr>
        <w:t xml:space="preserve">  </w:t>
      </w:r>
      <w:r>
        <w:rPr>
          <w:rFonts w:ascii="Georgia" w:cs="Georgia" w:eastAsia="Georgia" w:hAnsi="Georgia"/>
          <w:b/>
          <w:bCs/>
          <w:color w:val="111111"/>
          <w:sz w:val="22"/>
          <w:szCs w:val="22"/>
        </w:rPr>
        <w:t xml:space="preserve">Input record count</w:t>
      </w:r>
      <w:r>
        <w:rPr>
          <w:rFonts w:ascii="Georgia" w:cs="Georgia" w:eastAsia="Georgia" w:hAnsi="Georgia"/>
          <w:color w:val="111111"/>
          <w:sz w:val="22"/>
          <w:szCs w:val="22"/>
        </w:rPr>
        <w:t xml:space="preserve">. Plain text. Placeholder reads "including seed count" to prompt a complete total.</w:t>
      </w:r>
    </w:p>
    <w:p>
      <w:pPr>
        <w:pStyle w:val="Heading2"/>
        <w:spacing w:after="120" w:before="320"/>
      </w:pPr>
      <w:r>
        <w:rPr>
          <w:rFonts w:ascii="Helvetica" w:cs="Helvetica" w:eastAsia="Helvetica" w:hAnsi="Helvetica"/>
          <w:b/>
          <w:bCs/>
          <w:color w:val="111111"/>
          <w:sz w:val="24"/>
          <w:szCs w:val="24"/>
        </w:rPr>
        <w:t xml:space="preserve">The mailstream group</w:t>
      </w:r>
    </w:p>
    <w:p>
      <w:pPr>
        <w:spacing w:after="160" w:before="0" w:line="320"/>
      </w:pPr>
      <w:r>
        <w:rPr>
          <w:rFonts w:ascii="Georgia" w:cs="Georgia" w:eastAsia="Georgia" w:hAnsi="Georgia"/>
          <w:color w:val="111111"/>
          <w:sz w:val="22"/>
          <w:szCs w:val="22"/>
        </w:rPr>
        <w:t xml:space="preserve">Shown under a small "Mailstreams" header. Two fields, both optional.</w:t>
      </w:r>
    </w:p>
    <w:p>
      <w:pPr>
        <w:spacing w:after="160" w:before="0" w:line="320"/>
      </w:pPr>
      <w:r>
        <w:rPr>
          <w:rFonts w:ascii="Consolas" w:cs="Consolas" w:eastAsia="Consolas" w:hAnsi="Consolas"/>
          <w:color w:val="222222"/>
          <w:sz w:val="20"/>
          <w:szCs w:val="20"/>
        </w:rPr>
        <w:t xml:space="preserve">ts_sp21n</w:t>
      </w:r>
      <w:r>
        <w:rPr>
          <w:rFonts w:ascii="Georgia" w:cs="Georgia" w:eastAsia="Georgia" w:hAnsi="Georgia"/>
          <w:color w:val="111111"/>
          <w:sz w:val="22"/>
          <w:szCs w:val="22"/>
        </w:rPr>
        <w:t xml:space="preserve">  </w:t>
      </w:r>
      <w:r>
        <w:rPr>
          <w:rFonts w:ascii="Georgia" w:cs="Georgia" w:eastAsia="Georgia" w:hAnsi="Georgia"/>
          <w:b/>
          <w:bCs/>
          <w:color w:val="111111"/>
          <w:sz w:val="22"/>
          <w:szCs w:val="22"/>
        </w:rPr>
        <w:t xml:space="preserve">Number of mailstreams</w:t>
      </w:r>
      <w:r>
        <w:rPr>
          <w:rFonts w:ascii="Georgia" w:cs="Georgia" w:eastAsia="Georgia" w:hAnsi="Georgia"/>
          <w:color w:val="111111"/>
          <w:sz w:val="22"/>
          <w:szCs w:val="22"/>
        </w:rPr>
        <w:t xml:space="preserve">. Plain text.</w:t>
      </w:r>
    </w:p>
    <w:p>
      <w:pPr>
        <w:spacing w:after="160" w:before="0" w:line="320"/>
      </w:pPr>
      <w:r>
        <w:rPr>
          <w:rFonts w:ascii="Consolas" w:cs="Consolas" w:eastAsia="Consolas" w:hAnsi="Consolas"/>
          <w:color w:val="222222"/>
          <w:sz w:val="20"/>
          <w:szCs w:val="20"/>
        </w:rPr>
        <w:t xml:space="preserve">ts_sp22n</w:t>
      </w:r>
      <w:r>
        <w:rPr>
          <w:rFonts w:ascii="Georgia" w:cs="Georgia" w:eastAsia="Georgia" w:hAnsi="Georgia"/>
          <w:color w:val="111111"/>
          <w:sz w:val="22"/>
          <w:szCs w:val="22"/>
        </w:rPr>
        <w:t xml:space="preserve">  </w:t>
      </w:r>
      <w:r>
        <w:rPr>
          <w:rFonts w:ascii="Georgia" w:cs="Georgia" w:eastAsia="Georgia" w:hAnsi="Georgia"/>
          <w:b/>
          <w:bCs/>
          <w:color w:val="111111"/>
          <w:sz w:val="22"/>
          <w:szCs w:val="22"/>
        </w:rPr>
        <w:t xml:space="preserve">Splitting criteria</w:t>
      </w:r>
      <w:r>
        <w:rPr>
          <w:rFonts w:ascii="Georgia" w:cs="Georgia" w:eastAsia="Georgia" w:hAnsi="Georgia"/>
          <w:color w:val="111111"/>
          <w:sz w:val="22"/>
          <w:szCs w:val="22"/>
        </w:rPr>
        <w:t xml:space="preserve">. Plain text. Where the CSR notes how records get divided across mailstreams — by state, product, VIP flag, etc.</w:t>
      </w:r>
    </w:p>
    <w:p>
      <w:pPr>
        <w:pStyle w:val="Heading2"/>
        <w:spacing w:after="120" w:before="320"/>
      </w:pPr>
      <w:r>
        <w:rPr>
          <w:rFonts w:ascii="Helvetica" w:cs="Helvetica" w:eastAsia="Helvetica" w:hAnsi="Helvetica"/>
          <w:b/>
          <w:bCs/>
          <w:color w:val="111111"/>
          <w:sz w:val="24"/>
          <w:szCs w:val="24"/>
        </w:rPr>
        <w:t xml:space="preserve">The address-fields group</w:t>
      </w:r>
    </w:p>
    <w:p>
      <w:pPr>
        <w:spacing w:after="160" w:before="0" w:line="320"/>
      </w:pPr>
      <w:r>
        <w:rPr>
          <w:rFonts w:ascii="Georgia" w:cs="Georgia" w:eastAsia="Georgia" w:hAnsi="Georgia"/>
          <w:color w:val="111111"/>
          <w:sz w:val="22"/>
          <w:szCs w:val="22"/>
        </w:rPr>
        <w:t xml:space="preserve">Shown under an "Address fields" header. Both are textareas that auto-grow, because the answers often run long.</w:t>
      </w:r>
    </w:p>
    <w:p>
      <w:pPr>
        <w:spacing w:after="160" w:before="0" w:line="320"/>
      </w:pPr>
      <w:r>
        <w:rPr>
          <w:rFonts w:ascii="Consolas" w:cs="Consolas" w:eastAsia="Consolas" w:hAnsi="Consolas"/>
          <w:color w:val="222222"/>
          <w:sz w:val="20"/>
          <w:szCs w:val="20"/>
        </w:rPr>
        <w:t xml:space="preserve">ts_sp23n</w:t>
      </w:r>
      <w:r>
        <w:rPr>
          <w:rFonts w:ascii="Georgia" w:cs="Georgia" w:eastAsia="Georgia" w:hAnsi="Georgia"/>
          <w:color w:val="111111"/>
          <w:sz w:val="22"/>
          <w:szCs w:val="22"/>
        </w:rPr>
        <w:t xml:space="preserve">  </w:t>
      </w:r>
      <w:r>
        <w:rPr>
          <w:rFonts w:ascii="Georgia" w:cs="Georgia" w:eastAsia="Georgia" w:hAnsi="Georgia"/>
          <w:b/>
          <w:bCs/>
          <w:color w:val="111111"/>
          <w:sz w:val="22"/>
          <w:szCs w:val="22"/>
        </w:rPr>
        <w:t xml:space="preserve">Addressing fields used</w:t>
      </w:r>
      <w:r>
        <w:rPr>
          <w:rFonts w:ascii="Georgia" w:cs="Georgia" w:eastAsia="Georgia" w:hAnsi="Georgia"/>
          <w:color w:val="111111"/>
          <w:sz w:val="22"/>
          <w:szCs w:val="22"/>
        </w:rPr>
        <w:t xml:space="preserve">. Which columns in the source file carry the address.</w:t>
      </w:r>
    </w:p>
    <w:p>
      <w:pPr>
        <w:spacing w:after="160" w:before="0" w:line="320"/>
      </w:pPr>
      <w:r>
        <w:rPr>
          <w:rFonts w:ascii="Consolas" w:cs="Consolas" w:eastAsia="Consolas" w:hAnsi="Consolas"/>
          <w:color w:val="222222"/>
          <w:sz w:val="20"/>
          <w:szCs w:val="20"/>
        </w:rPr>
        <w:t xml:space="preserve">ts_sp24n</w:t>
      </w:r>
      <w:r>
        <w:rPr>
          <w:rFonts w:ascii="Georgia" w:cs="Georgia" w:eastAsia="Georgia" w:hAnsi="Georgia"/>
          <w:color w:val="111111"/>
          <w:sz w:val="22"/>
          <w:szCs w:val="22"/>
        </w:rPr>
        <w:t xml:space="preserve">  </w:t>
      </w:r>
      <w:r>
        <w:rPr>
          <w:rFonts w:ascii="Georgia" w:cs="Georgia" w:eastAsia="Georgia" w:hAnsi="Georgia"/>
          <w:b/>
          <w:bCs/>
          <w:color w:val="111111"/>
          <w:sz w:val="22"/>
          <w:szCs w:val="22"/>
        </w:rPr>
        <w:t xml:space="preserve">Multiple address fields</w:t>
      </w:r>
      <w:r>
        <w:rPr>
          <w:rFonts w:ascii="Georgia" w:cs="Georgia" w:eastAsia="Georgia" w:hAnsi="Georgia"/>
          <w:color w:val="111111"/>
          <w:sz w:val="22"/>
          <w:szCs w:val="22"/>
        </w:rPr>
        <w:t xml:space="preserve">. Used when a file carries more than one address block per record — home and business, mailing and physical, and so on.</w:t>
      </w:r>
    </w:p>
    <w:p>
      <w:pPr>
        <w:spacing w:after="40" w:before="560"/>
      </w:pPr>
      <w:r>
        <w:rPr>
          <w:rFonts w:ascii="Helvetica" w:cs="Helvetica" w:eastAsia="Helvetica" w:hAnsi="Helvetica"/>
          <w:b/>
          <w:bCs/>
          <w:color w:val="C63A1E"/>
          <w:spacing w:val="60"/>
          <w:sz w:val="16"/>
          <w:szCs w:val="16"/>
        </w:rPr>
        <w:t xml:space="preserve">§ 02</w:t>
      </w:r>
    </w:p>
    <w:p>
      <w:pPr>
        <w:pStyle w:val="Heading1"/>
        <w:pBdr>
          <w:bottom w:val="single" w:color="111111" w:sz="6" w:space="8"/>
        </w:pBdr>
        <w:spacing w:after="160" w:before="0"/>
      </w:pPr>
      <w:r>
        <w:rPr>
          <w:rFonts w:ascii="Helvetica" w:cs="Helvetica" w:eastAsia="Helvetica" w:hAnsi="Helvetica"/>
          <w:b/>
          <w:bCs/>
          <w:color w:val="111111"/>
          <w:sz w:val="40"/>
          <w:szCs w:val="40"/>
        </w:rPr>
        <w:t xml:space="preserve">NCOA / CASS Processing</w:t>
      </w:r>
    </w:p>
    <w:p>
      <w:pPr>
        <w:spacing w:after="160" w:before="0" w:line="320"/>
      </w:pPr>
      <w:r>
        <w:rPr>
          <w:rFonts w:ascii="Georgia" w:cs="Georgia" w:eastAsia="Georgia" w:hAnsi="Georgia"/>
          <w:color w:val="111111"/>
          <w:sz w:val="22"/>
          <w:szCs w:val="22"/>
        </w:rPr>
        <w:t xml:space="preserve">The tallest section on the form. It opens with a reference link, then lays out two main checkboxes — CASS and NCOA — with a nested tree of options under each.</w:t>
      </w:r>
    </w:p>
    <w:p>
      <w:pPr>
        <w:pStyle w:val="Heading2"/>
        <w:spacing w:after="120" w:before="320"/>
      </w:pPr>
      <w:r>
        <w:rPr>
          <w:rFonts w:ascii="Helvetica" w:cs="Helvetica" w:eastAsia="Helvetica" w:hAnsi="Helvetica"/>
          <w:b/>
          <w:bCs/>
          <w:color w:val="111111"/>
          <w:sz w:val="24"/>
          <w:szCs w:val="24"/>
        </w:rPr>
        <w:t xml:space="preserve">The reference link</w:t>
      </w:r>
    </w:p>
    <w:p>
      <w:pPr>
        <w:spacing w:after="160" w:before="0" w:line="320"/>
      </w:pPr>
      <w:r>
        <w:rPr>
          <w:rFonts w:ascii="Georgia" w:cs="Georgia" w:eastAsia="Georgia" w:hAnsi="Georgia"/>
          <w:color w:val="111111"/>
          <w:sz w:val="22"/>
          <w:szCs w:val="22"/>
        </w:rPr>
        <w:t xml:space="preserve">At the top of the section sits a link pointing at </w:t>
      </w:r>
      <w:r>
        <w:rPr>
          <w:rFonts w:ascii="Consolas" w:cs="Consolas" w:eastAsia="Consolas" w:hAnsi="Consolas"/>
          <w:color w:val="222222"/>
          <w:sz w:val="20"/>
          <w:szCs w:val="20"/>
        </w:rPr>
        <w:t xml:space="preserve">G:\CMI\PostalNewsAnd Reference\CASS_error_code_list.xlsx</w:t>
      </w:r>
      <w:r>
        <w:rPr>
          <w:rFonts w:ascii="Georgia" w:cs="Georgia" w:eastAsia="Georgia" w:hAnsi="Georgia"/>
          <w:color w:val="111111"/>
          <w:sz w:val="22"/>
          <w:szCs w:val="22"/>
        </w:rPr>
        <w:t xml:space="preserve">. On the M-drive build, clicking opens the file. On the web build, it does nothing — it's a reminder of where the reference lives.</w:t>
      </w:r>
    </w:p>
    <w:p>
      <w:pPr>
        <w:pStyle w:val="Heading2"/>
        <w:spacing w:after="120" w:before="320"/>
      </w:pPr>
      <w:r>
        <w:rPr>
          <w:rFonts w:ascii="Helvetica" w:cs="Helvetica" w:eastAsia="Helvetica" w:hAnsi="Helvetica"/>
          <w:b/>
          <w:bCs/>
          <w:color w:val="111111"/>
          <w:sz w:val="24"/>
          <w:szCs w:val="24"/>
        </w:rPr>
        <w:t xml:space="preserve">The CASS block</w:t>
      </w:r>
    </w:p>
    <w:p>
      <w:pPr>
        <w:spacing w:after="160" w:before="0" w:line="320"/>
      </w:pPr>
      <w:r>
        <w:rPr>
          <w:rFonts w:ascii="Consolas" w:cs="Consolas" w:eastAsia="Consolas" w:hAnsi="Consolas"/>
          <w:color w:val="222222"/>
          <w:sz w:val="20"/>
          <w:szCs w:val="20"/>
        </w:rPr>
        <w:t xml:space="preserve">ts_cb30</w:t>
      </w:r>
      <w:r>
        <w:rPr>
          <w:rFonts w:ascii="Georgia" w:cs="Georgia" w:eastAsia="Georgia" w:hAnsi="Georgia"/>
          <w:color w:val="111111"/>
          <w:sz w:val="22"/>
          <w:szCs w:val="22"/>
        </w:rPr>
        <w:t xml:space="preserve">  </w:t>
      </w:r>
      <w:r>
        <w:rPr>
          <w:rFonts w:ascii="Georgia" w:cs="Georgia" w:eastAsia="Georgia" w:hAnsi="Georgia"/>
          <w:b/>
          <w:bCs/>
          <w:color w:val="111111"/>
          <w:sz w:val="22"/>
          <w:szCs w:val="22"/>
        </w:rPr>
        <w:t xml:space="preserve">CASS</w:t>
      </w:r>
      <w:r>
        <w:rPr>
          <w:rFonts w:ascii="Georgia" w:cs="Georgia" w:eastAsia="Georgia" w:hAnsi="Georgia"/>
          <w:color w:val="111111"/>
          <w:sz w:val="22"/>
          <w:szCs w:val="22"/>
        </w:rPr>
        <w:t xml:space="preserve">. Top-level checkbox. Beneath it sit three child toggles at indent level 1:</w:t>
      </w:r>
    </w:p>
    <w:p>
      <w:pPr>
        <w:pStyle w:val="ListParagraph"/>
        <w:numPr>
          <w:ilvl w:val="0"/>
          <w:numId w:val="2"/>
        </w:numPr>
        <w:spacing w:after="40" w:before="40" w:line="320"/>
      </w:pPr>
      <w:r>
        <w:rPr>
          <w:rFonts w:ascii="Consolas" w:cs="Consolas" w:eastAsia="Consolas" w:hAnsi="Consolas"/>
          <w:color w:val="222222"/>
          <w:sz w:val="20"/>
          <w:szCs w:val="20"/>
        </w:rPr>
        <w:t xml:space="preserve">ts_cb30a</w:t>
      </w:r>
      <w:r>
        <w:rPr>
          <w:rFonts w:ascii="Georgia" w:cs="Georgia" w:eastAsia="Georgia" w:hAnsi="Georgia"/>
          <w:color w:val="111111"/>
          <w:sz w:val="22"/>
          <w:szCs w:val="22"/>
        </w:rPr>
        <w:t xml:space="preserve">  Drop vacants?</w:t>
      </w:r>
    </w:p>
    <w:p>
      <w:pPr>
        <w:pStyle w:val="ListParagraph"/>
        <w:numPr>
          <w:ilvl w:val="0"/>
          <w:numId w:val="2"/>
        </w:numPr>
        <w:spacing w:after="40" w:before="40" w:line="320"/>
      </w:pPr>
      <w:r>
        <w:rPr>
          <w:rFonts w:ascii="Consolas" w:cs="Consolas" w:eastAsia="Consolas" w:hAnsi="Consolas"/>
          <w:color w:val="222222"/>
          <w:sz w:val="20"/>
          <w:szCs w:val="20"/>
        </w:rPr>
        <w:t xml:space="preserve">ts_cb30b</w:t>
      </w:r>
      <w:r>
        <w:rPr>
          <w:rFonts w:ascii="Georgia" w:cs="Georgia" w:eastAsia="Georgia" w:hAnsi="Georgia"/>
          <w:color w:val="111111"/>
          <w:sz w:val="22"/>
          <w:szCs w:val="22"/>
        </w:rPr>
        <w:t xml:space="preserve">  Drop phantom carrier routes?</w:t>
      </w:r>
      <w:r>
        <w:rPr>
          <w:rFonts w:ascii="Georgia" w:cs="Georgia" w:eastAsia="Georgia" w:hAnsi="Georgia"/>
          <w:i/>
          <w:iCs/>
          <w:color w:val="8A8A8A"/>
          <w:sz w:val="22"/>
          <w:szCs w:val="22"/>
        </w:rPr>
        <w:t xml:space="preserve">   hint: R777, R778</w:t>
      </w:r>
    </w:p>
    <w:p>
      <w:pPr>
        <w:pStyle w:val="ListParagraph"/>
        <w:numPr>
          <w:ilvl w:val="0"/>
          <w:numId w:val="2"/>
        </w:numPr>
        <w:spacing w:after="40" w:before="40" w:line="320"/>
      </w:pPr>
      <w:r>
        <w:rPr>
          <w:rFonts w:ascii="Consolas" w:cs="Consolas" w:eastAsia="Consolas" w:hAnsi="Consolas"/>
          <w:color w:val="222222"/>
          <w:sz w:val="20"/>
          <w:szCs w:val="20"/>
        </w:rPr>
        <w:t xml:space="preserve">ts_cb30c</w:t>
      </w:r>
      <w:r>
        <w:rPr>
          <w:rFonts w:ascii="Georgia" w:cs="Georgia" w:eastAsia="Georgia" w:hAnsi="Georgia"/>
          <w:color w:val="111111"/>
          <w:sz w:val="22"/>
          <w:szCs w:val="22"/>
        </w:rPr>
        <w:t xml:space="preserve">  Drop CASS errors over 90?</w:t>
      </w:r>
    </w:p>
    <w:p>
      <w:pPr>
        <w:spacing w:after="80" w:before="0"/>
      </w:pPr>
      <w:r>
        <w:rPr>
          <w:sz w:val="1"/>
          <w:szCs w:val="1"/>
        </w:rPr>
        <w:t xml:space="preserve"/>
      </w:r>
    </w:p>
    <w:p>
      <w:pPr>
        <w:spacing w:after="160" w:before="0" w:line="320"/>
      </w:pPr>
      <w:r>
        <w:rPr>
          <w:rFonts w:ascii="Georgia" w:cs="Georgia" w:eastAsia="Georgia" w:hAnsi="Georgia"/>
          <w:i/>
          <w:iCs/>
          <w:color w:val="4A4A4A"/>
          <w:sz w:val="22"/>
          <w:szCs w:val="22"/>
        </w:rPr>
        <w:t xml:space="preserve">Below those is a small italic help line: </w:t>
      </w:r>
      <w:r>
        <w:rPr>
          <w:rFonts w:ascii="Georgia" w:cs="Georgia" w:eastAsia="Georgia" w:hAnsi="Georgia"/>
          <w:i/>
          <w:iCs/>
          <w:color w:val="4A4A4A"/>
          <w:sz w:val="22"/>
          <w:szCs w:val="22"/>
        </w:rPr>
        <w:t xml:space="preserve">"Typically missing secondary address; likely undeliverable."</w:t>
      </w:r>
      <w:r>
        <w:rPr>
          <w:rFonts w:ascii="Georgia" w:cs="Georgia" w:eastAsia="Georgia" w:hAnsi="Georgia"/>
          <w:i/>
          <w:iCs/>
          <w:color w:val="4A4A4A"/>
          <w:sz w:val="22"/>
          <w:szCs w:val="22"/>
        </w:rPr>
        <w:t xml:space="preserve"> It's there so anyone new to the form understands what "over 90" actually means.</w:t>
      </w:r>
    </w:p>
    <w:p>
      <w:pPr>
        <w:pStyle w:val="Heading2"/>
        <w:spacing w:after="120" w:before="320"/>
      </w:pPr>
      <w:r>
        <w:rPr>
          <w:rFonts w:ascii="Helvetica" w:cs="Helvetica" w:eastAsia="Helvetica" w:hAnsi="Helvetica"/>
          <w:b/>
          <w:bCs/>
          <w:color w:val="111111"/>
          <w:sz w:val="24"/>
          <w:szCs w:val="24"/>
        </w:rPr>
        <w:t xml:space="preserve">The NCOA block</w:t>
      </w:r>
    </w:p>
    <w:p>
      <w:pPr>
        <w:spacing w:after="160" w:before="0" w:line="320"/>
      </w:pPr>
      <w:r>
        <w:rPr>
          <w:rFonts w:ascii="Consolas" w:cs="Consolas" w:eastAsia="Consolas" w:hAnsi="Consolas"/>
          <w:color w:val="222222"/>
          <w:sz w:val="20"/>
          <w:szCs w:val="20"/>
        </w:rPr>
        <w:t xml:space="preserve">ts_cb31</w:t>
      </w:r>
      <w:r>
        <w:rPr>
          <w:rFonts w:ascii="Georgia" w:cs="Georgia" w:eastAsia="Georgia" w:hAnsi="Georgia"/>
          <w:color w:val="111111"/>
          <w:sz w:val="22"/>
          <w:szCs w:val="22"/>
        </w:rPr>
        <w:t xml:space="preserve">  </w:t>
      </w:r>
      <w:r>
        <w:rPr>
          <w:rFonts w:ascii="Georgia" w:cs="Georgia" w:eastAsia="Georgia" w:hAnsi="Georgia"/>
          <w:b/>
          <w:bCs/>
          <w:color w:val="111111"/>
          <w:sz w:val="22"/>
          <w:szCs w:val="22"/>
        </w:rPr>
        <w:t xml:space="preserve">NCOA</w:t>
      </w:r>
      <w:r>
        <w:rPr>
          <w:rFonts w:ascii="Georgia" w:cs="Georgia" w:eastAsia="Georgia" w:hAnsi="Georgia"/>
          <w:color w:val="111111"/>
          <w:sz w:val="22"/>
          <w:szCs w:val="22"/>
        </w:rPr>
        <w:t xml:space="preserve">. Top-level checkbox, same pattern as CASS. Its children split into three areas — client review, movers, and deceased.</w:t>
      </w:r>
    </w:p>
    <w:p>
      <w:pPr>
        <w:spacing w:after="160" w:before="0" w:line="320"/>
      </w:pPr>
      <w:r>
        <w:rPr>
          <w:rFonts w:ascii="Consolas" w:cs="Consolas" w:eastAsia="Consolas" w:hAnsi="Consolas"/>
          <w:color w:val="222222"/>
          <w:sz w:val="20"/>
          <w:szCs w:val="20"/>
        </w:rPr>
        <w:t xml:space="preserve">ts_cb31a</w:t>
      </w:r>
      <w:r>
        <w:rPr>
          <w:rFonts w:ascii="Georgia" w:cs="Georgia" w:eastAsia="Georgia" w:hAnsi="Georgia"/>
          <w:color w:val="111111"/>
          <w:sz w:val="22"/>
          <w:szCs w:val="22"/>
        </w:rPr>
        <w:t xml:space="preserve">  </w:t>
      </w:r>
      <w:r>
        <w:rPr>
          <w:rFonts w:ascii="Georgia" w:cs="Georgia" w:eastAsia="Georgia" w:hAnsi="Georgia"/>
          <w:b/>
          <w:bCs/>
          <w:color w:val="111111"/>
          <w:sz w:val="22"/>
          <w:szCs w:val="22"/>
        </w:rPr>
        <w:t xml:space="preserve">Client review required</w:t>
      </w:r>
      <w:r>
        <w:rPr>
          <w:rFonts w:ascii="Georgia" w:cs="Georgia" w:eastAsia="Georgia" w:hAnsi="Georgia"/>
          <w:color w:val="111111"/>
          <w:sz w:val="22"/>
          <w:szCs w:val="22"/>
        </w:rPr>
        <w:t xml:space="preserve">. Level 1. Flags that the output should go to the client before processing continues.</w:t>
      </w:r>
    </w:p>
    <w:p>
      <w:pPr>
        <w:spacing w:after="160" w:before="0" w:line="320"/>
      </w:pPr>
      <w:r>
        <w:rPr>
          <w:rFonts w:ascii="Consolas" w:cs="Consolas" w:eastAsia="Consolas" w:hAnsi="Consolas"/>
          <w:color w:val="222222"/>
          <w:sz w:val="20"/>
          <w:szCs w:val="20"/>
        </w:rPr>
        <w:t xml:space="preserve">ts_cb31b_nna</w:t>
      </w:r>
      <w:r>
        <w:rPr>
          <w:rFonts w:ascii="Georgia" w:cs="Georgia" w:eastAsia="Georgia" w:hAnsi="Georgia"/>
          <w:color w:val="111111"/>
          <w:sz w:val="22"/>
          <w:szCs w:val="22"/>
        </w:rPr>
        <w:t xml:space="preserve">  </w:t>
      </w:r>
      <w:r>
        <w:rPr>
          <w:rFonts w:ascii="Georgia" w:cs="Georgia" w:eastAsia="Georgia" w:hAnsi="Georgia"/>
          <w:b/>
          <w:bCs/>
          <w:color w:val="111111"/>
          <w:sz w:val="22"/>
          <w:szCs w:val="22"/>
        </w:rPr>
        <w:t xml:space="preserve">Movers w/ No New Address</w:t>
      </w:r>
      <w:r>
        <w:rPr>
          <w:rFonts w:ascii="Georgia" w:cs="Georgia" w:eastAsia="Georgia" w:hAnsi="Georgia"/>
          <w:color w:val="111111"/>
          <w:sz w:val="22"/>
          <w:szCs w:val="22"/>
        </w:rPr>
        <w:t xml:space="preserve">. Level 1. The entry point for every mover-related decision. Three toggles nest under it at level 2:</w:t>
      </w:r>
    </w:p>
    <w:p>
      <w:pPr>
        <w:pStyle w:val="ListParagraph"/>
        <w:numPr>
          <w:ilvl w:val="0"/>
          <w:numId w:val="2"/>
        </w:numPr>
        <w:spacing w:after="40" w:before="40" w:line="320"/>
      </w:pPr>
      <w:r>
        <w:rPr>
          <w:rFonts w:ascii="Consolas" w:cs="Consolas" w:eastAsia="Consolas" w:hAnsi="Consolas"/>
          <w:color w:val="222222"/>
          <w:sz w:val="20"/>
          <w:szCs w:val="20"/>
        </w:rPr>
        <w:t xml:space="preserve">ts_cb31b_orig</w:t>
      </w:r>
      <w:r>
        <w:rPr>
          <w:rFonts w:ascii="Georgia" w:cs="Georgia" w:eastAsia="Georgia" w:hAnsi="Georgia"/>
          <w:color w:val="111111"/>
          <w:sz w:val="22"/>
          <w:szCs w:val="22"/>
        </w:rPr>
        <w:t xml:space="preserve">  Mail To Original Address.</w:t>
      </w:r>
    </w:p>
    <w:p>
      <w:pPr>
        <w:pStyle w:val="ListParagraph"/>
        <w:numPr>
          <w:ilvl w:val="0"/>
          <w:numId w:val="2"/>
        </w:numPr>
        <w:spacing w:after="40" w:before="40" w:line="320"/>
      </w:pPr>
      <w:r>
        <w:rPr>
          <w:rFonts w:ascii="Consolas" w:cs="Consolas" w:eastAsia="Consolas" w:hAnsi="Consolas"/>
          <w:color w:val="222222"/>
          <w:sz w:val="20"/>
          <w:szCs w:val="20"/>
        </w:rPr>
        <w:t xml:space="preserve">ts_cb31b_mail</w:t>
      </w:r>
      <w:r>
        <w:rPr>
          <w:rFonts w:ascii="Georgia" w:cs="Georgia" w:eastAsia="Georgia" w:hAnsi="Georgia"/>
          <w:color w:val="111111"/>
          <w:sz w:val="22"/>
          <w:szCs w:val="22"/>
        </w:rPr>
        <w:t xml:space="preserve">  Mail to movers?</w:t>
      </w:r>
      <w:r>
        <w:rPr>
          <w:rFonts w:ascii="Georgia" w:cs="Georgia" w:eastAsia="Georgia" w:hAnsi="Georgia"/>
          <w:i/>
          <w:iCs/>
          <w:color w:val="8A8A8A"/>
          <w:sz w:val="22"/>
          <w:szCs w:val="22"/>
        </w:rPr>
        <w:t xml:space="preserve">   Out_MoveFootnote: 0, 91, 92, A</w:t>
      </w:r>
    </w:p>
    <w:p>
      <w:pPr>
        <w:pStyle w:val="ListParagraph"/>
        <w:numPr>
          <w:ilvl w:val="0"/>
          <w:numId w:val="2"/>
        </w:numPr>
        <w:spacing w:after="40" w:before="40" w:line="320"/>
      </w:pPr>
      <w:r>
        <w:rPr>
          <w:rFonts w:ascii="Consolas" w:cs="Consolas" w:eastAsia="Consolas" w:hAnsi="Consolas"/>
          <w:color w:val="222222"/>
          <w:sz w:val="20"/>
          <w:szCs w:val="20"/>
        </w:rPr>
        <w:t xml:space="preserve">ts_cb31b_drop</w:t>
      </w:r>
      <w:r>
        <w:rPr>
          <w:rFonts w:ascii="Georgia" w:cs="Georgia" w:eastAsia="Georgia" w:hAnsi="Georgia"/>
          <w:color w:val="111111"/>
          <w:sz w:val="22"/>
          <w:szCs w:val="22"/>
        </w:rPr>
        <w:t xml:space="preserve">  Drop movers?</w:t>
      </w:r>
      <w:r>
        <w:rPr>
          <w:rFonts w:ascii="Georgia" w:cs="Georgia" w:eastAsia="Georgia" w:hAnsi="Georgia"/>
          <w:i/>
          <w:iCs/>
          <w:color w:val="8A8A8A"/>
          <w:sz w:val="22"/>
          <w:szCs w:val="22"/>
        </w:rPr>
        <w:t xml:space="preserve">   Out_MoveFootnote: 1, 2, 3, 5, 14, 19, 66 — undeliverable</w:t>
      </w:r>
    </w:p>
    <w:p>
      <w:pPr>
        <w:spacing w:after="160" w:before="0" w:line="320"/>
      </w:pPr>
      <w:r>
        <w:rPr>
          <w:rFonts w:ascii="Consolas" w:cs="Consolas" w:eastAsia="Consolas" w:hAnsi="Consolas"/>
          <w:color w:val="222222"/>
          <w:sz w:val="20"/>
          <w:szCs w:val="20"/>
        </w:rPr>
        <w:t xml:space="preserve">ts_cb31c</w:t>
      </w:r>
      <w:r>
        <w:rPr>
          <w:rFonts w:ascii="Georgia" w:cs="Georgia" w:eastAsia="Georgia" w:hAnsi="Georgia"/>
          <w:color w:val="111111"/>
          <w:sz w:val="22"/>
          <w:szCs w:val="22"/>
        </w:rPr>
        <w:t xml:space="preserve">  </w:t>
      </w:r>
      <w:r>
        <w:rPr>
          <w:rFonts w:ascii="Georgia" w:cs="Georgia" w:eastAsia="Georgia" w:hAnsi="Georgia"/>
          <w:b/>
          <w:bCs/>
          <w:color w:val="111111"/>
          <w:sz w:val="22"/>
          <w:szCs w:val="22"/>
        </w:rPr>
        <w:t xml:space="preserve">Deceased</w:t>
      </w:r>
      <w:r>
        <w:rPr>
          <w:rFonts w:ascii="Georgia" w:cs="Georgia" w:eastAsia="Georgia" w:hAnsi="Georgia"/>
          <w:color w:val="111111"/>
          <w:sz w:val="22"/>
          <w:szCs w:val="22"/>
        </w:rPr>
        <w:t xml:space="preserve">. Level 1. Its one child at level 2:</w:t>
      </w:r>
    </w:p>
    <w:p>
      <w:pPr>
        <w:pStyle w:val="ListParagraph"/>
        <w:numPr>
          <w:ilvl w:val="0"/>
          <w:numId w:val="2"/>
        </w:numPr>
        <w:spacing w:after="40" w:before="40" w:line="320"/>
      </w:pPr>
      <w:r>
        <w:rPr>
          <w:rFonts w:ascii="Consolas" w:cs="Consolas" w:eastAsia="Consolas" w:hAnsi="Consolas"/>
          <w:color w:val="222222"/>
          <w:sz w:val="20"/>
          <w:szCs w:val="20"/>
        </w:rPr>
        <w:t xml:space="preserve">ts_cb31c_drop</w:t>
      </w:r>
      <w:r>
        <w:rPr>
          <w:rFonts w:ascii="Georgia" w:cs="Georgia" w:eastAsia="Georgia" w:hAnsi="Georgia"/>
          <w:color w:val="111111"/>
          <w:sz w:val="22"/>
          <w:szCs w:val="22"/>
        </w:rPr>
        <w:t xml:space="preserve">  Drop deceased?</w:t>
      </w:r>
    </w:p>
    <w:p>
      <w:pPr>
        <w:pStyle w:val="Heading2"/>
        <w:spacing w:after="120" w:before="320"/>
      </w:pPr>
      <w:r>
        <w:rPr>
          <w:rFonts w:ascii="Helvetica" w:cs="Helvetica" w:eastAsia="Helvetica" w:hAnsi="Helvetica"/>
          <w:b/>
          <w:bCs/>
          <w:color w:val="111111"/>
          <w:sz w:val="24"/>
          <w:szCs w:val="24"/>
        </w:rPr>
        <w:t xml:space="preserve">How the Mail vs. Drop toggles behave</w:t>
      </w:r>
    </w:p>
    <w:p>
      <w:pPr>
        <w:spacing w:after="160" w:before="0" w:line="320"/>
      </w:pPr>
      <w:r>
        <w:rPr>
          <w:rFonts w:ascii="Georgia" w:cs="Georgia" w:eastAsia="Georgia" w:hAnsi="Georgia"/>
          <w:color w:val="111111"/>
          <w:sz w:val="22"/>
          <w:szCs w:val="22"/>
        </w:rPr>
        <w:t xml:space="preserve">Mail and Drop are independent checkboxes, not a radio pair. Checking one does not un-check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63A1E" w:sz="16"/>
              <w:bottom w:val="none" w:color="FFFFFF" w:sz="0"/>
              <w:right w:val="none" w:color="FFFFFF" w:sz="0"/>
            </w:tcBorders>
            <w:shd w:fill="FFFFFF" w:val="clear"/>
            <w:tcMar>
              <w:top w:type="dxa" w:w="120"/>
              <w:left w:type="dxa" w:w="360"/>
              <w:bottom w:type="dxa" w:w="120"/>
              <w:right w:type="dxa" w:w="360"/>
            </w:tcMar>
          </w:tcPr>
          <w:p>
            <w:pPr>
              <w:spacing w:after="160" w:before="0" w:line="320"/>
            </w:pPr>
            <w:r>
              <w:rPr>
                <w:rFonts w:ascii="Georgia" w:cs="Georgia" w:eastAsia="Georgia" w:hAnsi="Georgia"/>
                <w:color w:val="111111"/>
                <w:sz w:val="22"/>
                <w:szCs w:val="22"/>
              </w:rPr>
              <w:t xml:space="preserve">Both unchecked means </w:t>
            </w:r>
            <w:r>
              <w:rPr>
                <w:rFonts w:ascii="Georgia" w:cs="Georgia" w:eastAsia="Georgia" w:hAnsi="Georgia"/>
                <w:b/>
                <w:bCs/>
                <w:color w:val="111111"/>
                <w:sz w:val="22"/>
                <w:szCs w:val="22"/>
              </w:rPr>
              <w:t xml:space="preserve">send counts back to the client for review</w:t>
            </w:r>
            <w:r>
              <w:rPr>
                <w:rFonts w:ascii="Georgia" w:cs="Georgia" w:eastAsia="Georgia" w:hAnsi="Georgia"/>
                <w:color w:val="111111"/>
                <w:sz w:val="22"/>
                <w:szCs w:val="22"/>
              </w:rPr>
              <w:t xml:space="preserve">. That's the default state, and it's intentional.</w:t>
            </w:r>
          </w:p>
          <w:p>
            <w:pPr>
              <w:spacing w:after="160" w:before="0" w:line="320"/>
            </w:pPr>
            <w:r>
              <w:rPr>
                <w:rFonts w:ascii="Georgia" w:cs="Georgia" w:eastAsia="Georgia" w:hAnsi="Georgia"/>
                <w:color w:val="111111"/>
                <w:sz w:val="22"/>
                <w:szCs w:val="22"/>
              </w:rPr>
              <w:t xml:space="preserve">Both checked is </w:t>
            </w:r>
            <w:r>
              <w:rPr>
                <w:rFonts w:ascii="Georgia" w:cs="Georgia" w:eastAsia="Georgia" w:hAnsi="Georgia"/>
                <w:b/>
                <w:bCs/>
                <w:color w:val="111111"/>
                <w:sz w:val="22"/>
                <w:szCs w:val="22"/>
              </w:rPr>
              <w:t xml:space="preserve">allowed</w:t>
            </w:r>
            <w:r>
              <w:rPr>
                <w:rFonts w:ascii="Georgia" w:cs="Georgia" w:eastAsia="Georgia" w:hAnsi="Georgia"/>
                <w:color w:val="111111"/>
                <w:sz w:val="22"/>
                <w:szCs w:val="22"/>
              </w:rPr>
              <w:t xml:space="preserve">. Operators use that combination to flag that a job has ambiguity the client has to resolve.</w:t>
            </w:r>
          </w:p>
        </w:tc>
      </w:tr>
    </w:tbl>
    <w:p>
      <w:pPr>
        <w:spacing w:after="160" w:before="0" w:line="320"/>
      </w:pPr>
      <w:r>
        <w:rPr>
          <w:rFonts w:ascii="Georgia" w:cs="Georgia" w:eastAsia="Georgia" w:hAnsi="Georgia"/>
          <w:color w:val="111111"/>
          <w:sz w:val="22"/>
          <w:szCs w:val="22"/>
        </w:rPr>
        <w:t xml:space="preserve">Sub-items stay visible no matter what the parent is doing — there is no show/hide logic. The nesting is visual only.</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5F2EF" w:sz="0"/>
              <w:left w:val="none" w:color="F5F2EF" w:sz="0"/>
              <w:bottom w:val="none" w:color="F5F2EF" w:sz="0"/>
              <w:right w:val="none" w:color="F5F2EF" w:sz="0"/>
            </w:tcBorders>
            <w:shd w:fill="F5F2EF" w:val="clear"/>
            <w:tcMar>
              <w:top w:type="dxa" w:w="200"/>
              <w:left w:type="dxa" w:w="280"/>
              <w:bottom w:type="dxa" w:w="160"/>
              <w:right w:type="dxa" w:w="280"/>
            </w:tcMar>
          </w:tcPr>
          <w:p>
            <w:pPr>
              <w:spacing w:after="80" w:before="0"/>
            </w:pPr>
            <w:r>
              <w:rPr>
                <w:rFonts w:ascii="Helvetica" w:cs="Helvetica" w:eastAsia="Helvetica" w:hAnsi="Helvetica"/>
                <w:b/>
                <w:bCs/>
                <w:color w:val="C63A1E"/>
                <w:spacing w:val="80"/>
                <w:sz w:val="16"/>
                <w:szCs w:val="16"/>
              </w:rPr>
              <w:t xml:space="preserve">OPEN QUESTION</w:t>
            </w:r>
          </w:p>
          <w:p>
            <w:pPr>
              <w:spacing w:after="160" w:before="0" w:line="320"/>
            </w:pPr>
            <w:r>
              <w:rPr>
                <w:rFonts w:ascii="Georgia" w:cs="Georgia" w:eastAsia="Georgia" w:hAnsi="Georgia"/>
                <w:color w:val="111111"/>
                <w:sz w:val="22"/>
                <w:szCs w:val="22"/>
              </w:rPr>
              <w:t xml:space="preserve">There's a semantic overlap between "Movers w/ No New Address" and "Mail to movers?" — footnote 91 ("no match = no new address") describes the same situation as the dedicated toggle. Three layout options are waiting for Jason in the Open Questions doc, Section 2.</w:t>
            </w:r>
          </w:p>
        </w:tc>
      </w:tr>
    </w:tbl>
    <w:p>
      <w:pPr>
        <w:spacing w:after="40" w:before="560"/>
      </w:pPr>
      <w:r>
        <w:rPr>
          <w:rFonts w:ascii="Helvetica" w:cs="Helvetica" w:eastAsia="Helvetica" w:hAnsi="Helvetica"/>
          <w:b/>
          <w:bCs/>
          <w:color w:val="C63A1E"/>
          <w:spacing w:val="60"/>
          <w:sz w:val="16"/>
          <w:szCs w:val="16"/>
        </w:rPr>
        <w:t xml:space="preserve">§ 03</w:t>
      </w:r>
    </w:p>
    <w:p>
      <w:pPr>
        <w:pStyle w:val="Heading1"/>
        <w:pBdr>
          <w:bottom w:val="single" w:color="111111" w:sz="6" w:space="8"/>
        </w:pBdr>
        <w:spacing w:after="160" w:before="0"/>
      </w:pPr>
      <w:r>
        <w:rPr>
          <w:rFonts w:ascii="Helvetica" w:cs="Helvetica" w:eastAsia="Helvetica" w:hAnsi="Helvetica"/>
          <w:b/>
          <w:bCs/>
          <w:color w:val="111111"/>
          <w:sz w:val="40"/>
          <w:szCs w:val="40"/>
        </w:rPr>
        <w:t xml:space="preserve">Deduplication</w:t>
      </w:r>
    </w:p>
    <w:p>
      <w:pPr>
        <w:spacing w:after="160" w:before="0" w:line="320"/>
      </w:pPr>
      <w:r>
        <w:rPr>
          <w:rFonts w:ascii="Georgia" w:cs="Georgia" w:eastAsia="Georgia" w:hAnsi="Georgia"/>
          <w:color w:val="111111"/>
          <w:sz w:val="22"/>
          <w:szCs w:val="22"/>
        </w:rPr>
        <w:t xml:space="preserve">The parent/child table fields have been retired. What remains is a compact block covering method, suppression, priorities, and rollups.</w:t>
      </w:r>
    </w:p>
    <w:p>
      <w:pPr>
        <w:spacing w:after="160" w:before="0" w:line="320"/>
      </w:pPr>
      <w:r>
        <w:rPr>
          <w:rFonts w:ascii="Consolas" w:cs="Consolas" w:eastAsia="Consolas" w:hAnsi="Consolas"/>
          <w:color w:val="222222"/>
          <w:sz w:val="20"/>
          <w:szCs w:val="20"/>
        </w:rPr>
        <w:t xml:space="preserve">ts_sp30n</w:t>
      </w:r>
      <w:r>
        <w:rPr>
          <w:rFonts w:ascii="Georgia" w:cs="Georgia" w:eastAsia="Georgia" w:hAnsi="Georgia"/>
          <w:color w:val="111111"/>
          <w:sz w:val="22"/>
          <w:szCs w:val="22"/>
        </w:rPr>
        <w:t xml:space="preserve">  </w:t>
      </w:r>
      <w:r>
        <w:rPr>
          <w:rFonts w:ascii="Georgia" w:cs="Georgia" w:eastAsia="Georgia" w:hAnsi="Georgia"/>
          <w:b/>
          <w:bCs/>
          <w:color w:val="111111"/>
          <w:sz w:val="22"/>
          <w:szCs w:val="22"/>
        </w:rPr>
        <w:t xml:space="preserve">Deduplication method</w:t>
      </w:r>
      <w:r>
        <w:rPr>
          <w:rFonts w:ascii="Georgia" w:cs="Georgia" w:eastAsia="Georgia" w:hAnsi="Georgia"/>
          <w:color w:val="111111"/>
          <w:sz w:val="22"/>
          <w:szCs w:val="22"/>
        </w:rPr>
        <w:t xml:space="preserve">. A dropdown with three options: </w:t>
      </w:r>
      <w:r>
        <w:rPr>
          <w:rFonts w:ascii="Georgia" w:cs="Georgia" w:eastAsia="Georgia" w:hAnsi="Georgia"/>
          <w:b/>
          <w:bCs/>
          <w:color w:val="111111"/>
          <w:sz w:val="22"/>
          <w:szCs w:val="22"/>
        </w:rPr>
        <w:t xml:space="preserve">Individual</w:t>
      </w:r>
      <w:r>
        <w:rPr>
          <w:rFonts w:ascii="Georgia" w:cs="Georgia" w:eastAsia="Georgia" w:hAnsi="Georgia"/>
          <w:color w:val="111111"/>
          <w:sz w:val="22"/>
          <w:szCs w:val="22"/>
        </w:rPr>
        <w:t xml:space="preserve"> (Full Name + Address), </w:t>
      </w:r>
      <w:r>
        <w:rPr>
          <w:rFonts w:ascii="Georgia" w:cs="Georgia" w:eastAsia="Georgia" w:hAnsi="Georgia"/>
          <w:b/>
          <w:bCs/>
          <w:color w:val="111111"/>
          <w:sz w:val="22"/>
          <w:szCs w:val="22"/>
        </w:rPr>
        <w:t xml:space="preserve">Household</w:t>
      </w:r>
      <w:r>
        <w:rPr>
          <w:rFonts w:ascii="Georgia" w:cs="Georgia" w:eastAsia="Georgia" w:hAnsi="Georgia"/>
          <w:color w:val="111111"/>
          <w:sz w:val="22"/>
          <w:szCs w:val="22"/>
        </w:rPr>
        <w:t xml:space="preserve"> (Last Name + Address), and </w:t>
      </w:r>
      <w:r>
        <w:rPr>
          <w:rFonts w:ascii="Georgia" w:cs="Georgia" w:eastAsia="Georgia" w:hAnsi="Georgia"/>
          <w:b/>
          <w:bCs/>
          <w:color w:val="111111"/>
          <w:sz w:val="22"/>
          <w:szCs w:val="22"/>
        </w:rPr>
        <w:t xml:space="preserve">Residential</w:t>
      </w:r>
      <w:r>
        <w:rPr>
          <w:rFonts w:ascii="Georgia" w:cs="Georgia" w:eastAsia="Georgia" w:hAnsi="Georgia"/>
          <w:color w:val="111111"/>
          <w:sz w:val="22"/>
          <w:szCs w:val="22"/>
        </w:rPr>
        <w:t xml:space="preserve"> (Address only). Its sibling toggle is </w:t>
      </w:r>
      <w:r>
        <w:rPr>
          <w:rFonts w:ascii="Consolas" w:cs="Consolas" w:eastAsia="Consolas" w:hAnsi="Consolas"/>
          <w:color w:val="222222"/>
          <w:sz w:val="20"/>
          <w:szCs w:val="20"/>
        </w:rPr>
        <w:t xml:space="preserve">ts_sp30</w:t>
      </w:r>
      <w:r>
        <w:rPr>
          <w:rFonts w:ascii="Georgia" w:cs="Georgia" w:eastAsia="Georgia" w:hAnsi="Georgia"/>
          <w:color w:val="111111"/>
          <w:sz w:val="22"/>
          <w:szCs w:val="22"/>
        </w:rPr>
        <w:t xml:space="preserve">.</w:t>
      </w:r>
    </w:p>
    <w:p>
      <w:pPr>
        <w:spacing w:after="160" w:before="0" w:line="320"/>
      </w:pPr>
      <w:r>
        <w:rPr>
          <w:rFonts w:ascii="Consolas" w:cs="Consolas" w:eastAsia="Consolas" w:hAnsi="Consolas"/>
          <w:color w:val="222222"/>
          <w:sz w:val="20"/>
          <w:szCs w:val="20"/>
        </w:rPr>
        <w:t xml:space="preserve">ts_sp41n</w:t>
      </w:r>
      <w:r>
        <w:rPr>
          <w:rFonts w:ascii="Georgia" w:cs="Georgia" w:eastAsia="Georgia" w:hAnsi="Georgia"/>
          <w:color w:val="111111"/>
          <w:sz w:val="22"/>
          <w:szCs w:val="22"/>
        </w:rPr>
        <w:t xml:space="preserve">  </w:t>
      </w:r>
      <w:r>
        <w:rPr>
          <w:rFonts w:ascii="Georgia" w:cs="Georgia" w:eastAsia="Georgia" w:hAnsi="Georgia"/>
          <w:b/>
          <w:bCs/>
          <w:color w:val="111111"/>
          <w:sz w:val="22"/>
          <w:szCs w:val="22"/>
        </w:rPr>
        <w:t xml:space="preserve">File priorities</w:t>
      </w:r>
      <w:r>
        <w:rPr>
          <w:rFonts w:ascii="Georgia" w:cs="Georgia" w:eastAsia="Georgia" w:hAnsi="Georgia"/>
          <w:color w:val="111111"/>
          <w:sz w:val="22"/>
          <w:szCs w:val="22"/>
        </w:rPr>
        <w:t xml:space="preserve">. Plain text. Placeholder reads "define hierarchy (e.g., VIP &gt; General)" to steer the CSR toward the format we expect.</w:t>
      </w:r>
    </w:p>
    <w:p>
      <w:pPr>
        <w:pStyle w:val="Heading2"/>
        <w:spacing w:after="120" w:before="320"/>
      </w:pPr>
      <w:r>
        <w:rPr>
          <w:rFonts w:ascii="Helvetica" w:cs="Helvetica" w:eastAsia="Helvetica" w:hAnsi="Helvetica"/>
          <w:b/>
          <w:bCs/>
          <w:color w:val="111111"/>
          <w:sz w:val="24"/>
          <w:szCs w:val="24"/>
        </w:rPr>
        <w:t xml:space="preserve">Suppression file</w:t>
      </w:r>
    </w:p>
    <w:p>
      <w:pPr>
        <w:spacing w:after="160" w:before="0" w:line="320"/>
      </w:pPr>
      <w:r>
        <w:rPr>
          <w:rFonts w:ascii="Georgia" w:cs="Georgia" w:eastAsia="Georgia" w:hAnsi="Georgia"/>
          <w:color w:val="111111"/>
          <w:sz w:val="22"/>
          <w:szCs w:val="22"/>
        </w:rPr>
        <w:t xml:space="preserve">A sub-header above a single field.</w:t>
      </w:r>
    </w:p>
    <w:p>
      <w:pPr>
        <w:spacing w:after="160" w:before="0" w:line="320"/>
      </w:pPr>
      <w:r>
        <w:rPr>
          <w:rFonts w:ascii="Consolas" w:cs="Consolas" w:eastAsia="Consolas" w:hAnsi="Consolas"/>
          <w:color w:val="222222"/>
          <w:sz w:val="20"/>
          <w:szCs w:val="20"/>
        </w:rPr>
        <w:t xml:space="preserve">ts_sp40n</w:t>
      </w:r>
      <w:r>
        <w:rPr>
          <w:rFonts w:ascii="Georgia" w:cs="Georgia" w:eastAsia="Georgia" w:hAnsi="Georgia"/>
          <w:color w:val="111111"/>
          <w:sz w:val="22"/>
          <w:szCs w:val="22"/>
        </w:rPr>
        <w:t xml:space="preserve">  </w:t>
      </w:r>
      <w:r>
        <w:rPr>
          <w:rFonts w:ascii="Georgia" w:cs="Georgia" w:eastAsia="Georgia" w:hAnsi="Georgia"/>
          <w:b/>
          <w:bCs/>
          <w:color w:val="111111"/>
          <w:sz w:val="22"/>
          <w:szCs w:val="22"/>
        </w:rPr>
        <w:t xml:space="preserve">Suppression file match</w:t>
      </w:r>
      <w:r>
        <w:rPr>
          <w:rFonts w:ascii="Georgia" w:cs="Georgia" w:eastAsia="Georgia" w:hAnsi="Georgia"/>
          <w:color w:val="111111"/>
          <w:sz w:val="22"/>
          <w:szCs w:val="22"/>
        </w:rPr>
        <w:t xml:space="preserve">. Plain text. Placeholder asks "match by address or ID?" to prompt the CSR for the match method.</w:t>
      </w:r>
    </w:p>
    <w:p>
      <w:pPr>
        <w:pStyle w:val="Heading2"/>
        <w:spacing w:after="120" w:before="320"/>
      </w:pPr>
      <w:r>
        <w:rPr>
          <w:rFonts w:ascii="Helvetica" w:cs="Helvetica" w:eastAsia="Helvetica" w:hAnsi="Helvetica"/>
          <w:b/>
          <w:bCs/>
          <w:color w:val="111111"/>
          <w:sz w:val="24"/>
          <w:szCs w:val="24"/>
        </w:rPr>
        <w:t xml:space="preserve">Rollups / Relationships</w:t>
      </w:r>
    </w:p>
    <w:p>
      <w:pPr>
        <w:spacing w:after="160" w:before="0" w:line="320"/>
      </w:pPr>
      <w:r>
        <w:rPr>
          <w:rFonts w:ascii="Georgia" w:cs="Georgia" w:eastAsia="Georgia" w:hAnsi="Georgia"/>
          <w:color w:val="111111"/>
          <w:sz w:val="22"/>
          <w:szCs w:val="22"/>
        </w:rPr>
        <w:t xml:space="preserve">A sub-header above one field.</w:t>
      </w:r>
    </w:p>
    <w:p>
      <w:pPr>
        <w:spacing w:after="160" w:before="0" w:line="320"/>
      </w:pPr>
      <w:r>
        <w:rPr>
          <w:rFonts w:ascii="Consolas" w:cs="Consolas" w:eastAsia="Consolas" w:hAnsi="Consolas"/>
          <w:color w:val="222222"/>
          <w:sz w:val="20"/>
          <w:szCs w:val="20"/>
        </w:rPr>
        <w:t xml:space="preserve">ts_sp42n</w:t>
      </w:r>
      <w:r>
        <w:rPr>
          <w:rFonts w:ascii="Georgia" w:cs="Georgia" w:eastAsia="Georgia" w:hAnsi="Georgia"/>
          <w:color w:val="111111"/>
          <w:sz w:val="22"/>
          <w:szCs w:val="22"/>
        </w:rPr>
        <w:t xml:space="preserve">  </w:t>
      </w:r>
      <w:r>
        <w:rPr>
          <w:rFonts w:ascii="Georgia" w:cs="Georgia" w:eastAsia="Georgia" w:hAnsi="Georgia"/>
          <w:b/>
          <w:bCs/>
          <w:color w:val="111111"/>
          <w:sz w:val="22"/>
          <w:szCs w:val="22"/>
        </w:rPr>
        <w:t xml:space="preserve">Rollup logic</w:t>
      </w:r>
      <w:r>
        <w:rPr>
          <w:rFonts w:ascii="Georgia" w:cs="Georgia" w:eastAsia="Georgia" w:hAnsi="Georgia"/>
          <w:color w:val="111111"/>
          <w:sz w:val="22"/>
          <w:szCs w:val="22"/>
        </w:rPr>
        <w:t xml:space="preserve">. Plain text. Placeholder asks "any rollup logic?" Used when related records need to be treated as a single unit.</w:t>
      </w:r>
    </w:p>
    <w:p>
      <w:pPr>
        <w:spacing w:after="40" w:before="560"/>
      </w:pPr>
      <w:r>
        <w:rPr>
          <w:rFonts w:ascii="Helvetica" w:cs="Helvetica" w:eastAsia="Helvetica" w:hAnsi="Helvetica"/>
          <w:b/>
          <w:bCs/>
          <w:color w:val="C63A1E"/>
          <w:spacing w:val="60"/>
          <w:sz w:val="16"/>
          <w:szCs w:val="16"/>
        </w:rPr>
        <w:t xml:space="preserve">§ 04</w:t>
      </w:r>
    </w:p>
    <w:p>
      <w:pPr>
        <w:pStyle w:val="Heading1"/>
        <w:pBdr>
          <w:bottom w:val="single" w:color="111111" w:sz="6" w:space="8"/>
        </w:pBdr>
        <w:spacing w:after="160" w:before="0"/>
      </w:pPr>
      <w:r>
        <w:rPr>
          <w:rFonts w:ascii="Helvetica" w:cs="Helvetica" w:eastAsia="Helvetica" w:hAnsi="Helvetica"/>
          <w:b/>
          <w:bCs/>
          <w:color w:val="111111"/>
          <w:sz w:val="40"/>
          <w:szCs w:val="40"/>
        </w:rPr>
        <w:t xml:space="preserve">Presort</w:t>
      </w:r>
    </w:p>
    <w:p>
      <w:pPr>
        <w:spacing w:after="160" w:before="0" w:line="320"/>
      </w:pPr>
      <w:r>
        <w:rPr>
          <w:rFonts w:ascii="Georgia" w:cs="Georgia" w:eastAsia="Georgia" w:hAnsi="Georgia"/>
          <w:color w:val="111111"/>
          <w:sz w:val="22"/>
          <w:szCs w:val="22"/>
        </w:rPr>
        <w:t xml:space="preserve">A placeholder section. </w:t>
      </w:r>
      <w:r>
        <w:rPr>
          <w:rFonts w:ascii="Georgia" w:cs="Georgia" w:eastAsia="Georgia" w:hAnsi="Georgia"/>
          <w:color w:val="111111"/>
          <w:sz w:val="22"/>
          <w:szCs w:val="22"/>
        </w:rPr>
        <w:t xml:space="preserve">Two collapsible sub-sections, both collapsed by default, both carrying a "See Midnight For Specs" badge. Fields are transcribed from a Midnight Data/Postage tab screenshot; Jason confirms the final list and options.</w:t>
      </w:r>
    </w:p>
    <w:p>
      <w:pPr>
        <w:spacing w:after="160" w:before="0" w:line="320"/>
      </w:pPr>
      <w:r>
        <w:rPr>
          <w:rFonts w:ascii="Georgia" w:cs="Georgia" w:eastAsia="Georgia" w:hAnsi="Georgia"/>
          <w:color w:val="111111"/>
          <w:sz w:val="22"/>
          <w:szCs w:val="22"/>
        </w:rPr>
        <w:t xml:space="preserve">All dropdown options are empty on the first pass. The combo-boxes accept free text. When Jason supplies the real option lists, filling one in is a one-line edit inside the PRESORT_OPTIONS map.</w:t>
      </w:r>
    </w:p>
    <w:p>
      <w:pPr>
        <w:pStyle w:val="Heading2"/>
        <w:spacing w:after="120" w:before="320"/>
      </w:pPr>
      <w:r>
        <w:rPr>
          <w:rFonts w:ascii="Helvetica" w:cs="Helvetica" w:eastAsia="Helvetica" w:hAnsi="Helvetica"/>
          <w:b/>
          <w:bCs/>
          <w:color w:val="111111"/>
          <w:sz w:val="24"/>
          <w:szCs w:val="24"/>
        </w:rPr>
        <w:t xml:space="preserve">4a · Sortation / Postage</w:t>
      </w:r>
    </w:p>
    <w:p>
      <w:pPr>
        <w:spacing w:after="160" w:before="0" w:line="320"/>
      </w:pPr>
      <w:r>
        <w:rPr>
          <w:rFonts w:ascii="Georgia" w:cs="Georgia" w:eastAsia="Georgia" w:hAnsi="Georgia"/>
          <w:color w:val="111111"/>
          <w:sz w:val="22"/>
          <w:szCs w:val="22"/>
        </w:rPr>
        <w:t xml:space="preserve">Field IDs </w:t>
      </w:r>
      <w:r>
        <w:rPr>
          <w:rFonts w:ascii="Consolas" w:cs="Consolas" w:eastAsia="Consolas" w:hAnsi="Consolas"/>
          <w:color w:val="222222"/>
          <w:sz w:val="20"/>
          <w:szCs w:val="20"/>
        </w:rPr>
        <w:t xml:space="preserve">ts_sp50n</w:t>
      </w:r>
      <w:r>
        <w:rPr>
          <w:rFonts w:ascii="Georgia" w:cs="Georgia" w:eastAsia="Georgia" w:hAnsi="Georgia"/>
          <w:color w:val="111111"/>
          <w:sz w:val="22"/>
          <w:szCs w:val="22"/>
        </w:rPr>
        <w:t xml:space="preserve"> through </w:t>
      </w:r>
      <w:r>
        <w:rPr>
          <w:rFonts w:ascii="Consolas" w:cs="Consolas" w:eastAsia="Consolas" w:hAnsi="Consolas"/>
          <w:color w:val="222222"/>
          <w:sz w:val="20"/>
          <w:szCs w:val="20"/>
        </w:rPr>
        <w:t xml:space="preserve">ts_sp64n</w:t>
      </w:r>
      <w:r>
        <w:rPr>
          <w:rFonts w:ascii="Georgia" w:cs="Georgia" w:eastAsia="Georgia" w:hAnsi="Georgia"/>
          <w:color w:val="111111"/>
          <w:sz w:val="22"/>
          <w:szCs w:val="22"/>
        </w:rPr>
        <w:t xml:space="preserve">. Fifteen fields:</w:t>
      </w:r>
    </w:p>
    <w:p>
      <w:pPr>
        <w:pStyle w:val="ListParagraph"/>
        <w:numPr>
          <w:ilvl w:val="0"/>
          <w:numId w:val="2"/>
        </w:numPr>
        <w:spacing w:after="40" w:before="40" w:line="320"/>
      </w:pPr>
      <w:r>
        <w:rPr>
          <w:rFonts w:ascii="Georgia" w:cs="Georgia" w:eastAsia="Georgia" w:hAnsi="Georgia"/>
          <w:color w:val="111111"/>
          <w:sz w:val="22"/>
          <w:szCs w:val="22"/>
        </w:rPr>
        <w:t xml:space="preserve">Sort</w:t>
      </w:r>
    </w:p>
    <w:p>
      <w:pPr>
        <w:pStyle w:val="ListParagraph"/>
        <w:numPr>
          <w:ilvl w:val="0"/>
          <w:numId w:val="2"/>
        </w:numPr>
        <w:spacing w:after="40" w:before="40" w:line="320"/>
      </w:pPr>
      <w:r>
        <w:rPr>
          <w:rFonts w:ascii="Georgia" w:cs="Georgia" w:eastAsia="Georgia" w:hAnsi="Georgia"/>
          <w:color w:val="111111"/>
          <w:sz w:val="22"/>
          <w:szCs w:val="22"/>
        </w:rPr>
        <w:t xml:space="preserve">Classification Type</w:t>
      </w:r>
    </w:p>
    <w:p>
      <w:pPr>
        <w:pStyle w:val="ListParagraph"/>
        <w:numPr>
          <w:ilvl w:val="0"/>
          <w:numId w:val="2"/>
        </w:numPr>
        <w:spacing w:after="40" w:before="40" w:line="320"/>
      </w:pPr>
      <w:r>
        <w:rPr>
          <w:rFonts w:ascii="Georgia" w:cs="Georgia" w:eastAsia="Georgia" w:hAnsi="Georgia"/>
          <w:color w:val="111111"/>
          <w:sz w:val="22"/>
          <w:szCs w:val="22"/>
        </w:rPr>
        <w:t xml:space="preserve">Post Affix</w:t>
      </w:r>
    </w:p>
    <w:p>
      <w:pPr>
        <w:pStyle w:val="ListParagraph"/>
        <w:numPr>
          <w:ilvl w:val="0"/>
          <w:numId w:val="2"/>
        </w:numPr>
        <w:spacing w:after="40" w:before="40" w:line="320"/>
      </w:pPr>
      <w:r>
        <w:rPr>
          <w:rFonts w:ascii="Georgia" w:cs="Georgia" w:eastAsia="Georgia" w:hAnsi="Georgia"/>
          <w:color w:val="111111"/>
          <w:sz w:val="22"/>
          <w:szCs w:val="22"/>
        </w:rPr>
        <w:t xml:space="preserve">Post $ Reqd</w:t>
      </w:r>
    </w:p>
    <w:p>
      <w:pPr>
        <w:pStyle w:val="ListParagraph"/>
        <w:numPr>
          <w:ilvl w:val="0"/>
          <w:numId w:val="2"/>
        </w:numPr>
        <w:spacing w:after="40" w:before="40" w:line="320"/>
      </w:pPr>
      <w:r>
        <w:rPr>
          <w:rFonts w:ascii="Georgia" w:cs="Georgia" w:eastAsia="Georgia" w:hAnsi="Georgia"/>
          <w:color w:val="111111"/>
          <w:sz w:val="22"/>
          <w:szCs w:val="22"/>
        </w:rPr>
        <w:t xml:space="preserve">Geo</w:t>
      </w:r>
    </w:p>
    <w:p>
      <w:pPr>
        <w:pStyle w:val="ListParagraph"/>
        <w:numPr>
          <w:ilvl w:val="0"/>
          <w:numId w:val="2"/>
        </w:numPr>
        <w:spacing w:after="40" w:before="40" w:line="320"/>
      </w:pPr>
      <w:r>
        <w:rPr>
          <w:rFonts w:ascii="Georgia" w:cs="Georgia" w:eastAsia="Georgia" w:hAnsi="Georgia"/>
          <w:color w:val="111111"/>
          <w:sz w:val="22"/>
          <w:szCs w:val="22"/>
        </w:rPr>
        <w:t xml:space="preserve">Cat</w:t>
      </w:r>
    </w:p>
    <w:p>
      <w:pPr>
        <w:pStyle w:val="ListParagraph"/>
        <w:numPr>
          <w:ilvl w:val="0"/>
          <w:numId w:val="2"/>
        </w:numPr>
        <w:spacing w:after="40" w:before="40" w:line="320"/>
      </w:pPr>
      <w:r>
        <w:rPr>
          <w:rFonts w:ascii="Georgia" w:cs="Georgia" w:eastAsia="Georgia" w:hAnsi="Georgia"/>
          <w:color w:val="111111"/>
          <w:sz w:val="22"/>
          <w:szCs w:val="22"/>
        </w:rPr>
        <w:t xml:space="preserve">Permit #</w:t>
      </w:r>
    </w:p>
    <w:p>
      <w:pPr>
        <w:pStyle w:val="ListParagraph"/>
        <w:numPr>
          <w:ilvl w:val="0"/>
          <w:numId w:val="2"/>
        </w:numPr>
        <w:spacing w:after="40" w:before="40" w:line="320"/>
      </w:pPr>
      <w:r>
        <w:rPr>
          <w:rFonts w:ascii="Georgia" w:cs="Georgia" w:eastAsia="Georgia" w:hAnsi="Georgia"/>
          <w:color w:val="111111"/>
          <w:sz w:val="22"/>
          <w:szCs w:val="22"/>
        </w:rPr>
        <w:t xml:space="preserve">Postage Due</w:t>
      </w:r>
    </w:p>
    <w:p>
      <w:pPr>
        <w:pStyle w:val="ListParagraph"/>
        <w:numPr>
          <w:ilvl w:val="0"/>
          <w:numId w:val="2"/>
        </w:numPr>
        <w:spacing w:after="40" w:before="40" w:line="320"/>
      </w:pPr>
      <w:r>
        <w:rPr>
          <w:rFonts w:ascii="Georgia" w:cs="Georgia" w:eastAsia="Georgia" w:hAnsi="Georgia"/>
          <w:color w:val="111111"/>
          <w:sz w:val="22"/>
          <w:szCs w:val="22"/>
        </w:rPr>
        <w:t xml:space="preserve">Ghost #</w:t>
      </w:r>
    </w:p>
    <w:p>
      <w:pPr>
        <w:pStyle w:val="ListParagraph"/>
        <w:numPr>
          <w:ilvl w:val="0"/>
          <w:numId w:val="2"/>
        </w:numPr>
        <w:spacing w:after="40" w:before="40" w:line="320"/>
      </w:pPr>
      <w:r>
        <w:rPr>
          <w:rFonts w:ascii="Georgia" w:cs="Georgia" w:eastAsia="Georgia" w:hAnsi="Georgia"/>
          <w:color w:val="111111"/>
          <w:sz w:val="22"/>
          <w:szCs w:val="22"/>
        </w:rPr>
        <w:t xml:space="preserve">NonProfit Auth #</w:t>
      </w:r>
    </w:p>
    <w:p>
      <w:pPr>
        <w:pStyle w:val="ListParagraph"/>
        <w:numPr>
          <w:ilvl w:val="0"/>
          <w:numId w:val="2"/>
        </w:numPr>
        <w:spacing w:after="40" w:before="40" w:line="320"/>
      </w:pPr>
      <w:r>
        <w:rPr>
          <w:rFonts w:ascii="Georgia" w:cs="Georgia" w:eastAsia="Georgia" w:hAnsi="Georgia"/>
          <w:color w:val="111111"/>
          <w:sz w:val="22"/>
          <w:szCs w:val="22"/>
        </w:rPr>
        <w:t xml:space="preserve">Holder</w:t>
      </w:r>
    </w:p>
    <w:p>
      <w:pPr>
        <w:pStyle w:val="ListParagraph"/>
        <w:numPr>
          <w:ilvl w:val="0"/>
          <w:numId w:val="2"/>
        </w:numPr>
        <w:spacing w:after="40" w:before="40" w:line="320"/>
      </w:pPr>
      <w:r>
        <w:rPr>
          <w:rFonts w:ascii="Georgia" w:cs="Georgia" w:eastAsia="Georgia" w:hAnsi="Georgia"/>
          <w:color w:val="111111"/>
          <w:sz w:val="22"/>
          <w:szCs w:val="22"/>
        </w:rPr>
        <w:t xml:space="preserve">Post Status</w:t>
      </w:r>
    </w:p>
    <w:p>
      <w:pPr>
        <w:pStyle w:val="ListParagraph"/>
        <w:numPr>
          <w:ilvl w:val="0"/>
          <w:numId w:val="2"/>
        </w:numPr>
        <w:spacing w:after="40" w:before="40" w:line="320"/>
      </w:pPr>
      <w:r>
        <w:rPr>
          <w:rFonts w:ascii="Georgia" w:cs="Georgia" w:eastAsia="Georgia" w:hAnsi="Georgia"/>
          <w:color w:val="111111"/>
          <w:sz w:val="22"/>
          <w:szCs w:val="22"/>
        </w:rPr>
        <w:t xml:space="preserve">MailerID</w:t>
      </w:r>
    </w:p>
    <w:p>
      <w:pPr>
        <w:pStyle w:val="ListParagraph"/>
        <w:numPr>
          <w:ilvl w:val="0"/>
          <w:numId w:val="2"/>
        </w:numPr>
        <w:spacing w:after="40" w:before="40" w:line="320"/>
      </w:pPr>
      <w:r>
        <w:rPr>
          <w:rFonts w:ascii="Georgia" w:cs="Georgia" w:eastAsia="Georgia" w:hAnsi="Georgia"/>
          <w:color w:val="111111"/>
          <w:sz w:val="22"/>
          <w:szCs w:val="22"/>
        </w:rPr>
        <w:t xml:space="preserve">Cust Reg ID</w:t>
      </w:r>
    </w:p>
    <w:p>
      <w:pPr>
        <w:pStyle w:val="ListParagraph"/>
        <w:numPr>
          <w:ilvl w:val="0"/>
          <w:numId w:val="2"/>
        </w:numPr>
        <w:spacing w:after="40" w:before="40" w:line="320"/>
      </w:pPr>
      <w:r>
        <w:rPr>
          <w:rFonts w:ascii="Georgia" w:cs="Georgia" w:eastAsia="Georgia" w:hAnsi="Georgia"/>
          <w:color w:val="111111"/>
          <w:sz w:val="22"/>
          <w:szCs w:val="22"/>
        </w:rPr>
        <w:t xml:space="preserve">Meter #</w:t>
      </w:r>
    </w:p>
    <w:p>
      <w:pPr>
        <w:pStyle w:val="Heading2"/>
        <w:spacing w:after="120" w:before="320"/>
      </w:pPr>
      <w:r>
        <w:rPr>
          <w:rFonts w:ascii="Helvetica" w:cs="Helvetica" w:eastAsia="Helvetica" w:hAnsi="Helvetica"/>
          <w:b/>
          <w:bCs/>
          <w:color w:val="111111"/>
          <w:sz w:val="24"/>
          <w:szCs w:val="24"/>
        </w:rPr>
        <w:t xml:space="preserve">4b · Data Processing</w:t>
      </w:r>
    </w:p>
    <w:p>
      <w:pPr>
        <w:spacing w:after="160" w:before="0" w:line="320"/>
      </w:pPr>
      <w:r>
        <w:rPr>
          <w:rFonts w:ascii="Georgia" w:cs="Georgia" w:eastAsia="Georgia" w:hAnsi="Georgia"/>
          <w:color w:val="111111"/>
          <w:sz w:val="22"/>
          <w:szCs w:val="22"/>
        </w:rPr>
        <w:t xml:space="preserve">Field IDs </w:t>
      </w:r>
      <w:r>
        <w:rPr>
          <w:rFonts w:ascii="Consolas" w:cs="Consolas" w:eastAsia="Consolas" w:hAnsi="Consolas"/>
          <w:color w:val="222222"/>
          <w:sz w:val="20"/>
          <w:szCs w:val="20"/>
        </w:rPr>
        <w:t xml:space="preserve">ts_sp70n</w:t>
      </w:r>
      <w:r>
        <w:rPr>
          <w:rFonts w:ascii="Georgia" w:cs="Georgia" w:eastAsia="Georgia" w:hAnsi="Georgia"/>
          <w:color w:val="111111"/>
          <w:sz w:val="22"/>
          <w:szCs w:val="22"/>
        </w:rPr>
        <w:t xml:space="preserve"> through </w:t>
      </w:r>
      <w:r>
        <w:rPr>
          <w:rFonts w:ascii="Consolas" w:cs="Consolas" w:eastAsia="Consolas" w:hAnsi="Consolas"/>
          <w:color w:val="222222"/>
          <w:sz w:val="20"/>
          <w:szCs w:val="20"/>
        </w:rPr>
        <w:t xml:space="preserve">ts_sp84n</w:t>
      </w:r>
      <w:r>
        <w:rPr>
          <w:rFonts w:ascii="Georgia" w:cs="Georgia" w:eastAsia="Georgia" w:hAnsi="Georgia"/>
          <w:color w:val="111111"/>
          <w:sz w:val="22"/>
          <w:szCs w:val="22"/>
        </w:rPr>
        <w:t xml:space="preserve">. Fifteen fields:</w:t>
      </w:r>
    </w:p>
    <w:p>
      <w:pPr>
        <w:pStyle w:val="ListParagraph"/>
        <w:numPr>
          <w:ilvl w:val="0"/>
          <w:numId w:val="2"/>
        </w:numPr>
        <w:spacing w:after="40" w:before="40" w:line="320"/>
      </w:pPr>
      <w:r>
        <w:rPr>
          <w:rFonts w:ascii="Georgia" w:cs="Georgia" w:eastAsia="Georgia" w:hAnsi="Georgia"/>
          <w:color w:val="111111"/>
          <w:sz w:val="22"/>
          <w:szCs w:val="22"/>
        </w:rPr>
        <w:t xml:space="preserve">DP in Start</w:t>
      </w:r>
    </w:p>
    <w:p>
      <w:pPr>
        <w:pStyle w:val="ListParagraph"/>
        <w:numPr>
          <w:ilvl w:val="0"/>
          <w:numId w:val="2"/>
        </w:numPr>
        <w:spacing w:after="40" w:before="40" w:line="320"/>
      </w:pPr>
      <w:r>
        <w:rPr>
          <w:rFonts w:ascii="Georgia" w:cs="Georgia" w:eastAsia="Georgia" w:hAnsi="Georgia"/>
          <w:color w:val="111111"/>
          <w:sz w:val="22"/>
          <w:szCs w:val="22"/>
        </w:rPr>
        <w:t xml:space="preserve">DP Out Date</w:t>
      </w:r>
    </w:p>
    <w:p>
      <w:pPr>
        <w:pStyle w:val="ListParagraph"/>
        <w:numPr>
          <w:ilvl w:val="0"/>
          <w:numId w:val="2"/>
        </w:numPr>
        <w:spacing w:after="40" w:before="40" w:line="320"/>
      </w:pPr>
      <w:r>
        <w:rPr>
          <w:rFonts w:ascii="Georgia" w:cs="Georgia" w:eastAsia="Georgia" w:hAnsi="Georgia"/>
          <w:color w:val="111111"/>
          <w:sz w:val="22"/>
          <w:szCs w:val="22"/>
        </w:rPr>
        <w:t xml:space="preserve">DP Out Time</w:t>
      </w:r>
    </w:p>
    <w:p>
      <w:pPr>
        <w:pStyle w:val="ListParagraph"/>
        <w:numPr>
          <w:ilvl w:val="0"/>
          <w:numId w:val="2"/>
        </w:numPr>
        <w:spacing w:after="40" w:before="40" w:line="320"/>
      </w:pPr>
      <w:r>
        <w:rPr>
          <w:rFonts w:ascii="Georgia" w:cs="Georgia" w:eastAsia="Georgia" w:hAnsi="Georgia"/>
          <w:color w:val="111111"/>
          <w:sz w:val="22"/>
          <w:szCs w:val="22"/>
        </w:rPr>
        <w:t xml:space="preserve">PO Drop</w:t>
      </w:r>
    </w:p>
    <w:p>
      <w:pPr>
        <w:pStyle w:val="ListParagraph"/>
        <w:numPr>
          <w:ilvl w:val="0"/>
          <w:numId w:val="2"/>
        </w:numPr>
        <w:spacing w:after="40" w:before="40" w:line="320"/>
      </w:pPr>
      <w:r>
        <w:rPr>
          <w:rFonts w:ascii="Georgia" w:cs="Georgia" w:eastAsia="Georgia" w:hAnsi="Georgia"/>
          <w:color w:val="111111"/>
          <w:sz w:val="22"/>
          <w:szCs w:val="22"/>
        </w:rPr>
        <w:t xml:space="preserve">Weight (oz)</w:t>
      </w:r>
    </w:p>
    <w:p>
      <w:pPr>
        <w:pStyle w:val="ListParagraph"/>
        <w:numPr>
          <w:ilvl w:val="0"/>
          <w:numId w:val="2"/>
        </w:numPr>
        <w:spacing w:after="40" w:before="40" w:line="320"/>
      </w:pPr>
      <w:r>
        <w:rPr>
          <w:rFonts w:ascii="Georgia" w:cs="Georgia" w:eastAsia="Georgia" w:hAnsi="Georgia"/>
          <w:color w:val="111111"/>
          <w:sz w:val="22"/>
          <w:szCs w:val="22"/>
        </w:rPr>
        <w:t xml:space="preserve">Thickness</w:t>
      </w:r>
    </w:p>
    <w:p>
      <w:pPr>
        <w:pStyle w:val="ListParagraph"/>
        <w:numPr>
          <w:ilvl w:val="0"/>
          <w:numId w:val="2"/>
        </w:numPr>
        <w:spacing w:after="40" w:before="40" w:line="320"/>
      </w:pPr>
      <w:r>
        <w:rPr>
          <w:rFonts w:ascii="Georgia" w:cs="Georgia" w:eastAsia="Georgia" w:hAnsi="Georgia"/>
          <w:color w:val="111111"/>
          <w:sz w:val="22"/>
          <w:szCs w:val="22"/>
        </w:rPr>
        <w:t xml:space="preserve">Height</w:t>
      </w:r>
    </w:p>
    <w:p>
      <w:pPr>
        <w:pStyle w:val="ListParagraph"/>
        <w:numPr>
          <w:ilvl w:val="0"/>
          <w:numId w:val="2"/>
        </w:numPr>
        <w:spacing w:after="40" w:before="40" w:line="320"/>
      </w:pPr>
      <w:r>
        <w:rPr>
          <w:rFonts w:ascii="Georgia" w:cs="Georgia" w:eastAsia="Georgia" w:hAnsi="Georgia"/>
          <w:color w:val="111111"/>
          <w:sz w:val="22"/>
          <w:szCs w:val="22"/>
        </w:rPr>
        <w:t xml:space="preserve">Width</w:t>
      </w:r>
    </w:p>
    <w:p>
      <w:pPr>
        <w:pStyle w:val="ListParagraph"/>
        <w:numPr>
          <w:ilvl w:val="0"/>
          <w:numId w:val="2"/>
        </w:numPr>
        <w:spacing w:after="40" w:before="40" w:line="320"/>
      </w:pPr>
      <w:r>
        <w:rPr>
          <w:rFonts w:ascii="Georgia" w:cs="Georgia" w:eastAsia="Georgia" w:hAnsi="Georgia"/>
          <w:color w:val="111111"/>
          <w:sz w:val="22"/>
          <w:szCs w:val="22"/>
        </w:rPr>
        <w:t xml:space="preserve">Canadian Records</w:t>
      </w:r>
    </w:p>
    <w:p>
      <w:pPr>
        <w:pStyle w:val="ListParagraph"/>
        <w:numPr>
          <w:ilvl w:val="0"/>
          <w:numId w:val="2"/>
        </w:numPr>
        <w:spacing w:after="40" w:before="40" w:line="320"/>
      </w:pPr>
      <w:r>
        <w:rPr>
          <w:rFonts w:ascii="Georgia" w:cs="Georgia" w:eastAsia="Georgia" w:hAnsi="Georgia"/>
          <w:color w:val="111111"/>
          <w:sz w:val="22"/>
          <w:szCs w:val="22"/>
        </w:rPr>
        <w:t xml:space="preserve">Foreign Records</w:t>
      </w:r>
    </w:p>
    <w:p>
      <w:pPr>
        <w:pStyle w:val="ListParagraph"/>
        <w:numPr>
          <w:ilvl w:val="0"/>
          <w:numId w:val="2"/>
        </w:numPr>
        <w:spacing w:after="40" w:before="40" w:line="320"/>
      </w:pPr>
      <w:r>
        <w:rPr>
          <w:rFonts w:ascii="Georgia" w:cs="Georgia" w:eastAsia="Georgia" w:hAnsi="Georgia"/>
          <w:color w:val="111111"/>
          <w:sz w:val="22"/>
          <w:szCs w:val="22"/>
        </w:rPr>
        <w:t xml:space="preserve">Unmailables</w:t>
      </w:r>
    </w:p>
    <w:p>
      <w:pPr>
        <w:pStyle w:val="ListParagraph"/>
        <w:numPr>
          <w:ilvl w:val="0"/>
          <w:numId w:val="2"/>
        </w:numPr>
        <w:spacing w:after="40" w:before="40" w:line="320"/>
      </w:pPr>
      <w:r>
        <w:rPr>
          <w:rFonts w:ascii="Georgia" w:cs="Georgia" w:eastAsia="Georgia" w:hAnsi="Georgia"/>
          <w:color w:val="111111"/>
          <w:sz w:val="22"/>
          <w:szCs w:val="22"/>
        </w:rPr>
        <w:t xml:space="preserve">Act $ Billed</w:t>
      </w:r>
    </w:p>
    <w:p>
      <w:pPr>
        <w:pStyle w:val="ListParagraph"/>
        <w:numPr>
          <w:ilvl w:val="0"/>
          <w:numId w:val="2"/>
        </w:numPr>
        <w:spacing w:after="40" w:before="40" w:line="320"/>
      </w:pPr>
      <w:r>
        <w:rPr>
          <w:rFonts w:ascii="Georgia" w:cs="Georgia" w:eastAsia="Georgia" w:hAnsi="Georgia"/>
          <w:color w:val="111111"/>
          <w:sz w:val="22"/>
          <w:szCs w:val="22"/>
        </w:rPr>
        <w:t xml:space="preserve">DP Initials</w:t>
      </w:r>
    </w:p>
    <w:p>
      <w:pPr>
        <w:pStyle w:val="ListParagraph"/>
        <w:numPr>
          <w:ilvl w:val="0"/>
          <w:numId w:val="2"/>
        </w:numPr>
        <w:spacing w:after="40" w:before="40" w:line="320"/>
      </w:pPr>
      <w:r>
        <w:rPr>
          <w:rFonts w:ascii="Georgia" w:cs="Georgia" w:eastAsia="Georgia" w:hAnsi="Georgia"/>
          <w:color w:val="111111"/>
          <w:sz w:val="22"/>
          <w:szCs w:val="22"/>
        </w:rPr>
        <w:t xml:space="preserve">Data Checked</w:t>
      </w:r>
    </w:p>
    <w:p>
      <w:pPr>
        <w:pStyle w:val="ListParagraph"/>
        <w:numPr>
          <w:ilvl w:val="0"/>
          <w:numId w:val="2"/>
        </w:numPr>
        <w:spacing w:after="40" w:before="40" w:line="320"/>
      </w:pPr>
      <w:r>
        <w:rPr>
          <w:rFonts w:ascii="Georgia" w:cs="Georgia" w:eastAsia="Georgia" w:hAnsi="Georgia"/>
          <w:color w:val="111111"/>
          <w:sz w:val="22"/>
          <w:szCs w:val="22"/>
        </w:rPr>
        <w:t xml:space="preserve">Actual Qty DP</w:t>
      </w:r>
    </w:p>
    <w:p>
      <w:pPr>
        <w:spacing w:after="40" w:before="560"/>
      </w:pPr>
      <w:r>
        <w:rPr>
          <w:rFonts w:ascii="Helvetica" w:cs="Helvetica" w:eastAsia="Helvetica" w:hAnsi="Helvetica"/>
          <w:b/>
          <w:bCs/>
          <w:color w:val="C63A1E"/>
          <w:spacing w:val="60"/>
          <w:sz w:val="16"/>
          <w:szCs w:val="16"/>
        </w:rPr>
        <w:t xml:space="preserve">§ 05</w:t>
      </w:r>
    </w:p>
    <w:p>
      <w:pPr>
        <w:pStyle w:val="Heading1"/>
        <w:pBdr>
          <w:bottom w:val="single" w:color="111111" w:sz="6" w:space="8"/>
        </w:pBdr>
        <w:spacing w:after="160" w:before="0"/>
      </w:pPr>
      <w:r>
        <w:rPr>
          <w:rFonts w:ascii="Helvetica" w:cs="Helvetica" w:eastAsia="Helvetica" w:hAnsi="Helvetica"/>
          <w:b/>
          <w:bCs/>
          <w:color w:val="111111"/>
          <w:sz w:val="40"/>
          <w:szCs w:val="40"/>
        </w:rPr>
        <w:t xml:space="preserve">Print</w:t>
      </w:r>
    </w:p>
    <w:p>
      <w:pPr>
        <w:spacing w:after="160" w:before="0" w:line="320"/>
      </w:pPr>
      <w:r>
        <w:rPr>
          <w:rFonts w:ascii="Georgia" w:cs="Georgia" w:eastAsia="Georgia" w:hAnsi="Georgia"/>
          <w:color w:val="111111"/>
          <w:sz w:val="22"/>
          <w:szCs w:val="22"/>
        </w:rPr>
        <w:t xml:space="preserve">The smallest section on the form. Six fields covering meetings, variables, versions, and samples.</w:t>
      </w:r>
    </w:p>
    <w:p>
      <w:pPr>
        <w:spacing w:after="160" w:before="0" w:line="320"/>
      </w:pPr>
      <w:r>
        <w:rPr>
          <w:rFonts w:ascii="Consolas" w:cs="Consolas" w:eastAsia="Consolas" w:hAnsi="Consolas"/>
          <w:color w:val="222222"/>
          <w:sz w:val="20"/>
          <w:szCs w:val="20"/>
        </w:rPr>
        <w:t xml:space="preserve">ts_cb90</w:t>
      </w:r>
      <w:r>
        <w:rPr>
          <w:rFonts w:ascii="Georgia" w:cs="Georgia" w:eastAsia="Georgia" w:hAnsi="Georgia"/>
          <w:color w:val="111111"/>
          <w:sz w:val="22"/>
          <w:szCs w:val="22"/>
        </w:rPr>
        <w:t xml:space="preserve">  </w:t>
      </w:r>
      <w:r>
        <w:rPr>
          <w:rFonts w:ascii="Georgia" w:cs="Georgia" w:eastAsia="Georgia" w:hAnsi="Georgia"/>
          <w:b/>
          <w:bCs/>
          <w:color w:val="111111"/>
          <w:sz w:val="22"/>
          <w:szCs w:val="22"/>
        </w:rPr>
        <w:t xml:space="preserve">Meeting required</w:t>
      </w:r>
      <w:r>
        <w:rPr>
          <w:rFonts w:ascii="Georgia" w:cs="Georgia" w:eastAsia="Georgia" w:hAnsi="Georgia"/>
          <w:color w:val="111111"/>
          <w:sz w:val="22"/>
          <w:szCs w:val="22"/>
        </w:rPr>
        <w:t xml:space="preserve">. A checkbox paired with a multi-select people-picker. When the picker opens, it shows a merged roster of Prepress, TS, and CSR quick-pick contacts. The chosen names are saved comma-separated in </w:t>
      </w:r>
      <w:r>
        <w:rPr>
          <w:rFonts w:ascii="Consolas" w:cs="Consolas" w:eastAsia="Consolas" w:hAnsi="Consolas"/>
          <w:color w:val="222222"/>
          <w:sz w:val="20"/>
          <w:szCs w:val="20"/>
        </w:rPr>
        <w:t xml:space="preserve">ts_cb90_attendees</w:t>
      </w:r>
      <w:r>
        <w:rPr>
          <w:rFonts w:ascii="Georgia" w:cs="Georgia" w:eastAsia="Georgia" w:hAnsi="Georgia"/>
          <w:color w:val="111111"/>
          <w:sz w:val="22"/>
          <w:szCs w:val="22"/>
        </w:rPr>
        <w:t xml:space="preserve"> and rendered on the form as chip pills.</w:t>
      </w:r>
    </w:p>
    <w:p>
      <w:pPr>
        <w:spacing w:after="160" w:before="0" w:line="320"/>
      </w:pPr>
      <w:r>
        <w:rPr>
          <w:rFonts w:ascii="Consolas" w:cs="Consolas" w:eastAsia="Consolas" w:hAnsi="Consolas"/>
          <w:color w:val="222222"/>
          <w:sz w:val="20"/>
          <w:szCs w:val="20"/>
        </w:rPr>
        <w:t xml:space="preserve">ts_sp91n</w:t>
      </w:r>
      <w:r>
        <w:rPr>
          <w:rFonts w:ascii="Georgia" w:cs="Georgia" w:eastAsia="Georgia" w:hAnsi="Georgia"/>
          <w:color w:val="111111"/>
          <w:sz w:val="22"/>
          <w:szCs w:val="22"/>
        </w:rPr>
        <w:t xml:space="preserve">  </w:t>
      </w:r>
      <w:r>
        <w:rPr>
          <w:rFonts w:ascii="Georgia" w:cs="Georgia" w:eastAsia="Georgia" w:hAnsi="Georgia"/>
          <w:b/>
          <w:bCs/>
          <w:color w:val="111111"/>
          <w:sz w:val="22"/>
          <w:szCs w:val="22"/>
        </w:rPr>
        <w:t xml:space="preserve">Variables beyond address?</w:t>
      </w:r>
      <w:r>
        <w:rPr>
          <w:rFonts w:ascii="Georgia" w:cs="Georgia" w:eastAsia="Georgia" w:hAnsi="Georgia"/>
          <w:color w:val="111111"/>
          <w:sz w:val="22"/>
          <w:szCs w:val="22"/>
        </w:rPr>
        <w:t xml:space="preserve"> Plain text. Captures variable data elements that aren't part of the standard address block.</w:t>
      </w:r>
    </w:p>
    <w:p>
      <w:pPr>
        <w:spacing w:after="160" w:before="0" w:line="320"/>
      </w:pPr>
      <w:r>
        <w:rPr>
          <w:rFonts w:ascii="Consolas" w:cs="Consolas" w:eastAsia="Consolas" w:hAnsi="Consolas"/>
          <w:color w:val="222222"/>
          <w:sz w:val="20"/>
          <w:szCs w:val="20"/>
        </w:rPr>
        <w:t xml:space="preserve">ts_sp92n</w:t>
      </w:r>
      <w:r>
        <w:rPr>
          <w:rFonts w:ascii="Georgia" w:cs="Georgia" w:eastAsia="Georgia" w:hAnsi="Georgia"/>
          <w:color w:val="111111"/>
          <w:sz w:val="22"/>
          <w:szCs w:val="22"/>
        </w:rPr>
        <w:t xml:space="preserve">  </w:t>
      </w:r>
      <w:r>
        <w:rPr>
          <w:rFonts w:ascii="Georgia" w:cs="Georgia" w:eastAsia="Georgia" w:hAnsi="Georgia"/>
          <w:b/>
          <w:bCs/>
          <w:color w:val="111111"/>
          <w:sz w:val="22"/>
          <w:szCs w:val="22"/>
        </w:rPr>
        <w:t xml:space="preserve">Number of letter versions</w:t>
      </w:r>
      <w:r>
        <w:rPr>
          <w:rFonts w:ascii="Georgia" w:cs="Georgia" w:eastAsia="Georgia" w:hAnsi="Georgia"/>
          <w:color w:val="111111"/>
          <w:sz w:val="22"/>
          <w:szCs w:val="22"/>
        </w:rPr>
        <w:t xml:space="preserve">. Numeric text.</w:t>
      </w:r>
    </w:p>
    <w:p>
      <w:pPr>
        <w:spacing w:after="160" w:before="0" w:line="320"/>
      </w:pPr>
      <w:r>
        <w:rPr>
          <w:rFonts w:ascii="Consolas" w:cs="Consolas" w:eastAsia="Consolas" w:hAnsi="Consolas"/>
          <w:color w:val="222222"/>
          <w:sz w:val="20"/>
          <w:szCs w:val="20"/>
        </w:rPr>
        <w:t xml:space="preserve">ts_sp93an</w:t>
      </w:r>
      <w:r>
        <w:rPr>
          <w:rFonts w:ascii="Georgia" w:cs="Georgia" w:eastAsia="Georgia" w:hAnsi="Georgia"/>
          <w:color w:val="111111"/>
          <w:sz w:val="22"/>
          <w:szCs w:val="22"/>
        </w:rPr>
        <w:t xml:space="preserve">  </w:t>
      </w:r>
      <w:r>
        <w:rPr>
          <w:rFonts w:ascii="Georgia" w:cs="Georgia" w:eastAsia="Georgia" w:hAnsi="Georgia"/>
          <w:b/>
          <w:bCs/>
          <w:color w:val="111111"/>
          <w:sz w:val="22"/>
          <w:szCs w:val="22"/>
        </w:rPr>
        <w:t xml:space="preserve">Signoffs per letter version</w:t>
      </w:r>
      <w:r>
        <w:rPr>
          <w:rFonts w:ascii="Georgia" w:cs="Georgia" w:eastAsia="Georgia" w:hAnsi="Georgia"/>
          <w:color w:val="111111"/>
          <w:sz w:val="22"/>
          <w:szCs w:val="22"/>
        </w:rPr>
        <w:t xml:space="preserve">. Plain text. Level 1, nested under the versions field.</w:t>
      </w:r>
    </w:p>
    <w:p>
      <w:pPr>
        <w:spacing w:after="160" w:before="0" w:line="320"/>
      </w:pPr>
      <w:r>
        <w:rPr>
          <w:rFonts w:ascii="Consolas" w:cs="Consolas" w:eastAsia="Consolas" w:hAnsi="Consolas"/>
          <w:color w:val="222222"/>
          <w:sz w:val="20"/>
          <w:szCs w:val="20"/>
        </w:rPr>
        <w:t xml:space="preserve">ts_sp95n</w:t>
      </w:r>
      <w:r>
        <w:rPr>
          <w:rFonts w:ascii="Georgia" w:cs="Georgia" w:eastAsia="Georgia" w:hAnsi="Georgia"/>
          <w:color w:val="111111"/>
          <w:sz w:val="22"/>
          <w:szCs w:val="22"/>
        </w:rPr>
        <w:t xml:space="preserve">  </w:t>
      </w:r>
      <w:r>
        <w:rPr>
          <w:rFonts w:ascii="Georgia" w:cs="Georgia" w:eastAsia="Georgia" w:hAnsi="Georgia"/>
          <w:b/>
          <w:bCs/>
          <w:color w:val="111111"/>
          <w:sz w:val="22"/>
          <w:szCs w:val="22"/>
        </w:rPr>
        <w:t xml:space="preserve">Number of Samples</w:t>
      </w:r>
      <w:r>
        <w:rPr>
          <w:rFonts w:ascii="Georgia" w:cs="Georgia" w:eastAsia="Georgia" w:hAnsi="Georgia"/>
          <w:color w:val="111111"/>
          <w:sz w:val="22"/>
          <w:szCs w:val="22"/>
        </w:rPr>
        <w:t xml:space="preserve">. Numeric text.</w:t>
      </w:r>
    </w:p>
    <w:p>
      <w:pPr>
        <w:spacing w:after="160" w:before="0" w:line="320"/>
      </w:pPr>
      <w:r>
        <w:rPr>
          <w:rFonts w:ascii="Consolas" w:cs="Consolas" w:eastAsia="Consolas" w:hAnsi="Consolas"/>
          <w:color w:val="222222"/>
          <w:sz w:val="20"/>
          <w:szCs w:val="20"/>
        </w:rPr>
        <w:t xml:space="preserve">ts_sp94n</w:t>
      </w:r>
      <w:r>
        <w:rPr>
          <w:rFonts w:ascii="Georgia" w:cs="Georgia" w:eastAsia="Georgia" w:hAnsi="Georgia"/>
          <w:color w:val="111111"/>
          <w:sz w:val="22"/>
          <w:szCs w:val="22"/>
        </w:rPr>
        <w:t xml:space="preserve">  </w:t>
      </w:r>
      <w:r>
        <w:rPr>
          <w:rFonts w:ascii="Georgia" w:cs="Georgia" w:eastAsia="Georgia" w:hAnsi="Georgia"/>
          <w:b/>
          <w:bCs/>
          <w:color w:val="111111"/>
          <w:sz w:val="22"/>
          <w:szCs w:val="22"/>
        </w:rPr>
        <w:t xml:space="preserve">Samples — address info</w:t>
      </w:r>
      <w:r>
        <w:rPr>
          <w:rFonts w:ascii="Georgia" w:cs="Georgia" w:eastAsia="Georgia" w:hAnsi="Georgia"/>
          <w:color w:val="111111"/>
          <w:sz w:val="22"/>
          <w:szCs w:val="22"/>
        </w:rPr>
        <w:t xml:space="preserve">. Plain text. Level 1, nested under the samples count. Placeholder reads "specify required address info for samples."</w:t>
      </w:r>
    </w:p>
    <w:p>
      <w:pPr>
        <w:spacing w:after="40" w:before="560"/>
      </w:pPr>
      <w:r>
        <w:rPr>
          <w:rFonts w:ascii="Helvetica" w:cs="Helvetica" w:eastAsia="Helvetica" w:hAnsi="Helvetica"/>
          <w:b/>
          <w:bCs/>
          <w:color w:val="C63A1E"/>
          <w:spacing w:val="60"/>
          <w:sz w:val="16"/>
          <w:szCs w:val="16"/>
        </w:rPr>
        <w:t xml:space="preserve">·</w:t>
      </w:r>
    </w:p>
    <w:p>
      <w:pPr>
        <w:pStyle w:val="Heading1"/>
        <w:pBdr>
          <w:bottom w:val="single" w:color="111111" w:sz="6" w:space="8"/>
        </w:pBdr>
        <w:spacing w:after="160" w:before="0"/>
      </w:pPr>
      <w:r>
        <w:rPr>
          <w:rFonts w:ascii="Helvetica" w:cs="Helvetica" w:eastAsia="Helvetica" w:hAnsi="Helvetica"/>
          <w:b/>
          <w:bCs/>
          <w:color w:val="111111"/>
          <w:sz w:val="40"/>
          <w:szCs w:val="40"/>
        </w:rPr>
        <w:t xml:space="preserve">Field ID master list</w:t>
      </w:r>
    </w:p>
    <w:p>
      <w:pPr>
        <w:spacing w:after="160" w:before="0" w:line="320"/>
      </w:pPr>
      <w:r>
        <w:rPr>
          <w:rFonts w:ascii="Georgia" w:cs="Georgia" w:eastAsia="Georgia" w:hAnsi="Georgia"/>
          <w:color w:val="111111"/>
          <w:sz w:val="22"/>
          <w:szCs w:val="22"/>
        </w:rPr>
        <w:t xml:space="preserve">Every ID currently in use, grouped by section. Handy for grep-ing through the codebase.</w:t>
      </w:r>
    </w:p>
    <w:p>
      <w:pPr>
        <w:pStyle w:val="Heading2"/>
        <w:spacing w:after="120" w:before="320"/>
      </w:pPr>
      <w:r>
        <w:rPr>
          <w:rFonts w:ascii="Helvetica" w:cs="Helvetica" w:eastAsia="Helvetica" w:hAnsi="Helvetica"/>
          <w:b/>
          <w:bCs/>
          <w:color w:val="111111"/>
          <w:sz w:val="24"/>
          <w:szCs w:val="24"/>
        </w:rPr>
        <w:t xml:space="preserve">Section 01 · Data Conversion</w:t>
      </w:r>
    </w:p>
    <w:p>
      <w:pPr>
        <w:spacing w:after="60" w:before="0" w:line="280"/>
      </w:pPr>
      <w:r>
        <w:rPr>
          <w:rFonts w:ascii="Consolas" w:cs="Consolas" w:eastAsia="Consolas" w:hAnsi="Consolas"/>
          <w:color w:val="222222"/>
          <w:sz w:val="20"/>
          <w:szCs w:val="20"/>
        </w:rPr>
        <w:t xml:space="preserve">ts_fp10   ts_fp10n</w:t>
      </w:r>
    </w:p>
    <w:p>
      <w:pPr>
        <w:spacing w:after="60" w:before="0" w:line="280"/>
      </w:pPr>
      <w:r>
        <w:rPr>
          <w:rFonts w:ascii="Consolas" w:cs="Consolas" w:eastAsia="Consolas" w:hAnsi="Consolas"/>
          <w:color w:val="222222"/>
          <w:sz w:val="20"/>
          <w:szCs w:val="20"/>
        </w:rPr>
        <w:t xml:space="preserve">ts_sp20n   ts_sp21n   ts_sp22n   ts_sp23n   ts_sp24n</w:t>
      </w:r>
    </w:p>
    <w:p>
      <w:pPr>
        <w:pStyle w:val="Heading2"/>
        <w:spacing w:after="120" w:before="320"/>
      </w:pPr>
      <w:r>
        <w:rPr>
          <w:rFonts w:ascii="Helvetica" w:cs="Helvetica" w:eastAsia="Helvetica" w:hAnsi="Helvetica"/>
          <w:b/>
          <w:bCs/>
          <w:color w:val="111111"/>
          <w:sz w:val="24"/>
          <w:szCs w:val="24"/>
        </w:rPr>
        <w:t xml:space="preserve">Section 02 · NCOA / CASS</w:t>
      </w:r>
    </w:p>
    <w:p>
      <w:pPr>
        <w:spacing w:after="60" w:before="0" w:line="280"/>
      </w:pPr>
      <w:r>
        <w:rPr>
          <w:rFonts w:ascii="Consolas" w:cs="Consolas" w:eastAsia="Consolas" w:hAnsi="Consolas"/>
          <w:color w:val="222222"/>
          <w:sz w:val="20"/>
          <w:szCs w:val="20"/>
        </w:rPr>
        <w:t xml:space="preserve">ts_cb30   ts_cb30a   ts_cb30b   ts_cb30c</w:t>
      </w:r>
    </w:p>
    <w:p>
      <w:pPr>
        <w:spacing w:after="60" w:before="0" w:line="280"/>
      </w:pPr>
      <w:r>
        <w:rPr>
          <w:rFonts w:ascii="Consolas" w:cs="Consolas" w:eastAsia="Consolas" w:hAnsi="Consolas"/>
          <w:color w:val="222222"/>
          <w:sz w:val="20"/>
          <w:szCs w:val="20"/>
        </w:rPr>
        <w:t xml:space="preserve">ts_cb31   ts_cb31a</w:t>
      </w:r>
    </w:p>
    <w:p>
      <w:pPr>
        <w:spacing w:after="60" w:before="0" w:line="280"/>
      </w:pPr>
      <w:r>
        <w:rPr>
          <w:rFonts w:ascii="Consolas" w:cs="Consolas" w:eastAsia="Consolas" w:hAnsi="Consolas"/>
          <w:color w:val="222222"/>
          <w:sz w:val="20"/>
          <w:szCs w:val="20"/>
        </w:rPr>
        <w:t xml:space="preserve">ts_cb31b_nna   ts_cb31b_orig   ts_cb31b_mail   ts_cb31b_drop</w:t>
      </w:r>
    </w:p>
    <w:p>
      <w:pPr>
        <w:spacing w:after="60" w:before="0" w:line="280"/>
      </w:pPr>
      <w:r>
        <w:rPr>
          <w:rFonts w:ascii="Consolas" w:cs="Consolas" w:eastAsia="Consolas" w:hAnsi="Consolas"/>
          <w:color w:val="222222"/>
          <w:sz w:val="20"/>
          <w:szCs w:val="20"/>
        </w:rPr>
        <w:t xml:space="preserve">ts_cb31c   ts_cb31c_drop</w:t>
      </w:r>
    </w:p>
    <w:p>
      <w:pPr>
        <w:pStyle w:val="Heading2"/>
        <w:spacing w:after="120" w:before="320"/>
      </w:pPr>
      <w:r>
        <w:rPr>
          <w:rFonts w:ascii="Helvetica" w:cs="Helvetica" w:eastAsia="Helvetica" w:hAnsi="Helvetica"/>
          <w:b/>
          <w:bCs/>
          <w:color w:val="111111"/>
          <w:sz w:val="24"/>
          <w:szCs w:val="24"/>
        </w:rPr>
        <w:t xml:space="preserve">Section 03 · Deduplication</w:t>
      </w:r>
    </w:p>
    <w:p>
      <w:pPr>
        <w:spacing w:after="60" w:before="0" w:line="280"/>
      </w:pPr>
      <w:r>
        <w:rPr>
          <w:rFonts w:ascii="Consolas" w:cs="Consolas" w:eastAsia="Consolas" w:hAnsi="Consolas"/>
          <w:color w:val="222222"/>
          <w:sz w:val="20"/>
          <w:szCs w:val="20"/>
        </w:rPr>
        <w:t xml:space="preserve">ts_sp30   ts_sp30n   ts_sp40n   ts_sp41n   ts_sp42n</w:t>
      </w:r>
    </w:p>
    <w:p>
      <w:pPr>
        <w:pStyle w:val="Heading2"/>
        <w:spacing w:after="120" w:before="320"/>
      </w:pPr>
      <w:r>
        <w:rPr>
          <w:rFonts w:ascii="Helvetica" w:cs="Helvetica" w:eastAsia="Helvetica" w:hAnsi="Helvetica"/>
          <w:b/>
          <w:bCs/>
          <w:color w:val="111111"/>
          <w:sz w:val="24"/>
          <w:szCs w:val="24"/>
        </w:rPr>
        <w:t xml:space="preserve">Section 04 · Presort</w:t>
      </w:r>
    </w:p>
    <w:p>
      <w:pPr>
        <w:spacing w:after="60" w:before="0" w:line="280"/>
      </w:pPr>
      <w:r>
        <w:rPr>
          <w:rFonts w:ascii="Consolas" w:cs="Consolas" w:eastAsia="Consolas" w:hAnsi="Consolas"/>
          <w:color w:val="222222"/>
          <w:sz w:val="20"/>
          <w:szCs w:val="20"/>
        </w:rPr>
        <w:t xml:space="preserve">ts_sp50n  through  ts_sp64n     (4a · Sortation / Postage)</w:t>
      </w:r>
    </w:p>
    <w:p>
      <w:pPr>
        <w:spacing w:after="60" w:before="0" w:line="280"/>
      </w:pPr>
      <w:r>
        <w:rPr>
          <w:rFonts w:ascii="Consolas" w:cs="Consolas" w:eastAsia="Consolas" w:hAnsi="Consolas"/>
          <w:color w:val="222222"/>
          <w:sz w:val="20"/>
          <w:szCs w:val="20"/>
        </w:rPr>
        <w:t xml:space="preserve">ts_sp70n  through  ts_sp84n     (4b · Data Processing)</w:t>
      </w:r>
    </w:p>
    <w:p>
      <w:pPr>
        <w:pStyle w:val="Heading2"/>
        <w:spacing w:after="120" w:before="320"/>
      </w:pPr>
      <w:r>
        <w:rPr>
          <w:rFonts w:ascii="Helvetica" w:cs="Helvetica" w:eastAsia="Helvetica" w:hAnsi="Helvetica"/>
          <w:b/>
          <w:bCs/>
          <w:color w:val="111111"/>
          <w:sz w:val="24"/>
          <w:szCs w:val="24"/>
        </w:rPr>
        <w:t xml:space="preserve">Section 05 · Print</w:t>
      </w:r>
    </w:p>
    <w:p>
      <w:pPr>
        <w:spacing w:after="60" w:before="0" w:line="280"/>
      </w:pPr>
      <w:r>
        <w:rPr>
          <w:rFonts w:ascii="Consolas" w:cs="Consolas" w:eastAsia="Consolas" w:hAnsi="Consolas"/>
          <w:color w:val="222222"/>
          <w:sz w:val="20"/>
          <w:szCs w:val="20"/>
        </w:rPr>
        <w:t xml:space="preserve">ts_cb90   ts_cb90_attendees</w:t>
      </w:r>
    </w:p>
    <w:p>
      <w:pPr>
        <w:spacing w:after="60" w:before="0" w:line="280"/>
      </w:pPr>
      <w:r>
        <w:rPr>
          <w:rFonts w:ascii="Consolas" w:cs="Consolas" w:eastAsia="Consolas" w:hAnsi="Consolas"/>
          <w:color w:val="222222"/>
          <w:sz w:val="20"/>
          <w:szCs w:val="20"/>
        </w:rPr>
        <w:t xml:space="preserve">ts_sp91n   ts_sp92n   ts_sp93an   ts_sp94n   ts_sp95n</w:t>
      </w:r>
    </w:p>
    <w:p>
      <w:pPr>
        <w:spacing w:after="240" w:before="0"/>
      </w:pPr>
      <w:r>
        <w:rPr>
          <w:sz w:val="1"/>
          <w:szCs w:val="1"/>
        </w:rPr>
        <w:t xml:space="preserve"/>
      </w:r>
    </w:p>
    <w:p>
      <w:pPr>
        <w:pStyle w:val="Heading2"/>
        <w:spacing w:after="120" w:before="320"/>
      </w:pPr>
      <w:r>
        <w:rPr>
          <w:rFonts w:ascii="Helvetica" w:cs="Helvetica" w:eastAsia="Helvetica" w:hAnsi="Helvetica"/>
          <w:b/>
          <w:bCs/>
          <w:color w:val="111111"/>
          <w:sz w:val="24"/>
          <w:szCs w:val="24"/>
        </w:rPr>
        <w:t xml:space="preserve">Retired IDs — do not reuse</w:t>
      </w:r>
    </w:p>
    <w:p>
      <w:pPr>
        <w:spacing w:after="160" w:before="0" w:line="320"/>
      </w:pPr>
      <w:r>
        <w:rPr>
          <w:rFonts w:ascii="Georgia" w:cs="Georgia" w:eastAsia="Georgia" w:hAnsi="Georgia"/>
          <w:color w:val="111111"/>
          <w:sz w:val="22"/>
          <w:szCs w:val="22"/>
        </w:rPr>
        <w:t xml:space="preserve">Older sessions may have saved data under these keys. Reusing any of them would cause silent value-swap bugs on load, because the old data would get picked up by a new, unrelated field.</w:t>
      </w:r>
    </w:p>
    <w:p>
      <w:pPr>
        <w:spacing w:after="160" w:before="0" w:line="320"/>
      </w:pPr>
      <w:r>
        <w:rPr>
          <w:rFonts w:ascii="Consolas" w:cs="Consolas" w:eastAsia="Consolas" w:hAnsi="Consolas"/>
          <w:color w:val="222222"/>
          <w:sz w:val="20"/>
          <w:szCs w:val="20"/>
        </w:rPr>
        <w:t xml:space="preserve">ts_cb31b</w:t>
      </w:r>
      <w:r>
        <w:rPr>
          <w:rFonts w:ascii="Georgia" w:cs="Georgia" w:eastAsia="Georgia" w:hAnsi="Georgia"/>
          <w:color w:val="111111"/>
          <w:sz w:val="22"/>
          <w:szCs w:val="22"/>
        </w:rPr>
        <w:t xml:space="preserve">   Old parent "Movers" toggle. Replaced by </w:t>
      </w:r>
      <w:r>
        <w:rPr>
          <w:rFonts w:ascii="Consolas" w:cs="Consolas" w:eastAsia="Consolas" w:hAnsi="Consolas"/>
          <w:color w:val="222222"/>
          <w:sz w:val="20"/>
          <w:szCs w:val="20"/>
        </w:rPr>
        <w:t xml:space="preserve">ts_cb31b_nna</w:t>
      </w:r>
      <w:r>
        <w:rPr>
          <w:rFonts w:ascii="Georgia" w:cs="Georgia" w:eastAsia="Georgia" w:hAnsi="Georgia"/>
          <w:color w:val="111111"/>
          <w:sz w:val="22"/>
          <w:szCs w:val="22"/>
        </w:rPr>
        <w:t xml:space="preserve">.</w:t>
      </w:r>
    </w:p>
    <w:p>
      <w:pPr>
        <w:spacing w:after="160" w:before="0" w:line="320"/>
      </w:pPr>
      <w:r>
        <w:rPr>
          <w:rFonts w:ascii="Consolas" w:cs="Consolas" w:eastAsia="Consolas" w:hAnsi="Consolas"/>
          <w:color w:val="222222"/>
          <w:sz w:val="20"/>
          <w:szCs w:val="20"/>
        </w:rPr>
        <w:t xml:space="preserve">ts_cb31c_mail</w:t>
      </w:r>
      <w:r>
        <w:rPr>
          <w:rFonts w:ascii="Georgia" w:cs="Georgia" w:eastAsia="Georgia" w:hAnsi="Georgia"/>
          <w:color w:val="111111"/>
          <w:sz w:val="22"/>
          <w:szCs w:val="22"/>
        </w:rPr>
        <w:t xml:space="preserve">   Old "Mail to deceased?" toggle. Removed; no replacement.</w:t>
      </w:r>
    </w:p>
    <w:p>
      <w:pPr>
        <w:spacing w:after="160" w:before="0" w:line="320"/>
      </w:pPr>
      <w:r>
        <w:rPr>
          <w:rFonts w:ascii="Consolas" w:cs="Consolas" w:eastAsia="Consolas" w:hAnsi="Consolas"/>
          <w:color w:val="222222"/>
          <w:sz w:val="20"/>
          <w:szCs w:val="20"/>
        </w:rPr>
        <w:t xml:space="preserve">ts_sp43n</w:t>
      </w:r>
      <w:r>
        <w:rPr>
          <w:rFonts w:ascii="Georgia" w:cs="Georgia" w:eastAsia="Georgia" w:hAnsi="Georgia"/>
          <w:color w:val="111111"/>
          <w:sz w:val="22"/>
          <w:szCs w:val="22"/>
        </w:rPr>
        <w:t xml:space="preserve">   Old "Parent/child tables" field. Retired from Deduplication.</w:t>
      </w:r>
    </w:p>
    <w:p>
      <w:pPr>
        <w:spacing w:after="160" w:before="0" w:line="320"/>
      </w:pPr>
      <w:r>
        <w:rPr>
          <w:rFonts w:ascii="Consolas" w:cs="Consolas" w:eastAsia="Consolas" w:hAnsi="Consolas"/>
          <w:color w:val="222222"/>
          <w:sz w:val="20"/>
          <w:szCs w:val="20"/>
        </w:rPr>
        <w:t xml:space="preserve">ts_sp93n</w:t>
      </w:r>
      <w:r>
        <w:rPr>
          <w:rFonts w:ascii="Georgia" w:cs="Georgia" w:eastAsia="Georgia" w:hAnsi="Georgia"/>
          <w:color w:val="111111"/>
          <w:sz w:val="22"/>
          <w:szCs w:val="22"/>
        </w:rPr>
        <w:t xml:space="preserve">   Old "Number of signoffs" field. Merged into </w:t>
      </w:r>
      <w:r>
        <w:rPr>
          <w:rFonts w:ascii="Consolas" w:cs="Consolas" w:eastAsia="Consolas" w:hAnsi="Consolas"/>
          <w:color w:val="222222"/>
          <w:sz w:val="20"/>
          <w:szCs w:val="20"/>
        </w:rPr>
        <w:t xml:space="preserve">ts_sp93an</w:t>
      </w:r>
      <w:r>
        <w:rPr>
          <w:rFonts w:ascii="Georgia" w:cs="Georgia" w:eastAsia="Georgia" w:hAnsi="Georgia"/>
          <w:color w:val="111111"/>
          <w:sz w:val="22"/>
          <w:szCs w:val="22"/>
        </w:rPr>
        <w:t xml:space="preserve">.</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Helvetica" w:cs="Helvetica" w:eastAsia="Helvetica" w:hAnsi="Helvetica"/>
      <w:b/>
      <w:bCs/>
      <w:color w:val="111111"/>
      <w:sz w:val="40"/>
      <w:szCs w:val="40"/>
    </w:rPr>
  </w:style>
  <w:style w:type="paragraph" w:styleId="Heading2">
    <w:name w:val="Heading 2"/>
    <w:basedOn w:val="Normal"/>
    <w:next w:val="Normal"/>
    <w:qFormat/>
    <w:pPr>
      <w:spacing w:after="120" w:before="320"/>
      <w:outlineLvl w:val="1"/>
    </w:pPr>
    <w:rPr>
      <w:rFonts w:ascii="Helvetica" w:cs="Helvetica" w:eastAsia="Helvetica" w:hAnsi="Helvetica"/>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 Services — Sections Spec</dc:title>
  <dc:creator>Tech Services</dc:creator>
  <cp:lastModifiedBy>Un-named</cp:lastModifiedBy>
  <cp:revision>1</cp:revision>
  <dcterms:created xsi:type="dcterms:W3CDTF">2026-04-23T05:33:58.497Z</dcterms:created>
  <dcterms:modified xsi:type="dcterms:W3CDTF">2026-04-23T05:33:58.498Z</dcterms:modified>
</cp:coreProperties>
</file>

<file path=docProps/custom.xml><?xml version="1.0" encoding="utf-8"?>
<Properties xmlns="http://schemas.openxmlformats.org/officeDocument/2006/custom-properties" xmlns:vt="http://schemas.openxmlformats.org/officeDocument/2006/docPropsVTypes"/>
</file>