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28"/>
          <w:szCs w:val="28"/>
        </w:rPr>
        <w:t xml:space="preserve">CỘNG HÒA XÃ HỘI CHỦ NGHĨA VIỆT NAM</w:t>
      </w:r>
    </w:p>
    <w:p>
      <w:pPr>
        <w:spacing w:after="120" w:before="0"/>
        <w:jc w:val="center"/>
      </w:pPr>
      <w:r>
        <w:rPr>
          <w:rFonts w:ascii="Times New Roman" w:cs="Times New Roman" w:eastAsia="Times New Roman" w:hAnsi="Times New Roman"/>
          <w:b/>
          <w:bCs/>
          <w:sz w:val="26"/>
          <w:szCs w:val="26"/>
        </w:rPr>
        <w:t xml:space="preserve">Độc lập – Tự do – Hạnh phúc</w:t>
      </w:r>
    </w:p>
    <w:p>
      <w:pPr>
        <w:spacing w:after="600" w:before="0"/>
        <w:jc w:val="center"/>
      </w:pPr>
      <w:r>
        <w:rPr>
          <w:rFonts w:ascii="Times New Roman" w:cs="Times New Roman" w:eastAsia="Times New Roman" w:hAnsi="Times New Roman"/>
          <w:color w:val="2E5496"/>
          <w:sz w:val="24"/>
          <w:szCs w:val="24"/>
        </w:rPr>
        <w:t xml:space="preserve">──────────────────────────────</w:t>
      </w:r>
    </w:p>
    <w:p>
      <w:pPr>
        <w:spacing w:after="240" w:before="0"/>
        <w:jc w:val="center"/>
      </w:pPr>
      <w:r>
        <w:rPr>
          <w:rFonts w:ascii="Times New Roman" w:cs="Times New Roman" w:eastAsia="Times New Roman" w:hAnsi="Times New Roman"/>
          <w:b/>
          <w:bCs/>
          <w:color w:val="2E5496"/>
          <w:sz w:val="40"/>
          <w:szCs w:val="40"/>
        </w:rPr>
        <w:t xml:space="preserve">TÀI LIỆU THÔNG TIN</w:t>
      </w:r>
    </w:p>
    <w:p>
      <w:pPr>
        <w:spacing w:after="240" w:before="0"/>
        <w:jc w:val="center"/>
      </w:pPr>
      <w:r>
        <w:rPr>
          <w:rFonts w:ascii="Times New Roman" w:cs="Times New Roman" w:eastAsia="Times New Roman" w:hAnsi="Times New Roman"/>
          <w:b/>
          <w:bCs/>
          <w:color w:val="2E5496"/>
          <w:sz w:val="34"/>
          <w:szCs w:val="34"/>
        </w:rPr>
        <w:t xml:space="preserve">CÔNG VIỆC HÀNH CHÍNH CƠ QUAN NHÀ NƯỚC</w:t>
      </w:r>
    </w:p>
    <w:p>
      <w:pPr>
        <w:spacing w:after="120" w:before="0"/>
        <w:jc w:val="center"/>
      </w:pPr>
      <w:r>
        <w:rPr>
          <w:rFonts w:ascii="Times New Roman" w:cs="Times New Roman" w:eastAsia="Times New Roman" w:hAnsi="Times New Roman"/>
          <w:i/>
          <w:iCs/>
          <w:color w:val="555555"/>
          <w:sz w:val="24"/>
          <w:szCs w:val="24"/>
        </w:rPr>
        <w:t xml:space="preserve">Căn cứ pháp luật hiện hành của Nước Cộng hòa xã hội chủ nghĩa Việt Nam</w:t>
      </w:r>
    </w:p>
    <w:p>
      <w:pPr>
        <w:spacing w:after="120" w:before="480"/>
        <w:jc w:val="center"/>
      </w:pPr>
      <w:r>
        <w:rPr>
          <w:rFonts w:ascii="Times New Roman" w:cs="Times New Roman" w:eastAsia="Times New Roman" w:hAnsi="Times New Roman"/>
          <w:color w:val="666666"/>
          <w:sz w:val="22"/>
          <w:szCs w:val="22"/>
        </w:rPr>
        <w:t xml:space="preserve">Năm biên soạn: 2024</w:t>
      </w:r>
    </w:p>
    <w:p>
      <w:pPr>
        <w:spacing w:after="0" w:before="0"/>
        <w:jc w:val="center"/>
      </w:pPr>
      <w:r>
        <w:rPr>
          <w:rFonts w:ascii="Times New Roman" w:cs="Times New Roman" w:eastAsia="Times New Roman" w:hAnsi="Times New Roman"/>
          <w:i/>
          <w:iCs/>
          <w:color w:val="888888"/>
          <w:sz w:val="20"/>
          <w:szCs w:val="20"/>
        </w:rPr>
        <w:t xml:space="preserve">Tài liệu tổng hợp – Dùng làm cơ sở dữ liệu hỗ trợ tra cứu nội bộ</w:t>
      </w:r>
    </w:p>
    <w:p>
      <w:pPr>
        <w:spacing w:after="60" w:before="60"/>
      </w:pPr>
      <w:r>
        <w:t xml:space="preserve"/>
      </w:r>
    </w:p>
    <w:p>
      <w:pPr>
        <w:spacing w:after="60" w:before="60"/>
      </w:pPr>
      <w:r>
        <w:t xml:space="preserve"/>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I. HỆ THỐNG TỔ CHỨC CƠ QUAN NHÀ NƯỚC VIỆT NAM</w:t>
      </w:r>
    </w:p>
    <w:p>
      <w:pPr>
        <w:spacing w:after="60" w:before="40"/>
      </w:pPr>
      <w:r>
        <w:rPr>
          <w:rFonts w:ascii="Times New Roman" w:cs="Times New Roman" w:eastAsia="Times New Roman" w:hAnsi="Times New Roman"/>
          <w:i/>
          <w:iCs/>
          <w:color w:val="666666"/>
          <w:sz w:val="20"/>
          <w:szCs w:val="20"/>
        </w:rPr>
        <w:t xml:space="preserve">[Nguồn: Hiến pháp nước CHXHCN Việt Nam năm 2013; Luật Tổ chức Chính phủ năm 2015, sửa đổi bổ sung năm 2019; Luật Tổ chức chính quyền địa phương năm 2015, sửa đổi bổ sung năm 2019]</w:t>
      </w:r>
    </w:p>
    <w:p>
      <w:pPr>
        <w:pStyle w:val="Heading2"/>
        <w:spacing w:after="80" w:before="200"/>
      </w:pPr>
      <w:r>
        <w:rPr>
          <w:rFonts w:ascii="Times New Roman" w:cs="Times New Roman" w:eastAsia="Times New Roman" w:hAnsi="Times New Roman"/>
          <w:b/>
          <w:bCs/>
          <w:color w:val="1F3864"/>
          <w:sz w:val="26"/>
          <w:szCs w:val="26"/>
        </w:rPr>
        <w:t xml:space="preserve">1.1. Hệ thống cơ quan quyền lực nhà nước</w:t>
      </w:r>
    </w:p>
    <w:p>
      <w:pPr>
        <w:spacing w:after="60" w:before="60"/>
        <w:ind w:firstLine="720"/>
      </w:pPr>
      <w:r>
        <w:rPr>
          <w:rFonts w:ascii="Times New Roman" w:cs="Times New Roman" w:eastAsia="Times New Roman" w:hAnsi="Times New Roman"/>
          <w:sz w:val="24"/>
          <w:szCs w:val="24"/>
        </w:rPr>
        <w:t xml:space="preserve">Theo Điều 6 Hiến pháp 2013, nhân dân thực hiện quyền lực nhà nước bằng dân chủ trực tiếp và bằng dân chủ đại diện thông qua Quốc hội, Hội đồng nhân dân và các cơ quan nhà nước khác.</w:t>
      </w:r>
    </w:p>
    <w:p>
      <w:pPr>
        <w:spacing w:after="60" w:before="60"/>
      </w:pPr>
      <w:r>
        <w:t xml:space="preserve"/>
      </w:r>
    </w:p>
    <w:p>
      <w:pPr>
        <w:spacing w:after="60" w:before="160"/>
      </w:pPr>
      <w:r>
        <w:rPr>
          <w:rFonts w:ascii="Times New Roman" w:cs="Times New Roman" w:eastAsia="Times New Roman" w:hAnsi="Times New Roman"/>
          <w:b/>
          <w:bCs/>
          <w:color w:val="2E5496"/>
          <w:sz w:val="24"/>
          <w:szCs w:val="24"/>
        </w:rPr>
        <w:t xml:space="preserve">a) Quốc hội</w:t>
      </w:r>
    </w:p>
    <w:p>
      <w:pPr>
        <w:pStyle w:val="ListParagraph"/>
        <w:numPr>
          <w:ilvl w:val="0"/>
          <w:numId w:val="2"/>
        </w:numPr>
        <w:spacing w:after="40" w:before="40"/>
      </w:pPr>
      <w:r>
        <w:rPr>
          <w:rFonts w:ascii="Times New Roman" w:cs="Times New Roman" w:eastAsia="Times New Roman" w:hAnsi="Times New Roman"/>
          <w:sz w:val="24"/>
          <w:szCs w:val="24"/>
        </w:rPr>
        <w:t xml:space="preserve">Quốc hội là cơ quan đại biểu cao nhất của Nhân dân, cơ quan quyền lực nhà nước cao nhất (Điều 69 Hiến pháp 2013).</w:t>
      </w:r>
    </w:p>
    <w:p>
      <w:pPr>
        <w:pStyle w:val="ListParagraph"/>
        <w:numPr>
          <w:ilvl w:val="0"/>
          <w:numId w:val="2"/>
        </w:numPr>
        <w:spacing w:after="40" w:before="40"/>
      </w:pPr>
      <w:r>
        <w:rPr>
          <w:rFonts w:ascii="Times New Roman" w:cs="Times New Roman" w:eastAsia="Times New Roman" w:hAnsi="Times New Roman"/>
          <w:sz w:val="24"/>
          <w:szCs w:val="24"/>
        </w:rPr>
        <w:t xml:space="preserve">Nhiệm vụ: làm Hiến pháp và luật; quyết định các vấn đề quan trọng của đất nước; giám sát tối cao.</w:t>
      </w:r>
    </w:p>
    <w:p>
      <w:pPr>
        <w:pStyle w:val="ListParagraph"/>
        <w:numPr>
          <w:ilvl w:val="0"/>
          <w:numId w:val="2"/>
        </w:numPr>
        <w:spacing w:after="40" w:before="40"/>
      </w:pPr>
      <w:r>
        <w:rPr>
          <w:rFonts w:ascii="Times New Roman" w:cs="Times New Roman" w:eastAsia="Times New Roman" w:hAnsi="Times New Roman"/>
          <w:sz w:val="24"/>
          <w:szCs w:val="24"/>
        </w:rPr>
        <w:t xml:space="preserve">Nhiệm kỳ: 5 năm. Họp thường lệ mỗi năm 2 kỳ (kỳ họp giữa năm và cuối năm).</w:t>
      </w:r>
    </w:p>
    <w:p>
      <w:pPr>
        <w:pStyle w:val="ListParagraph"/>
        <w:numPr>
          <w:ilvl w:val="0"/>
          <w:numId w:val="2"/>
        </w:numPr>
        <w:spacing w:after="40" w:before="40"/>
      </w:pPr>
      <w:r>
        <w:rPr>
          <w:rFonts w:ascii="Times New Roman" w:cs="Times New Roman" w:eastAsia="Times New Roman" w:hAnsi="Times New Roman"/>
          <w:sz w:val="24"/>
          <w:szCs w:val="24"/>
        </w:rPr>
        <w:t xml:space="preserve">Ủy ban Thường vụ Quốc hội là cơ quan thường trực của Quốc hội, thực hiện nhiệm vụ giữa hai kỳ họp.</w:t>
      </w:r>
    </w:p>
    <w:p>
      <w:pPr>
        <w:spacing w:after="60" w:before="60"/>
      </w:pPr>
      <w:r>
        <w:t xml:space="preserve"/>
      </w:r>
    </w:p>
    <w:p>
      <w:pPr>
        <w:spacing w:after="60" w:before="160"/>
      </w:pPr>
      <w:r>
        <w:rPr>
          <w:rFonts w:ascii="Times New Roman" w:cs="Times New Roman" w:eastAsia="Times New Roman" w:hAnsi="Times New Roman"/>
          <w:b/>
          <w:bCs/>
          <w:color w:val="2E5496"/>
          <w:sz w:val="24"/>
          <w:szCs w:val="24"/>
        </w:rPr>
        <w:t xml:space="preserve">b) Chính phủ</w:t>
      </w:r>
    </w:p>
    <w:p>
      <w:pPr>
        <w:pStyle w:val="ListParagraph"/>
        <w:numPr>
          <w:ilvl w:val="0"/>
          <w:numId w:val="2"/>
        </w:numPr>
        <w:spacing w:after="40" w:before="40"/>
      </w:pPr>
      <w:r>
        <w:rPr>
          <w:rFonts w:ascii="Times New Roman" w:cs="Times New Roman" w:eastAsia="Times New Roman" w:hAnsi="Times New Roman"/>
          <w:sz w:val="24"/>
          <w:szCs w:val="24"/>
        </w:rPr>
        <w:t xml:space="preserve">Chính phủ là cơ quan hành chính nhà nước cao nhất, thực hiện quyền hành pháp (Điều 94 Hiến pháp 2013).</w:t>
      </w:r>
    </w:p>
    <w:p>
      <w:pPr>
        <w:pStyle w:val="ListParagraph"/>
        <w:numPr>
          <w:ilvl w:val="0"/>
          <w:numId w:val="2"/>
        </w:numPr>
        <w:spacing w:after="40" w:before="40"/>
      </w:pPr>
      <w:r>
        <w:rPr>
          <w:rFonts w:ascii="Times New Roman" w:cs="Times New Roman" w:eastAsia="Times New Roman" w:hAnsi="Times New Roman"/>
          <w:sz w:val="24"/>
          <w:szCs w:val="24"/>
        </w:rPr>
        <w:t xml:space="preserve">Cơ cấu Chính phủ: Thủ tướng Chính phủ, các Phó Thủ tướng, Bộ trưởng và Thủ trưởng cơ quan ngang Bộ.</w:t>
      </w:r>
    </w:p>
    <w:p>
      <w:pPr>
        <w:pStyle w:val="ListParagraph"/>
        <w:numPr>
          <w:ilvl w:val="0"/>
          <w:numId w:val="2"/>
        </w:numPr>
        <w:spacing w:after="40" w:before="40"/>
      </w:pPr>
      <w:r>
        <w:rPr>
          <w:rFonts w:ascii="Times New Roman" w:cs="Times New Roman" w:eastAsia="Times New Roman" w:hAnsi="Times New Roman"/>
          <w:sz w:val="24"/>
          <w:szCs w:val="24"/>
        </w:rPr>
        <w:t xml:space="preserve">Thủ tướng Chính phủ do Quốc hội bầu theo đề nghị của Chủ tịch nước; lãnh đạo, điều hành công tác của Chính phủ.</w:t>
      </w:r>
    </w:p>
    <w:p>
      <w:pPr>
        <w:spacing w:after="60" w:before="60"/>
      </w:pPr>
      <w:r>
        <w:t xml:space="preserve"/>
      </w:r>
    </w:p>
    <w:p>
      <w:pPr>
        <w:spacing w:after="60" w:before="160"/>
      </w:pPr>
      <w:r>
        <w:rPr>
          <w:rFonts w:ascii="Times New Roman" w:cs="Times New Roman" w:eastAsia="Times New Roman" w:hAnsi="Times New Roman"/>
          <w:b/>
          <w:bCs/>
          <w:color w:val="2E5496"/>
          <w:sz w:val="24"/>
          <w:szCs w:val="24"/>
        </w:rPr>
        <w:t xml:space="preserve">c) Hội đồng nhân dân và Ủy ban nhân dân</w:t>
      </w:r>
    </w:p>
    <w:p>
      <w:pPr>
        <w:pStyle w:val="ListParagraph"/>
        <w:numPr>
          <w:ilvl w:val="0"/>
          <w:numId w:val="2"/>
        </w:numPr>
        <w:spacing w:after="40" w:before="40"/>
      </w:pPr>
      <w:r>
        <w:rPr>
          <w:rFonts w:ascii="Times New Roman" w:cs="Times New Roman" w:eastAsia="Times New Roman" w:hAnsi="Times New Roman"/>
          <w:sz w:val="24"/>
          <w:szCs w:val="24"/>
        </w:rPr>
        <w:t xml:space="preserve">Hội đồng nhân dân là cơ quan quyền lực nhà nước ở địa phương, đại diện cho ý chí, nguyện vọng của Nhân dân địa phương (Điều 113 Hiến pháp 2013).</w:t>
      </w:r>
    </w:p>
    <w:p>
      <w:pPr>
        <w:pStyle w:val="ListParagraph"/>
        <w:numPr>
          <w:ilvl w:val="0"/>
          <w:numId w:val="2"/>
        </w:numPr>
        <w:spacing w:after="40" w:before="40"/>
      </w:pPr>
      <w:r>
        <w:rPr>
          <w:rFonts w:ascii="Times New Roman" w:cs="Times New Roman" w:eastAsia="Times New Roman" w:hAnsi="Times New Roman"/>
          <w:sz w:val="24"/>
          <w:szCs w:val="24"/>
        </w:rPr>
        <w:t xml:space="preserve">Ủy ban nhân dân là cơ quan chấp hành của Hội đồng nhân dân, cơ quan hành chính nhà nước ở địa phương.</w:t>
      </w:r>
    </w:p>
    <w:p>
      <w:pPr>
        <w:pStyle w:val="ListParagraph"/>
        <w:numPr>
          <w:ilvl w:val="0"/>
          <w:numId w:val="2"/>
        </w:numPr>
        <w:spacing w:after="40" w:before="40"/>
      </w:pPr>
      <w:r>
        <w:rPr>
          <w:rFonts w:ascii="Times New Roman" w:cs="Times New Roman" w:eastAsia="Times New Roman" w:hAnsi="Times New Roman"/>
          <w:sz w:val="24"/>
          <w:szCs w:val="24"/>
        </w:rPr>
        <w:t xml:space="preserve">Đơn vị hành chính địa phương gồm: tỉnh/thành phố trực thuộc Trung ương; huyện/quận/thị xã/thành phố thuộc tỉnh; xã/phường/thị trấn.</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1.2. Cơ cấu Bộ và cơ quan ngang Bộ</w:t>
      </w:r>
    </w:p>
    <w:p>
      <w:pPr>
        <w:spacing w:after="60" w:before="40"/>
      </w:pPr>
      <w:r>
        <w:rPr>
          <w:rFonts w:ascii="Times New Roman" w:cs="Times New Roman" w:eastAsia="Times New Roman" w:hAnsi="Times New Roman"/>
          <w:i/>
          <w:iCs/>
          <w:color w:val="666666"/>
          <w:sz w:val="20"/>
          <w:szCs w:val="20"/>
        </w:rPr>
        <w:t xml:space="preserve">[Nguồn: Nghị định số 123/2016/NĐ-CP ngày 01/9/2016 của Chính phủ về chức năng, nhiệm vụ, quyền hạn và cơ cấu tổ chức của Bộ, cơ quan ngang Bộ; Nghị định 101/2020/NĐ-CP]</w:t>
      </w:r>
    </w:p>
    <w:p>
      <w:pPr>
        <w:spacing w:after="60" w:before="60"/>
        <w:ind w:firstLine="720"/>
      </w:pPr>
      <w:r>
        <w:rPr>
          <w:rFonts w:ascii="Times New Roman" w:cs="Times New Roman" w:eastAsia="Times New Roman" w:hAnsi="Times New Roman"/>
          <w:sz w:val="24"/>
          <w:szCs w:val="24"/>
        </w:rPr>
        <w:t xml:space="preserve">Tính đến năm 2024, Chính phủ có 18 Bộ và 4 cơ quan ngang Bộ. Cơ cấu tổ chức của Bộ thông thường gồm:</w:t>
      </w:r>
    </w:p>
    <w:p>
      <w:pPr>
        <w:pStyle w:val="ListParagraph"/>
        <w:numPr>
          <w:ilvl w:val="0"/>
          <w:numId w:val="2"/>
        </w:numPr>
        <w:spacing w:after="40" w:before="40"/>
      </w:pPr>
      <w:r>
        <w:rPr>
          <w:rFonts w:ascii="Times New Roman" w:cs="Times New Roman" w:eastAsia="Times New Roman" w:hAnsi="Times New Roman"/>
          <w:sz w:val="24"/>
          <w:szCs w:val="24"/>
        </w:rPr>
        <w:t xml:space="preserve">Vụ, Văn phòng, Thanh tra, Cục, Tổng cục, đơn vị sự nghiệp công lập.</w:t>
      </w:r>
    </w:p>
    <w:p>
      <w:pPr>
        <w:pStyle w:val="ListParagraph"/>
        <w:numPr>
          <w:ilvl w:val="0"/>
          <w:numId w:val="2"/>
        </w:numPr>
        <w:spacing w:after="40" w:before="40"/>
      </w:pPr>
      <w:r>
        <w:rPr>
          <w:rFonts w:ascii="Times New Roman" w:cs="Times New Roman" w:eastAsia="Times New Roman" w:hAnsi="Times New Roman"/>
          <w:sz w:val="24"/>
          <w:szCs w:val="24"/>
        </w:rPr>
        <w:t xml:space="preserve">Bộ trưởng là thành viên Chính phủ, chịu trách nhiệm cá nhân trước Thủ tướng, Quốc hội về lĩnh vực, ngành được phân công quản lý.</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26"/>
      </w:tblGrid>
      <w:tr>
        <w:trPr>
          <w:tblHeader/>
        </w:trPr>
        <w:tc>
          <w:tcPr>
            <w:tcW w:type="dxa" w:w="4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Bộ/Cơ quan ngang Bộ</w:t>
            </w:r>
          </w:p>
        </w:tc>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Chức năng chính</w:t>
            </w:r>
          </w:p>
        </w:tc>
        <w:tc>
          <w:tcPr>
            <w:tcW w:type="dxa" w:w="20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Cơ sở pháp lý</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Bộ Nội vụ</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nhà nước về tổ chức bộ máy, công chức, viên chức</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34/2017/NĐ-CP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Bộ Tư pháp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nhà nước về xây dựng pháp luật, thi hành án dân sự</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96/2017/NĐ-CP</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Bộ Tài chính</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nhà nước về tài chính, ngân sách, thuế, hải quan</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87/2017/NĐ-CP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Bộ Kế hoạch và Đầu tư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nhà nước về kế hoạch, đầu tư phát triển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86/2017/NĐ-CP</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Văn phòng Chính phủ</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Hỗ trợ Chính phủ, Thủ tướng Chính phủ điều hành</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79/2017/NĐ-CP</w:t>
            </w:r>
          </w:p>
        </w:tc>
      </w:tr>
    </w:tbl>
    <w:p>
      <w:pPr>
        <w:spacing w:after="60" w:before="40"/>
      </w:pPr>
      <w:r>
        <w:rPr>
          <w:rFonts w:ascii="Times New Roman" w:cs="Times New Roman" w:eastAsia="Times New Roman" w:hAnsi="Times New Roman"/>
          <w:i/>
          <w:iCs/>
          <w:color w:val="666666"/>
          <w:sz w:val="20"/>
          <w:szCs w:val="20"/>
        </w:rPr>
        <w:t xml:space="preserve">[Nguồn: Các Nghị định quy định chức năng, nhiệm vụ của từng Bộ, cơ quan ngang Bộ]</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II. VĂN BẢN HÀNH CHÍNH NHÀ NƯỚC</w:t>
      </w:r>
    </w:p>
    <w:p>
      <w:pPr>
        <w:spacing w:after="60" w:before="40"/>
      </w:pPr>
      <w:r>
        <w:rPr>
          <w:rFonts w:ascii="Times New Roman" w:cs="Times New Roman" w:eastAsia="Times New Roman" w:hAnsi="Times New Roman"/>
          <w:i/>
          <w:iCs/>
          <w:color w:val="666666"/>
          <w:sz w:val="20"/>
          <w:szCs w:val="20"/>
        </w:rPr>
        <w:t xml:space="preserve">[Nguồn: Nghị định số 30/2020/NĐ-CP ngày 05/3/2020 của Chính phủ về công tác văn thư]</w:t>
      </w:r>
    </w:p>
    <w:p>
      <w:pPr>
        <w:pStyle w:val="Heading2"/>
        <w:spacing w:after="80" w:before="200"/>
      </w:pPr>
      <w:r>
        <w:rPr>
          <w:rFonts w:ascii="Times New Roman" w:cs="Times New Roman" w:eastAsia="Times New Roman" w:hAnsi="Times New Roman"/>
          <w:b/>
          <w:bCs/>
          <w:color w:val="1F3864"/>
          <w:sz w:val="26"/>
          <w:szCs w:val="26"/>
        </w:rPr>
        <w:t xml:space="preserve">2.1. Hệ thống văn bản quy phạm pháp luật</w:t>
      </w:r>
    </w:p>
    <w:p>
      <w:pPr>
        <w:spacing w:after="60" w:before="40"/>
      </w:pPr>
      <w:r>
        <w:rPr>
          <w:rFonts w:ascii="Times New Roman" w:cs="Times New Roman" w:eastAsia="Times New Roman" w:hAnsi="Times New Roman"/>
          <w:i/>
          <w:iCs/>
          <w:color w:val="666666"/>
          <w:sz w:val="20"/>
          <w:szCs w:val="20"/>
        </w:rPr>
        <w:t xml:space="preserve">[Nguồn: Luật Ban hành văn bản quy phạm pháp luật số 80/2015/QH13, sửa đổi bổ sung năm 2020 (Luật số 63/2020/QH14)]</w:t>
      </w:r>
    </w:p>
    <w:p>
      <w:pPr>
        <w:spacing w:after="60" w:before="60"/>
        <w:ind w:firstLine="720"/>
      </w:pPr>
      <w:r>
        <w:rPr>
          <w:rFonts w:ascii="Times New Roman" w:cs="Times New Roman" w:eastAsia="Times New Roman" w:hAnsi="Times New Roman"/>
          <w:sz w:val="24"/>
          <w:szCs w:val="24"/>
        </w:rPr>
        <w:t xml:space="preserve">Hệ thống văn bản quy phạm pháp luật của Việt Nam được quy định tại Điều 4 Luật Ban hành văn bản quy phạm pháp luật năm 2015 (sửa đổi, bổ sung năm 2020), bao gồm theo thứ bậc từ cao đến thấp:</w:t>
      </w:r>
    </w:p>
    <w:p>
      <w:pPr>
        <w:spacing w:after="60" w:before="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000"/>
        <w:gridCol w:w="1626"/>
      </w:tblGrid>
      <w:tr>
        <w:trPr>
          <w:tblHeader/>
        </w:trPr>
        <w:tc>
          <w:tcPr>
            <w:tcW w:type="dxa" w:w="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STT</w:t>
            </w:r>
          </w:p>
        </w:tc>
        <w:tc>
          <w:tcPr>
            <w:tcW w:type="dxa" w:w="2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Tên văn bản</w:t>
            </w:r>
          </w:p>
        </w:tc>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Cơ quan ban hành</w:t>
            </w:r>
          </w:p>
        </w:tc>
        <w:tc>
          <w:tcPr>
            <w:tcW w:type="dxa" w:w="16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Ký hiệu</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Hiến pháp</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Quốc hội</w:t>
            </w:r>
          </w:p>
        </w:tc>
        <w:tc>
          <w:tcPr>
            <w:tcW w:type="dxa" w:w="1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HP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Bộ luật, Luật, Nghị quyết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Quốc hội</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NQ, Luật</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Pháp lệnh, Nghị quyết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UBTVQH</w:t>
            </w:r>
          </w:p>
        </w:tc>
        <w:tc>
          <w:tcPr>
            <w:tcW w:type="dxa" w:w="1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PL, NQ</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Lệnh, Quyết định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Chủ tịch nước</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 QĐ</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Chính phủ</w:t>
            </w:r>
          </w:p>
        </w:tc>
        <w:tc>
          <w:tcPr>
            <w:tcW w:type="dxa" w:w="1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NĐ-CP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Quyết định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Thủ tướng Chính phủ</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QĐ-TTg</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7</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Thông tư</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Bộ trưởng</w:t>
            </w:r>
          </w:p>
        </w:tc>
        <w:tc>
          <w:tcPr>
            <w:tcW w:type="dxa" w:w="1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TT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Nghị quyết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HĐND cấp tỉnh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NQ-HĐND</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9</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Quyết định</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UBND cấp tỉnh</w:t>
            </w:r>
          </w:p>
        </w:tc>
        <w:tc>
          <w:tcPr>
            <w:tcW w:type="dxa" w:w="16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QĐ-UBND</w:t>
            </w:r>
          </w:p>
        </w:tc>
      </w:tr>
    </w:tbl>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2.2. Văn bản hành chính thông thường</w:t>
      </w:r>
    </w:p>
    <w:p>
      <w:pPr>
        <w:spacing w:after="60" w:before="40"/>
      </w:pPr>
      <w:r>
        <w:rPr>
          <w:rFonts w:ascii="Times New Roman" w:cs="Times New Roman" w:eastAsia="Times New Roman" w:hAnsi="Times New Roman"/>
          <w:i/>
          <w:iCs/>
          <w:color w:val="666666"/>
          <w:sz w:val="20"/>
          <w:szCs w:val="20"/>
        </w:rPr>
        <w:t xml:space="preserve">[Nguồn: Nghị định số 30/2020/NĐ-CP ngày 05/3/2020 của Chính phủ về công tác văn thư – Điều 7]</w:t>
      </w:r>
    </w:p>
    <w:p>
      <w:pPr>
        <w:spacing w:after="60" w:before="60"/>
        <w:ind w:firstLine="720"/>
      </w:pPr>
      <w:r>
        <w:rPr>
          <w:rFonts w:ascii="Times New Roman" w:cs="Times New Roman" w:eastAsia="Times New Roman" w:hAnsi="Times New Roman"/>
          <w:sz w:val="24"/>
          <w:szCs w:val="24"/>
        </w:rPr>
        <w:t xml:space="preserve">Theo Điều 7 Nghị định 30/2020/NĐ-CP, văn bản hành chính thông thường gồm các loại sau:</w:t>
      </w:r>
    </w:p>
    <w:p>
      <w:pPr>
        <w:pStyle w:val="ListParagraph"/>
        <w:numPr>
          <w:ilvl w:val="0"/>
          <w:numId w:val="2"/>
        </w:numPr>
        <w:spacing w:after="40" w:before="40"/>
      </w:pPr>
      <w:r>
        <w:rPr>
          <w:rFonts w:ascii="Times New Roman" w:cs="Times New Roman" w:eastAsia="Times New Roman" w:hAnsi="Times New Roman"/>
          <w:sz w:val="24"/>
          <w:szCs w:val="24"/>
        </w:rPr>
        <w:t xml:space="preserve">Công văn: dùng để trao đổi thông tin hành chính giữa các cơ quan, tổ chức, cá nhân.</w:t>
      </w:r>
    </w:p>
    <w:p>
      <w:pPr>
        <w:pStyle w:val="ListParagraph"/>
        <w:numPr>
          <w:ilvl w:val="0"/>
          <w:numId w:val="2"/>
        </w:numPr>
        <w:spacing w:after="40" w:before="40"/>
      </w:pPr>
      <w:r>
        <w:rPr>
          <w:rFonts w:ascii="Times New Roman" w:cs="Times New Roman" w:eastAsia="Times New Roman" w:hAnsi="Times New Roman"/>
          <w:sz w:val="24"/>
          <w:szCs w:val="24"/>
        </w:rPr>
        <w:t xml:space="preserve">Thông báo: thông tin về một quyết định, chủ trương, chính sách, thông tin cần biết cho đối tượng có liên quan.</w:t>
      </w:r>
    </w:p>
    <w:p>
      <w:pPr>
        <w:pStyle w:val="ListParagraph"/>
        <w:numPr>
          <w:ilvl w:val="0"/>
          <w:numId w:val="2"/>
        </w:numPr>
        <w:spacing w:after="40" w:before="40"/>
      </w:pPr>
      <w:r>
        <w:rPr>
          <w:rFonts w:ascii="Times New Roman" w:cs="Times New Roman" w:eastAsia="Times New Roman" w:hAnsi="Times New Roman"/>
          <w:sz w:val="24"/>
          <w:szCs w:val="24"/>
        </w:rPr>
        <w:t xml:space="preserve">Báo cáo: phản ánh tình hình công việc, kết quả thực hiện nhiệm vụ theo định kỳ hoặc đột xuất.</w:t>
      </w:r>
    </w:p>
    <w:p>
      <w:pPr>
        <w:pStyle w:val="ListParagraph"/>
        <w:numPr>
          <w:ilvl w:val="0"/>
          <w:numId w:val="2"/>
        </w:numPr>
        <w:spacing w:after="40" w:before="40"/>
      </w:pPr>
      <w:r>
        <w:rPr>
          <w:rFonts w:ascii="Times New Roman" w:cs="Times New Roman" w:eastAsia="Times New Roman" w:hAnsi="Times New Roman"/>
          <w:sz w:val="24"/>
          <w:szCs w:val="24"/>
        </w:rPr>
        <w:t xml:space="preserve">Tờ trình: đề xuất phương án giải quyết công việc, đề nghị cấp có thẩm quyền phê duyệt.</w:t>
      </w:r>
    </w:p>
    <w:p>
      <w:pPr>
        <w:pStyle w:val="ListParagraph"/>
        <w:numPr>
          <w:ilvl w:val="0"/>
          <w:numId w:val="2"/>
        </w:numPr>
        <w:spacing w:after="40" w:before="40"/>
      </w:pPr>
      <w:r>
        <w:rPr>
          <w:rFonts w:ascii="Times New Roman" w:cs="Times New Roman" w:eastAsia="Times New Roman" w:hAnsi="Times New Roman"/>
          <w:sz w:val="24"/>
          <w:szCs w:val="24"/>
        </w:rPr>
        <w:t xml:space="preserve">Biên bản: ghi lại diễn biến một sự kiện, cuộc họp, vụ việc xảy ra.</w:t>
      </w:r>
    </w:p>
    <w:p>
      <w:pPr>
        <w:pStyle w:val="ListParagraph"/>
        <w:numPr>
          <w:ilvl w:val="0"/>
          <w:numId w:val="2"/>
        </w:numPr>
        <w:spacing w:after="40" w:before="40"/>
      </w:pPr>
      <w:r>
        <w:rPr>
          <w:rFonts w:ascii="Times New Roman" w:cs="Times New Roman" w:eastAsia="Times New Roman" w:hAnsi="Times New Roman"/>
          <w:sz w:val="24"/>
          <w:szCs w:val="24"/>
        </w:rPr>
        <w:t xml:space="preserve">Kế hoạch: xác định mục tiêu, chỉ tiêu, nhiệm vụ, biện pháp thực hiện trong một thời gian nhất định.</w:t>
      </w:r>
    </w:p>
    <w:p>
      <w:pPr>
        <w:pStyle w:val="ListParagraph"/>
        <w:numPr>
          <w:ilvl w:val="0"/>
          <w:numId w:val="2"/>
        </w:numPr>
        <w:spacing w:after="40" w:before="40"/>
      </w:pPr>
      <w:r>
        <w:rPr>
          <w:rFonts w:ascii="Times New Roman" w:cs="Times New Roman" w:eastAsia="Times New Roman" w:hAnsi="Times New Roman"/>
          <w:sz w:val="24"/>
          <w:szCs w:val="24"/>
        </w:rPr>
        <w:t xml:space="preserve">Hợp đồng: xác lập quan hệ làm việc cụ thể giữa các bên có liên quan.</w:t>
      </w:r>
    </w:p>
    <w:p>
      <w:pPr>
        <w:pStyle w:val="ListParagraph"/>
        <w:numPr>
          <w:ilvl w:val="0"/>
          <w:numId w:val="2"/>
        </w:numPr>
        <w:spacing w:after="40" w:before="40"/>
      </w:pPr>
      <w:r>
        <w:rPr>
          <w:rFonts w:ascii="Times New Roman" w:cs="Times New Roman" w:eastAsia="Times New Roman" w:hAnsi="Times New Roman"/>
          <w:sz w:val="24"/>
          <w:szCs w:val="24"/>
        </w:rPr>
        <w:t xml:space="preserve">Quyết định (cá biệt): giải quyết công việc cụ thể, áp dụng cho đối tượng cụ thể (không phải văn bản quy phạm pháp luật).</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2.3. Thể thức văn bản hành chính</w:t>
      </w:r>
    </w:p>
    <w:p>
      <w:pPr>
        <w:spacing w:after="60" w:before="40"/>
      </w:pPr>
      <w:r>
        <w:rPr>
          <w:rFonts w:ascii="Times New Roman" w:cs="Times New Roman" w:eastAsia="Times New Roman" w:hAnsi="Times New Roman"/>
          <w:i/>
          <w:iCs/>
          <w:color w:val="666666"/>
          <w:sz w:val="20"/>
          <w:szCs w:val="20"/>
        </w:rPr>
        <w:t xml:space="preserve">[Nguồn: Nghị định 30/2020/NĐ-CP – Chương III và Phụ lục I, II, III, IV, V, VI]</w:t>
      </w:r>
    </w:p>
    <w:p>
      <w:pPr>
        <w:spacing w:after="60" w:before="60"/>
        <w:ind w:firstLine="720"/>
      </w:pPr>
      <w:r>
        <w:rPr>
          <w:rFonts w:ascii="Times New Roman" w:cs="Times New Roman" w:eastAsia="Times New Roman" w:hAnsi="Times New Roman"/>
          <w:sz w:val="24"/>
          <w:szCs w:val="24"/>
        </w:rPr>
        <w:t xml:space="preserve">Thể thức văn bản hành chính bao gồm các yếu tố bắt buộc theo quy định tại Chương III Nghị định 30/2020/NĐ-CP:</w:t>
      </w:r>
    </w:p>
    <w:p>
      <w:pPr>
        <w:pStyle w:val="ListParagraph"/>
        <w:numPr>
          <w:ilvl w:val="0"/>
          <w:numId w:val="3"/>
        </w:numPr>
        <w:spacing w:after="40" w:before="40"/>
      </w:pPr>
      <w:r>
        <w:rPr>
          <w:rFonts w:ascii="Times New Roman" w:cs="Times New Roman" w:eastAsia="Times New Roman" w:hAnsi="Times New Roman"/>
          <w:sz w:val="24"/>
          <w:szCs w:val="24"/>
        </w:rPr>
        <w:t xml:space="preserve">Quốc hiệu và Tiêu ngữ: "CỘNG HÒA XÃ HỘI CHỦ NGHĨA VIỆT NAM / Độc lập – Tự do – Hạnh phúc"</w:t>
      </w:r>
    </w:p>
    <w:p>
      <w:pPr>
        <w:pStyle w:val="ListParagraph"/>
        <w:numPr>
          <w:ilvl w:val="0"/>
          <w:numId w:val="3"/>
        </w:numPr>
        <w:spacing w:after="40" w:before="40"/>
      </w:pPr>
      <w:r>
        <w:rPr>
          <w:rFonts w:ascii="Times New Roman" w:cs="Times New Roman" w:eastAsia="Times New Roman" w:hAnsi="Times New Roman"/>
          <w:sz w:val="24"/>
          <w:szCs w:val="24"/>
        </w:rPr>
        <w:t xml:space="preserve">Tên cơ quan, tổ chức ban hành văn bản.</w:t>
      </w:r>
    </w:p>
    <w:p>
      <w:pPr>
        <w:pStyle w:val="ListParagraph"/>
        <w:numPr>
          <w:ilvl w:val="0"/>
          <w:numId w:val="3"/>
        </w:numPr>
        <w:spacing w:after="40" w:before="40"/>
      </w:pPr>
      <w:r>
        <w:rPr>
          <w:rFonts w:ascii="Times New Roman" w:cs="Times New Roman" w:eastAsia="Times New Roman" w:hAnsi="Times New Roman"/>
          <w:sz w:val="24"/>
          <w:szCs w:val="24"/>
        </w:rPr>
        <w:t xml:space="preserve">Số, ký hiệu của văn bản (ví dụ: 123/QĐ-UBND).</w:t>
      </w:r>
    </w:p>
    <w:p>
      <w:pPr>
        <w:pStyle w:val="ListParagraph"/>
        <w:numPr>
          <w:ilvl w:val="0"/>
          <w:numId w:val="3"/>
        </w:numPr>
        <w:spacing w:after="40" w:before="40"/>
      </w:pPr>
      <w:r>
        <w:rPr>
          <w:rFonts w:ascii="Times New Roman" w:cs="Times New Roman" w:eastAsia="Times New Roman" w:hAnsi="Times New Roman"/>
          <w:sz w:val="24"/>
          <w:szCs w:val="24"/>
        </w:rPr>
        <w:t xml:space="preserve">Địa danh và thời gian ban hành văn bản.</w:t>
      </w:r>
    </w:p>
    <w:p>
      <w:pPr>
        <w:pStyle w:val="ListParagraph"/>
        <w:numPr>
          <w:ilvl w:val="0"/>
          <w:numId w:val="3"/>
        </w:numPr>
        <w:spacing w:after="40" w:before="40"/>
      </w:pPr>
      <w:r>
        <w:rPr>
          <w:rFonts w:ascii="Times New Roman" w:cs="Times New Roman" w:eastAsia="Times New Roman" w:hAnsi="Times New Roman"/>
          <w:sz w:val="24"/>
          <w:szCs w:val="24"/>
        </w:rPr>
        <w:t xml:space="preserve">Tên loại và trích yếu nội dung văn bản.</w:t>
      </w:r>
    </w:p>
    <w:p>
      <w:pPr>
        <w:pStyle w:val="ListParagraph"/>
        <w:numPr>
          <w:ilvl w:val="0"/>
          <w:numId w:val="3"/>
        </w:numPr>
        <w:spacing w:after="40" w:before="40"/>
      </w:pPr>
      <w:r>
        <w:rPr>
          <w:rFonts w:ascii="Times New Roman" w:cs="Times New Roman" w:eastAsia="Times New Roman" w:hAnsi="Times New Roman"/>
          <w:sz w:val="24"/>
          <w:szCs w:val="24"/>
        </w:rPr>
        <w:t xml:space="preserve">Nội dung văn bản.</w:t>
      </w:r>
    </w:p>
    <w:p>
      <w:pPr>
        <w:pStyle w:val="ListParagraph"/>
        <w:numPr>
          <w:ilvl w:val="0"/>
          <w:numId w:val="3"/>
        </w:numPr>
        <w:spacing w:after="40" w:before="40"/>
      </w:pPr>
      <w:r>
        <w:rPr>
          <w:rFonts w:ascii="Times New Roman" w:cs="Times New Roman" w:eastAsia="Times New Roman" w:hAnsi="Times New Roman"/>
          <w:sz w:val="24"/>
          <w:szCs w:val="24"/>
        </w:rPr>
        <w:t xml:space="preserve">Chức vụ, họ tên và chữ ký của người có thẩm quyền.</w:t>
      </w:r>
    </w:p>
    <w:p>
      <w:pPr>
        <w:pStyle w:val="ListParagraph"/>
        <w:numPr>
          <w:ilvl w:val="0"/>
          <w:numId w:val="3"/>
        </w:numPr>
        <w:spacing w:after="40" w:before="40"/>
      </w:pPr>
      <w:r>
        <w:rPr>
          <w:rFonts w:ascii="Times New Roman" w:cs="Times New Roman" w:eastAsia="Times New Roman" w:hAnsi="Times New Roman"/>
          <w:sz w:val="24"/>
          <w:szCs w:val="24"/>
        </w:rPr>
        <w:t xml:space="preserve">Dấu, chữ ký số của cơ quan, tổ chức.</w:t>
      </w:r>
    </w:p>
    <w:p>
      <w:pPr>
        <w:pStyle w:val="ListParagraph"/>
        <w:numPr>
          <w:ilvl w:val="0"/>
          <w:numId w:val="3"/>
        </w:numPr>
        <w:spacing w:after="40" w:before="40"/>
      </w:pPr>
      <w:r>
        <w:rPr>
          <w:rFonts w:ascii="Times New Roman" w:cs="Times New Roman" w:eastAsia="Times New Roman" w:hAnsi="Times New Roman"/>
          <w:sz w:val="24"/>
          <w:szCs w:val="24"/>
        </w:rPr>
        <w:t xml:space="preserve">Nơi nhận văn bản.</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2.4. Số và ký hiệu văn bản</w:t>
      </w:r>
    </w:p>
    <w:p>
      <w:pPr>
        <w:spacing w:after="60" w:before="40"/>
      </w:pPr>
      <w:r>
        <w:rPr>
          <w:rFonts w:ascii="Times New Roman" w:cs="Times New Roman" w:eastAsia="Times New Roman" w:hAnsi="Times New Roman"/>
          <w:i/>
          <w:iCs/>
          <w:color w:val="666666"/>
          <w:sz w:val="20"/>
          <w:szCs w:val="20"/>
        </w:rPr>
        <w:t xml:space="preserve">[Nguồn: Nghị định 30/2020/NĐ-CP – Điều 10]</w:t>
      </w:r>
    </w:p>
    <w:p>
      <w:pPr>
        <w:spacing w:after="60" w:before="60"/>
        <w:ind w:firstLine="720"/>
      </w:pPr>
      <w:r>
        <w:rPr>
          <w:rFonts w:ascii="Times New Roman" w:cs="Times New Roman" w:eastAsia="Times New Roman" w:hAnsi="Times New Roman"/>
          <w:sz w:val="24"/>
          <w:szCs w:val="24"/>
        </w:rPr>
        <w:t xml:space="preserve">Số và ký hiệu văn bản được đánh theo quy định:</w:t>
      </w:r>
    </w:p>
    <w:p>
      <w:pPr>
        <w:pStyle w:val="ListParagraph"/>
        <w:numPr>
          <w:ilvl w:val="0"/>
          <w:numId w:val="2"/>
        </w:numPr>
        <w:spacing w:after="40" w:before="40"/>
      </w:pPr>
      <w:r>
        <w:rPr>
          <w:rFonts w:ascii="Times New Roman" w:cs="Times New Roman" w:eastAsia="Times New Roman" w:hAnsi="Times New Roman"/>
          <w:sz w:val="24"/>
          <w:szCs w:val="24"/>
        </w:rPr>
        <w:t xml:space="preserve">Số văn bản: đánh từ số 01 bắt đầu từ ngày 01 tháng 01 và kết thúc vào ngày 31 tháng 12 hàng năm.</w:t>
      </w:r>
    </w:p>
    <w:p>
      <w:pPr>
        <w:pStyle w:val="ListParagraph"/>
        <w:numPr>
          <w:ilvl w:val="0"/>
          <w:numId w:val="2"/>
        </w:numPr>
        <w:spacing w:after="40" w:before="40"/>
      </w:pPr>
      <w:r>
        <w:rPr>
          <w:rFonts w:ascii="Times New Roman" w:cs="Times New Roman" w:eastAsia="Times New Roman" w:hAnsi="Times New Roman"/>
          <w:sz w:val="24"/>
          <w:szCs w:val="24"/>
        </w:rPr>
        <w:t xml:space="preserve">Ký hiệu văn bản quy phạm pháp luật bao gồm chữ viết tắt tên loại văn bản và chữ viết tắt tên cơ quan ban hành (ví dụ: NĐ-CP, TT-BTC).</w:t>
      </w:r>
    </w:p>
    <w:p>
      <w:pPr>
        <w:pStyle w:val="ListParagraph"/>
        <w:numPr>
          <w:ilvl w:val="0"/>
          <w:numId w:val="2"/>
        </w:numPr>
        <w:spacing w:after="40" w:before="40"/>
      </w:pPr>
      <w:r>
        <w:rPr>
          <w:rFonts w:ascii="Times New Roman" w:cs="Times New Roman" w:eastAsia="Times New Roman" w:hAnsi="Times New Roman"/>
          <w:sz w:val="24"/>
          <w:szCs w:val="24"/>
        </w:rPr>
        <w:t xml:space="preserve">Ký hiệu văn bản hành chính gồm chữ viết tắt tên loại văn bản và chữ viết tắt tên cơ quan, tổ chức ban hành (ví dụ: QĐ-UBND, CV-SNV).</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III. CHẾ ĐỘ CÔNG VỤ, CÔNG CHỨC, VIÊN CHỨC</w:t>
      </w:r>
    </w:p>
    <w:p>
      <w:pPr>
        <w:spacing w:after="60" w:before="40"/>
      </w:pPr>
      <w:r>
        <w:rPr>
          <w:rFonts w:ascii="Times New Roman" w:cs="Times New Roman" w:eastAsia="Times New Roman" w:hAnsi="Times New Roman"/>
          <w:i/>
          <w:iCs/>
          <w:color w:val="666666"/>
          <w:sz w:val="20"/>
          <w:szCs w:val="20"/>
        </w:rPr>
        <w:t xml:space="preserve">[Nguồn: Luật Cán bộ, công chức số 22/2008/QH12 (sửa đổi, bổ sung năm 2019 – Luật số 52/2019/QH14); Luật Viên chức số 58/2010/QH12 (sửa đổi, bổ sung năm 2019)]</w:t>
      </w:r>
    </w:p>
    <w:p>
      <w:pPr>
        <w:pStyle w:val="Heading2"/>
        <w:spacing w:after="80" w:before="200"/>
      </w:pPr>
      <w:r>
        <w:rPr>
          <w:rFonts w:ascii="Times New Roman" w:cs="Times New Roman" w:eastAsia="Times New Roman" w:hAnsi="Times New Roman"/>
          <w:b/>
          <w:bCs/>
          <w:color w:val="1F3864"/>
          <w:sz w:val="26"/>
          <w:szCs w:val="26"/>
        </w:rPr>
        <w:t xml:space="preserve">3.1. Phân biệt Cán bộ, Công chức và Viên chức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426"/>
      </w:tblGrid>
      <w:tr>
        <w:trPr>
          <w:tblHeader/>
        </w:trPr>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Tiêu chí</w:t>
            </w:r>
          </w:p>
        </w:tc>
        <w:tc>
          <w:tcPr>
            <w:tcW w:type="dxa" w:w="23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Cán bộ</w:t>
            </w:r>
          </w:p>
        </w:tc>
        <w:tc>
          <w:tcPr>
            <w:tcW w:type="dxa" w:w="23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Công chức</w:t>
            </w:r>
          </w:p>
        </w:tc>
        <w:tc>
          <w:tcPr>
            <w:tcW w:type="dxa" w:w="24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Viên chức</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Định nghĩa pháp lý</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Người được bầu cử, phê chuẩn, bổ nhiệm giữ chức vụ, chức danh theo nhiệm kỳ</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Người được tuyển dụng, bổ nhiệm vào ngạch, chức vụ trong cơ quan nhà nước</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Người tuyển dụng vào đơn vị sự nghiệp công lập theo chế độ hợp đồng làm việc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Đơn vị công tác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Cơ quan Đảng, Nhà nước, tổ chức chính trị-xã hội cấp TW và địa phương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Cơ quan nhà nước (Bộ, Sở, UBND, Tòa án, Viện kiểm sát...)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Đơn vị sự nghiệp công lập (bệnh viện, trường học, viện nghiên cứu...)</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Cơ sở pháp lý</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Cán bộ, công chức 2008 (sửa đổi 2019)</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Cán bộ, công chức 2008 (sửa đổi 2019)</w:t>
            </w:r>
          </w:p>
        </w:tc>
        <w:tc>
          <w:tcPr>
            <w:tcW w:type="dxa" w:w="24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Viên chức 2010 (sửa đổi 2019)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Chế độ tuyển dụng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Bầu cử, phê chuẩn, bổ nhiệm theo nhiệm kỳ</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Thi tuyển hoặc xét tuyển; quản lý theo ngạch</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Ký hợp đồng làm việc (xác định thời hạn hoặc không xác định thời hạn)</w:t>
            </w:r>
          </w:p>
        </w:tc>
      </w:tr>
    </w:tbl>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3.2. Ngạch công chức và chức danh nghề nghiệp viên chức</w:t>
      </w:r>
    </w:p>
    <w:p>
      <w:pPr>
        <w:spacing w:after="60" w:before="40"/>
      </w:pPr>
      <w:r>
        <w:rPr>
          <w:rFonts w:ascii="Times New Roman" w:cs="Times New Roman" w:eastAsia="Times New Roman" w:hAnsi="Times New Roman"/>
          <w:i/>
          <w:iCs/>
          <w:color w:val="666666"/>
          <w:sz w:val="20"/>
          <w:szCs w:val="20"/>
        </w:rPr>
        <w:t xml:space="preserve">[Nguồn: Nghị định số 138/2020/NĐ-CP về tuyển dụng, sử dụng và quản lý công chức; Nghị định 115/2020/NĐ-CP về tuyển dụng, sử dụng và quản lý viên chức]</w:t>
      </w:r>
    </w:p>
    <w:p>
      <w:pPr>
        <w:spacing w:after="60" w:before="160"/>
      </w:pPr>
      <w:r>
        <w:rPr>
          <w:rFonts w:ascii="Times New Roman" w:cs="Times New Roman" w:eastAsia="Times New Roman" w:hAnsi="Times New Roman"/>
          <w:b/>
          <w:bCs/>
          <w:color w:val="2E5496"/>
          <w:sz w:val="24"/>
          <w:szCs w:val="24"/>
        </w:rPr>
        <w:t xml:space="preserve">a) Ngạch công chức hành chính (từ cao xuống thấp):</w:t>
      </w:r>
    </w:p>
    <w:p>
      <w:pPr>
        <w:pStyle w:val="ListParagraph"/>
        <w:numPr>
          <w:ilvl w:val="0"/>
          <w:numId w:val="2"/>
        </w:numPr>
        <w:spacing w:after="40" w:before="40"/>
      </w:pPr>
      <w:r>
        <w:rPr>
          <w:rFonts w:ascii="Times New Roman" w:cs="Times New Roman" w:eastAsia="Times New Roman" w:hAnsi="Times New Roman"/>
          <w:sz w:val="24"/>
          <w:szCs w:val="24"/>
        </w:rPr>
        <w:t xml:space="preserve">Chuyên viên cao cấp (tương đương nhóm A3)</w:t>
      </w:r>
    </w:p>
    <w:p>
      <w:pPr>
        <w:pStyle w:val="ListParagraph"/>
        <w:numPr>
          <w:ilvl w:val="0"/>
          <w:numId w:val="2"/>
        </w:numPr>
        <w:spacing w:after="40" w:before="40"/>
      </w:pPr>
      <w:r>
        <w:rPr>
          <w:rFonts w:ascii="Times New Roman" w:cs="Times New Roman" w:eastAsia="Times New Roman" w:hAnsi="Times New Roman"/>
          <w:sz w:val="24"/>
          <w:szCs w:val="24"/>
        </w:rPr>
        <w:t xml:space="preserve">Chuyên viên chính (tương đương nhóm A2)</w:t>
      </w:r>
    </w:p>
    <w:p>
      <w:pPr>
        <w:pStyle w:val="ListParagraph"/>
        <w:numPr>
          <w:ilvl w:val="0"/>
          <w:numId w:val="2"/>
        </w:numPr>
        <w:spacing w:after="40" w:before="40"/>
      </w:pPr>
      <w:r>
        <w:rPr>
          <w:rFonts w:ascii="Times New Roman" w:cs="Times New Roman" w:eastAsia="Times New Roman" w:hAnsi="Times New Roman"/>
          <w:sz w:val="24"/>
          <w:szCs w:val="24"/>
        </w:rPr>
        <w:t xml:space="preserve">Chuyên viên (tương đương nhóm A1)</w:t>
      </w:r>
    </w:p>
    <w:p>
      <w:pPr>
        <w:pStyle w:val="ListParagraph"/>
        <w:numPr>
          <w:ilvl w:val="0"/>
          <w:numId w:val="2"/>
        </w:numPr>
        <w:spacing w:after="40" w:before="40"/>
      </w:pPr>
      <w:r>
        <w:rPr>
          <w:rFonts w:ascii="Times New Roman" w:cs="Times New Roman" w:eastAsia="Times New Roman" w:hAnsi="Times New Roman"/>
          <w:sz w:val="24"/>
          <w:szCs w:val="24"/>
        </w:rPr>
        <w:t xml:space="preserve">Cán sự (tương đương nhóm B)</w:t>
      </w:r>
    </w:p>
    <w:p>
      <w:pPr>
        <w:pStyle w:val="ListParagraph"/>
        <w:numPr>
          <w:ilvl w:val="0"/>
          <w:numId w:val="2"/>
        </w:numPr>
        <w:spacing w:after="40" w:before="40"/>
      </w:pPr>
      <w:r>
        <w:rPr>
          <w:rFonts w:ascii="Times New Roman" w:cs="Times New Roman" w:eastAsia="Times New Roman" w:hAnsi="Times New Roman"/>
          <w:sz w:val="24"/>
          <w:szCs w:val="24"/>
        </w:rPr>
        <w:t xml:space="preserve">Nhân viên (tương đương nhóm C)</w:t>
      </w:r>
    </w:p>
    <w:p>
      <w:pPr>
        <w:spacing w:after="60" w:before="60"/>
      </w:pPr>
      <w:r>
        <w:t xml:space="preserve"/>
      </w:r>
    </w:p>
    <w:p>
      <w:pPr>
        <w:spacing w:after="60" w:before="160"/>
      </w:pPr>
      <w:r>
        <w:rPr>
          <w:rFonts w:ascii="Times New Roman" w:cs="Times New Roman" w:eastAsia="Times New Roman" w:hAnsi="Times New Roman"/>
          <w:b/>
          <w:bCs/>
          <w:color w:val="2E5496"/>
          <w:sz w:val="24"/>
          <w:szCs w:val="24"/>
        </w:rPr>
        <w:t xml:space="preserve">b) Chức danh nghề nghiệp viên chức:</w:t>
      </w:r>
    </w:p>
    <w:p>
      <w:pPr>
        <w:spacing w:after="60" w:before="60"/>
        <w:ind w:firstLine="720"/>
      </w:pPr>
      <w:r>
        <w:rPr>
          <w:rFonts w:ascii="Times New Roman" w:cs="Times New Roman" w:eastAsia="Times New Roman" w:hAnsi="Times New Roman"/>
          <w:sz w:val="24"/>
          <w:szCs w:val="24"/>
        </w:rPr>
        <w:t xml:space="preserve">Viên chức được phân theo chức danh nghề nghiệp tương ứng từng lĩnh vực chuyên môn (giáo viên, bác sĩ, kỹ sư, kiến trúc sư, luật sư...) và xếp theo hạng I, II, III, IV.</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3.3. Quyền và nghĩa vụ cơ bản của công chức</w:t>
      </w:r>
    </w:p>
    <w:p>
      <w:pPr>
        <w:spacing w:after="60" w:before="40"/>
      </w:pPr>
      <w:r>
        <w:rPr>
          <w:rFonts w:ascii="Times New Roman" w:cs="Times New Roman" w:eastAsia="Times New Roman" w:hAnsi="Times New Roman"/>
          <w:i/>
          <w:iCs/>
          <w:color w:val="666666"/>
          <w:sz w:val="20"/>
          <w:szCs w:val="20"/>
        </w:rPr>
        <w:t xml:space="preserve">[Nguồn: Luật Cán bộ, công chức số 22/2008/QH12, sửa đổi bổ sung 2019 – Chương II]</w:t>
      </w:r>
    </w:p>
    <w:p>
      <w:pPr>
        <w:spacing w:after="60" w:before="160"/>
      </w:pPr>
      <w:r>
        <w:rPr>
          <w:rFonts w:ascii="Times New Roman" w:cs="Times New Roman" w:eastAsia="Times New Roman" w:hAnsi="Times New Roman"/>
          <w:b/>
          <w:bCs/>
          <w:color w:val="2E5496"/>
          <w:sz w:val="24"/>
          <w:szCs w:val="24"/>
        </w:rPr>
        <w:t xml:space="preserve">a) Quyền của công chức (Điều 11–14 Luật CBCC 2008):</w:t>
      </w:r>
    </w:p>
    <w:p>
      <w:pPr>
        <w:pStyle w:val="ListParagraph"/>
        <w:numPr>
          <w:ilvl w:val="0"/>
          <w:numId w:val="2"/>
        </w:numPr>
        <w:spacing w:after="40" w:before="40"/>
      </w:pPr>
      <w:r>
        <w:rPr>
          <w:rFonts w:ascii="Times New Roman" w:cs="Times New Roman" w:eastAsia="Times New Roman" w:hAnsi="Times New Roman"/>
          <w:sz w:val="24"/>
          <w:szCs w:val="24"/>
        </w:rPr>
        <w:t xml:space="preserve">Được bảo đảm điều kiện thi hành công vụ.</w:t>
      </w:r>
    </w:p>
    <w:p>
      <w:pPr>
        <w:pStyle w:val="ListParagraph"/>
        <w:numPr>
          <w:ilvl w:val="0"/>
          <w:numId w:val="2"/>
        </w:numPr>
        <w:spacing w:after="40" w:before="40"/>
      </w:pPr>
      <w:r>
        <w:rPr>
          <w:rFonts w:ascii="Times New Roman" w:cs="Times New Roman" w:eastAsia="Times New Roman" w:hAnsi="Times New Roman"/>
          <w:sz w:val="24"/>
          <w:szCs w:val="24"/>
        </w:rPr>
        <w:t xml:space="preserve">Được đào tạo, bồi dưỡng nâng cao năng lực, trình độ.</w:t>
      </w:r>
    </w:p>
    <w:p>
      <w:pPr>
        <w:pStyle w:val="ListParagraph"/>
        <w:numPr>
          <w:ilvl w:val="0"/>
          <w:numId w:val="2"/>
        </w:numPr>
        <w:spacing w:after="40" w:before="40"/>
      </w:pPr>
      <w:r>
        <w:rPr>
          <w:rFonts w:ascii="Times New Roman" w:cs="Times New Roman" w:eastAsia="Times New Roman" w:hAnsi="Times New Roman"/>
          <w:sz w:val="24"/>
          <w:szCs w:val="24"/>
        </w:rPr>
        <w:t xml:space="preserve">Được hưởng tiền lương và các chế độ đãi ngộ, bảo hiểm xã hội.</w:t>
      </w:r>
    </w:p>
    <w:p>
      <w:pPr>
        <w:pStyle w:val="ListParagraph"/>
        <w:numPr>
          <w:ilvl w:val="0"/>
          <w:numId w:val="2"/>
        </w:numPr>
        <w:spacing w:after="40" w:before="40"/>
      </w:pPr>
      <w:r>
        <w:rPr>
          <w:rFonts w:ascii="Times New Roman" w:cs="Times New Roman" w:eastAsia="Times New Roman" w:hAnsi="Times New Roman"/>
          <w:sz w:val="24"/>
          <w:szCs w:val="24"/>
        </w:rPr>
        <w:t xml:space="preserve">Được nghỉ ngơi theo quy định của pháp luật lao động và pháp luật về cán bộ, công chức.</w:t>
      </w:r>
    </w:p>
    <w:p>
      <w:pPr>
        <w:pStyle w:val="ListParagraph"/>
        <w:numPr>
          <w:ilvl w:val="0"/>
          <w:numId w:val="2"/>
        </w:numPr>
        <w:spacing w:after="40" w:before="40"/>
      </w:pPr>
      <w:r>
        <w:rPr>
          <w:rFonts w:ascii="Times New Roman" w:cs="Times New Roman" w:eastAsia="Times New Roman" w:hAnsi="Times New Roman"/>
          <w:sz w:val="24"/>
          <w:szCs w:val="24"/>
        </w:rPr>
        <w:t xml:space="preserve">Được bảo vệ khi thi hành công vụ.</w:t>
      </w:r>
    </w:p>
    <w:p>
      <w:pPr>
        <w:spacing w:after="60" w:before="60"/>
      </w:pPr>
      <w:r>
        <w:t xml:space="preserve"/>
      </w:r>
    </w:p>
    <w:p>
      <w:pPr>
        <w:spacing w:after="60" w:before="160"/>
      </w:pPr>
      <w:r>
        <w:rPr>
          <w:rFonts w:ascii="Times New Roman" w:cs="Times New Roman" w:eastAsia="Times New Roman" w:hAnsi="Times New Roman"/>
          <w:b/>
          <w:bCs/>
          <w:color w:val="2E5496"/>
          <w:sz w:val="24"/>
          <w:szCs w:val="24"/>
        </w:rPr>
        <w:t xml:space="preserve">b) Nghĩa vụ của công chức (Điều 8–10 Luật CBCC 2008):</w:t>
      </w:r>
    </w:p>
    <w:p>
      <w:pPr>
        <w:pStyle w:val="ListParagraph"/>
        <w:numPr>
          <w:ilvl w:val="0"/>
          <w:numId w:val="2"/>
        </w:numPr>
        <w:spacing w:after="40" w:before="40"/>
      </w:pPr>
      <w:r>
        <w:rPr>
          <w:rFonts w:ascii="Times New Roman" w:cs="Times New Roman" w:eastAsia="Times New Roman" w:hAnsi="Times New Roman"/>
          <w:sz w:val="24"/>
          <w:szCs w:val="24"/>
        </w:rPr>
        <w:t xml:space="preserve">Trung thành với Đảng Cộng sản Việt Nam, Nhà nước, Nhân dân và Hiến pháp.</w:t>
      </w:r>
    </w:p>
    <w:p>
      <w:pPr>
        <w:pStyle w:val="ListParagraph"/>
        <w:numPr>
          <w:ilvl w:val="0"/>
          <w:numId w:val="2"/>
        </w:numPr>
        <w:spacing w:after="40" w:before="40"/>
      </w:pPr>
      <w:r>
        <w:rPr>
          <w:rFonts w:ascii="Times New Roman" w:cs="Times New Roman" w:eastAsia="Times New Roman" w:hAnsi="Times New Roman"/>
          <w:sz w:val="24"/>
          <w:szCs w:val="24"/>
        </w:rPr>
        <w:t xml:space="preserve">Bảo vệ danh dự Tổ quốc và lợi ích quốc gia.</w:t>
      </w:r>
    </w:p>
    <w:p>
      <w:pPr>
        <w:pStyle w:val="ListParagraph"/>
        <w:numPr>
          <w:ilvl w:val="0"/>
          <w:numId w:val="2"/>
        </w:numPr>
        <w:spacing w:after="40" w:before="40"/>
      </w:pPr>
      <w:r>
        <w:rPr>
          <w:rFonts w:ascii="Times New Roman" w:cs="Times New Roman" w:eastAsia="Times New Roman" w:hAnsi="Times New Roman"/>
          <w:sz w:val="24"/>
          <w:szCs w:val="24"/>
        </w:rPr>
        <w:t xml:space="preserve">Tôn trọng Nhân dân, tận tụy phục vụ Nhân dân.</w:t>
      </w:r>
    </w:p>
    <w:p>
      <w:pPr>
        <w:pStyle w:val="ListParagraph"/>
        <w:numPr>
          <w:ilvl w:val="0"/>
          <w:numId w:val="2"/>
        </w:numPr>
        <w:spacing w:after="40" w:before="40"/>
      </w:pPr>
      <w:r>
        <w:rPr>
          <w:rFonts w:ascii="Times New Roman" w:cs="Times New Roman" w:eastAsia="Times New Roman" w:hAnsi="Times New Roman"/>
          <w:sz w:val="24"/>
          <w:szCs w:val="24"/>
        </w:rPr>
        <w:t xml:space="preserve">Liên hệ chặt chẽ với Nhân dân, lắng nghe ý kiến và chịu sự giám sát của Nhân dân.</w:t>
      </w:r>
    </w:p>
    <w:p>
      <w:pPr>
        <w:pStyle w:val="ListParagraph"/>
        <w:numPr>
          <w:ilvl w:val="0"/>
          <w:numId w:val="2"/>
        </w:numPr>
        <w:spacing w:after="40" w:before="40"/>
      </w:pPr>
      <w:r>
        <w:rPr>
          <w:rFonts w:ascii="Times New Roman" w:cs="Times New Roman" w:eastAsia="Times New Roman" w:hAnsi="Times New Roman"/>
          <w:sz w:val="24"/>
          <w:szCs w:val="24"/>
        </w:rPr>
        <w:t xml:space="preserve">Chấp hành nghiêm chỉnh đường lối, chủ trương của Đảng và chính sách, pháp luật của Nhà nước.</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3.4. Đánh giá, xếp loại công chức</w:t>
      </w:r>
    </w:p>
    <w:p>
      <w:pPr>
        <w:spacing w:after="60" w:before="40"/>
      </w:pPr>
      <w:r>
        <w:rPr>
          <w:rFonts w:ascii="Times New Roman" w:cs="Times New Roman" w:eastAsia="Times New Roman" w:hAnsi="Times New Roman"/>
          <w:i/>
          <w:iCs/>
          <w:color w:val="666666"/>
          <w:sz w:val="20"/>
          <w:szCs w:val="20"/>
        </w:rPr>
        <w:t xml:space="preserve">[Nguồn: Nghị định số 90/2020/NĐ-CP ngày 13/8/2020 của Chính phủ về đánh giá, xếp loại chất lượng cán bộ, công chức, viên chức]</w:t>
      </w:r>
    </w:p>
    <w:p>
      <w:pPr>
        <w:spacing w:after="60" w:before="60"/>
        <w:ind w:firstLine="720"/>
      </w:pPr>
      <w:r>
        <w:rPr>
          <w:rFonts w:ascii="Times New Roman" w:cs="Times New Roman" w:eastAsia="Times New Roman" w:hAnsi="Times New Roman"/>
          <w:sz w:val="24"/>
          <w:szCs w:val="24"/>
        </w:rPr>
        <w:t xml:space="preserve">Theo Nghị định 90/2020/NĐ-CP, công chức được đánh giá, xếp loại chất lượng hàng năm theo 4 mức:</w:t>
      </w:r>
    </w:p>
    <w:p>
      <w:pPr>
        <w:pStyle w:val="ListParagraph"/>
        <w:numPr>
          <w:ilvl w:val="0"/>
          <w:numId w:val="2"/>
        </w:numPr>
        <w:spacing w:after="40" w:before="40"/>
      </w:pPr>
      <w:r>
        <w:rPr>
          <w:rFonts w:ascii="Times New Roman" w:cs="Times New Roman" w:eastAsia="Times New Roman" w:hAnsi="Times New Roman"/>
          <w:sz w:val="24"/>
          <w:szCs w:val="24"/>
        </w:rPr>
        <w:t xml:space="preserve">Hoàn thành xuất sắc nhiệm vụ</w:t>
      </w:r>
    </w:p>
    <w:p>
      <w:pPr>
        <w:pStyle w:val="ListParagraph"/>
        <w:numPr>
          <w:ilvl w:val="0"/>
          <w:numId w:val="2"/>
        </w:numPr>
        <w:spacing w:after="40" w:before="40"/>
      </w:pPr>
      <w:r>
        <w:rPr>
          <w:rFonts w:ascii="Times New Roman" w:cs="Times New Roman" w:eastAsia="Times New Roman" w:hAnsi="Times New Roman"/>
          <w:sz w:val="24"/>
          <w:szCs w:val="24"/>
        </w:rPr>
        <w:t xml:space="preserve">Hoàn thành tốt nhiệm vụ</w:t>
      </w:r>
    </w:p>
    <w:p>
      <w:pPr>
        <w:pStyle w:val="ListParagraph"/>
        <w:numPr>
          <w:ilvl w:val="0"/>
          <w:numId w:val="2"/>
        </w:numPr>
        <w:spacing w:after="40" w:before="40"/>
      </w:pPr>
      <w:r>
        <w:rPr>
          <w:rFonts w:ascii="Times New Roman" w:cs="Times New Roman" w:eastAsia="Times New Roman" w:hAnsi="Times New Roman"/>
          <w:sz w:val="24"/>
          <w:szCs w:val="24"/>
        </w:rPr>
        <w:t xml:space="preserve">Hoàn thành nhiệm vụ</w:t>
      </w:r>
    </w:p>
    <w:p>
      <w:pPr>
        <w:pStyle w:val="ListParagraph"/>
        <w:numPr>
          <w:ilvl w:val="0"/>
          <w:numId w:val="2"/>
        </w:numPr>
        <w:spacing w:after="40" w:before="40"/>
      </w:pPr>
      <w:r>
        <w:rPr>
          <w:rFonts w:ascii="Times New Roman" w:cs="Times New Roman" w:eastAsia="Times New Roman" w:hAnsi="Times New Roman"/>
          <w:sz w:val="24"/>
          <w:szCs w:val="24"/>
        </w:rPr>
        <w:t xml:space="preserve">Không hoàn thành nhiệm vụ</w:t>
      </w:r>
    </w:p>
    <w:p>
      <w:pPr>
        <w:spacing w:after="60" w:before="60"/>
        <w:ind w:firstLine="720"/>
      </w:pPr>
      <w:r>
        <w:rPr>
          <w:rFonts w:ascii="Times New Roman" w:cs="Times New Roman" w:eastAsia="Times New Roman" w:hAnsi="Times New Roman"/>
          <w:sz w:val="24"/>
          <w:szCs w:val="24"/>
        </w:rPr>
        <w:t xml:space="preserve">Kết quả đánh giá là căn cứ để bình xét thi đua, khen thưởng; quy hoạch, đào tạo, bổ nhiệm, điều động, luân chuyển, biệt phái; từ chối nâng bậc lương hoặc xem xét cho thôi việc.</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IV. TRÌNH TỰ, THỦ TỤC HÀNH CHÍNH</w:t>
      </w:r>
    </w:p>
    <w:p>
      <w:pPr>
        <w:spacing w:after="60" w:before="40"/>
      </w:pPr>
      <w:r>
        <w:rPr>
          <w:rFonts w:ascii="Times New Roman" w:cs="Times New Roman" w:eastAsia="Times New Roman" w:hAnsi="Times New Roman"/>
          <w:i/>
          <w:iCs/>
          <w:color w:val="666666"/>
          <w:sz w:val="20"/>
          <w:szCs w:val="20"/>
        </w:rPr>
        <w:t xml:space="preserve">[Nguồn: Luật Ban hành văn bản quy phạm pháp luật năm 2015 (sửa đổi 2020); Nghị định 63/2010/NĐ-CP về kiểm soát thủ tục hành chính (sửa đổi bởi Nghị định 48/2013/NĐ-CP và 92/2017/NĐ-CP)]</w:t>
      </w:r>
    </w:p>
    <w:p>
      <w:pPr>
        <w:pStyle w:val="Heading2"/>
        <w:spacing w:after="80" w:before="200"/>
      </w:pPr>
      <w:r>
        <w:rPr>
          <w:rFonts w:ascii="Times New Roman" w:cs="Times New Roman" w:eastAsia="Times New Roman" w:hAnsi="Times New Roman"/>
          <w:b/>
          <w:bCs/>
          <w:color w:val="1F3864"/>
          <w:sz w:val="26"/>
          <w:szCs w:val="26"/>
        </w:rPr>
        <w:t xml:space="preserve">4.1. Nguyên tắc thực hiện thủ tục hành chính</w:t>
      </w:r>
    </w:p>
    <w:p>
      <w:pPr>
        <w:spacing w:after="60" w:before="40"/>
      </w:pPr>
      <w:r>
        <w:rPr>
          <w:rFonts w:ascii="Times New Roman" w:cs="Times New Roman" w:eastAsia="Times New Roman" w:hAnsi="Times New Roman"/>
          <w:i/>
          <w:iCs/>
          <w:color w:val="666666"/>
          <w:sz w:val="20"/>
          <w:szCs w:val="20"/>
        </w:rPr>
        <w:t xml:space="preserve">[Nguồn: Điều 3 Nghị định 63/2010/NĐ-CP về kiểm soát thủ tục hành chính]</w:t>
      </w:r>
    </w:p>
    <w:p>
      <w:pPr>
        <w:pStyle w:val="ListParagraph"/>
        <w:numPr>
          <w:ilvl w:val="0"/>
          <w:numId w:val="2"/>
        </w:numPr>
        <w:spacing w:after="40" w:before="40"/>
      </w:pPr>
      <w:r>
        <w:rPr>
          <w:rFonts w:ascii="Times New Roman" w:cs="Times New Roman" w:eastAsia="Times New Roman" w:hAnsi="Times New Roman"/>
          <w:sz w:val="24"/>
          <w:szCs w:val="24"/>
        </w:rPr>
        <w:t xml:space="preserve">Thủ tục hành chính phải được quy định trong văn bản quy phạm pháp luật do Quốc hội, Ủy ban Thường vụ Quốc hội, Chính phủ, Thủ tướng Chính phủ ban hành.</w:t>
      </w:r>
    </w:p>
    <w:p>
      <w:pPr>
        <w:pStyle w:val="ListParagraph"/>
        <w:numPr>
          <w:ilvl w:val="0"/>
          <w:numId w:val="2"/>
        </w:numPr>
        <w:spacing w:after="40" w:before="40"/>
      </w:pPr>
      <w:r>
        <w:rPr>
          <w:rFonts w:ascii="Times New Roman" w:cs="Times New Roman" w:eastAsia="Times New Roman" w:hAnsi="Times New Roman"/>
          <w:sz w:val="24"/>
          <w:szCs w:val="24"/>
        </w:rPr>
        <w:t xml:space="preserve">Thủ tục hành chính phải đơn giản, rõ ràng, đúng pháp luật, có tính khả thi, dễ thực hiện.</w:t>
      </w:r>
    </w:p>
    <w:p>
      <w:pPr>
        <w:pStyle w:val="ListParagraph"/>
        <w:numPr>
          <w:ilvl w:val="0"/>
          <w:numId w:val="2"/>
        </w:numPr>
        <w:spacing w:after="40" w:before="40"/>
      </w:pPr>
      <w:r>
        <w:rPr>
          <w:rFonts w:ascii="Times New Roman" w:cs="Times New Roman" w:eastAsia="Times New Roman" w:hAnsi="Times New Roman"/>
          <w:sz w:val="24"/>
          <w:szCs w:val="24"/>
        </w:rPr>
        <w:t xml:space="preserve">Bảo đảm thực hiện thủ tục hành chính theo cơ chế một cửa, một cửa liên thông.</w:t>
      </w:r>
    </w:p>
    <w:p>
      <w:pPr>
        <w:pStyle w:val="ListParagraph"/>
        <w:numPr>
          <w:ilvl w:val="0"/>
          <w:numId w:val="2"/>
        </w:numPr>
        <w:spacing w:after="40" w:before="40"/>
      </w:pPr>
      <w:r>
        <w:rPr>
          <w:rFonts w:ascii="Times New Roman" w:cs="Times New Roman" w:eastAsia="Times New Roman" w:hAnsi="Times New Roman"/>
          <w:sz w:val="24"/>
          <w:szCs w:val="24"/>
        </w:rPr>
        <w:t xml:space="preserve">Cơ quan nhà nước không được yêu cầu công dân, tổ chức cung cấp thêm giấy tờ, hồ sơ ngoài quy định.</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4.2. Cơ chế một cửa, một cửa liên thông</w:t>
      </w:r>
    </w:p>
    <w:p>
      <w:pPr>
        <w:spacing w:after="60" w:before="40"/>
      </w:pPr>
      <w:r>
        <w:rPr>
          <w:rFonts w:ascii="Times New Roman" w:cs="Times New Roman" w:eastAsia="Times New Roman" w:hAnsi="Times New Roman"/>
          <w:i/>
          <w:iCs/>
          <w:color w:val="666666"/>
          <w:sz w:val="20"/>
          <w:szCs w:val="20"/>
        </w:rPr>
        <w:t xml:space="preserve">[Nguồn: Nghị định số 61/2018/NĐ-CP ngày 23/4/2018 của Chính phủ về thực hiện cơ chế một cửa, một cửa liên thông trong giải quyết thủ tục hành chính]</w:t>
      </w:r>
    </w:p>
    <w:p>
      <w:pPr>
        <w:spacing w:after="60" w:before="60"/>
        <w:ind w:firstLine="720"/>
      </w:pPr>
      <w:r>
        <w:rPr>
          <w:rFonts w:ascii="Times New Roman" w:cs="Times New Roman" w:eastAsia="Times New Roman" w:hAnsi="Times New Roman"/>
          <w:sz w:val="24"/>
          <w:szCs w:val="24"/>
        </w:rPr>
        <w:t xml:space="preserve">Cơ chế một cửa là phương thức tiếp nhận hồ sơ, giải quyết và trả kết quả thủ tục hành chính theo quy trình: tiếp nhận tại bộ phận một cửa → chuyển cơ quan có thẩm quyền giải quyết → trả kết quả tại bộ phận một cửa.</w:t>
      </w:r>
    </w:p>
    <w:p>
      <w:pPr>
        <w:pStyle w:val="ListParagraph"/>
        <w:numPr>
          <w:ilvl w:val="0"/>
          <w:numId w:val="2"/>
        </w:numPr>
        <w:spacing w:after="40" w:before="40"/>
      </w:pPr>
      <w:r>
        <w:rPr>
          <w:rFonts w:ascii="Times New Roman" w:cs="Times New Roman" w:eastAsia="Times New Roman" w:hAnsi="Times New Roman"/>
          <w:sz w:val="24"/>
          <w:szCs w:val="24"/>
        </w:rPr>
        <w:t xml:space="preserve">Bộ phận một cửa được tổ chức tại: UBND cấp xã; UBND cấp huyện; Sở, Ban, Ngành cấp tỉnh; Bộ, cơ quan ngang Bộ.</w:t>
      </w:r>
    </w:p>
    <w:p>
      <w:pPr>
        <w:pStyle w:val="ListParagraph"/>
        <w:numPr>
          <w:ilvl w:val="0"/>
          <w:numId w:val="2"/>
        </w:numPr>
        <w:spacing w:after="40" w:before="40"/>
      </w:pPr>
      <w:r>
        <w:rPr>
          <w:rFonts w:ascii="Times New Roman" w:cs="Times New Roman" w:eastAsia="Times New Roman" w:hAnsi="Times New Roman"/>
          <w:sz w:val="24"/>
          <w:szCs w:val="24"/>
        </w:rPr>
        <w:t xml:space="preserve">Thời hạn giải quyết, tình trạng hồ sơ phải được công khai, minh bạch để người dân theo dõi.</w:t>
      </w:r>
    </w:p>
    <w:p>
      <w:pPr>
        <w:pStyle w:val="ListParagraph"/>
        <w:numPr>
          <w:ilvl w:val="0"/>
          <w:numId w:val="2"/>
        </w:numPr>
        <w:spacing w:after="40" w:before="40"/>
      </w:pPr>
      <w:r>
        <w:rPr>
          <w:rFonts w:ascii="Times New Roman" w:cs="Times New Roman" w:eastAsia="Times New Roman" w:hAnsi="Times New Roman"/>
          <w:sz w:val="24"/>
          <w:szCs w:val="24"/>
        </w:rPr>
        <w:t xml:space="preserve">Cổng Dịch vụ công quốc gia (dichvucong.gov.vn) là nơi cung cấp thông tin và tiếp nhận hồ sơ trực tuyến.</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4.3. Thời hạn giải quyết thủ tục hành chính</w:t>
      </w:r>
    </w:p>
    <w:p>
      <w:pPr>
        <w:spacing w:after="60" w:before="40"/>
      </w:pPr>
      <w:r>
        <w:rPr>
          <w:rFonts w:ascii="Times New Roman" w:cs="Times New Roman" w:eastAsia="Times New Roman" w:hAnsi="Times New Roman"/>
          <w:i/>
          <w:iCs/>
          <w:color w:val="666666"/>
          <w:sz w:val="20"/>
          <w:szCs w:val="20"/>
        </w:rPr>
        <w:t xml:space="preserve">[Nguồn: Nghị định 61/2018/NĐ-CP – Điều 18; các Quyết định công bố thủ tục hành chính của từng Bộ, ngành]</w:t>
      </w:r>
    </w:p>
    <w:p>
      <w:pPr>
        <w:spacing w:after="60" w:before="60"/>
        <w:ind w:firstLine="720"/>
      </w:pPr>
      <w:r>
        <w:rPr>
          <w:rFonts w:ascii="Times New Roman" w:cs="Times New Roman" w:eastAsia="Times New Roman" w:hAnsi="Times New Roman"/>
          <w:sz w:val="24"/>
          <w:szCs w:val="24"/>
        </w:rPr>
        <w:t xml:space="preserve">Thời hạn giải quyết hồ sơ được tính bằng ngày làm việc (không tính ngày nghỉ lễ, Tết, ngày nghỉ hàng tuần) và được quy định cụ thể trong từng thủ tục hành chính. Nếu quá hạn, cán bộ thụ lý phải thông báo bằng văn bản cho người nộp hồ sơ, nêu rõ lý do và thời điểm trả kết quả.</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V. CHẾ ĐỘ HỌP, TIẾP CÔNG DÂN VÀ PHÒNG CHỐNG THAM NHŨNG</w:t>
      </w:r>
    </w:p>
    <w:p>
      <w:pPr>
        <w:pStyle w:val="Heading2"/>
        <w:spacing w:after="80" w:before="200"/>
      </w:pPr>
      <w:r>
        <w:rPr>
          <w:rFonts w:ascii="Times New Roman" w:cs="Times New Roman" w:eastAsia="Times New Roman" w:hAnsi="Times New Roman"/>
          <w:b/>
          <w:bCs/>
          <w:color w:val="1F3864"/>
          <w:sz w:val="26"/>
          <w:szCs w:val="26"/>
        </w:rPr>
        <w:t xml:space="preserve">5.1. Chế độ họp trong cơ quan hành chính nhà nước</w:t>
      </w:r>
    </w:p>
    <w:p>
      <w:pPr>
        <w:spacing w:after="60" w:before="40"/>
      </w:pPr>
      <w:r>
        <w:rPr>
          <w:rFonts w:ascii="Times New Roman" w:cs="Times New Roman" w:eastAsia="Times New Roman" w:hAnsi="Times New Roman"/>
          <w:i/>
          <w:iCs/>
          <w:color w:val="666666"/>
          <w:sz w:val="20"/>
          <w:szCs w:val="20"/>
        </w:rPr>
        <w:t xml:space="preserve">[Nguồn: Quyết định số 45/2018/QĐ-TTg ngày 09/11/2018 của Thủ tướng Chính phủ về chế độ họp trong hoạt động quản lý điều hành của cơ quan thuộc hệ thống hành chính nhà nước]</w:t>
      </w:r>
    </w:p>
    <w:p>
      <w:pPr>
        <w:pStyle w:val="ListParagraph"/>
        <w:numPr>
          <w:ilvl w:val="0"/>
          <w:numId w:val="2"/>
        </w:numPr>
        <w:spacing w:after="40" w:before="40"/>
      </w:pPr>
      <w:r>
        <w:rPr>
          <w:rFonts w:ascii="Times New Roman" w:cs="Times New Roman" w:eastAsia="Times New Roman" w:hAnsi="Times New Roman"/>
          <w:sz w:val="24"/>
          <w:szCs w:val="24"/>
        </w:rPr>
        <w:t xml:space="preserve">Cuộc họp phải có mục đích, yêu cầu rõ ràng; chỉ tổ chức khi thực sự cần thiết.</w:t>
      </w:r>
    </w:p>
    <w:p>
      <w:pPr>
        <w:pStyle w:val="ListParagraph"/>
        <w:numPr>
          <w:ilvl w:val="0"/>
          <w:numId w:val="2"/>
        </w:numPr>
        <w:spacing w:after="40" w:before="40"/>
      </w:pPr>
      <w:r>
        <w:rPr>
          <w:rFonts w:ascii="Times New Roman" w:cs="Times New Roman" w:eastAsia="Times New Roman" w:hAnsi="Times New Roman"/>
          <w:sz w:val="24"/>
          <w:szCs w:val="24"/>
        </w:rPr>
        <w:t xml:space="preserve">Người chủ trì họp phải chuẩn bị đề cương nội dung họp và gửi cho người tham dự trước ít nhất 3 ngày làm việc.</w:t>
      </w:r>
    </w:p>
    <w:p>
      <w:pPr>
        <w:pStyle w:val="ListParagraph"/>
        <w:numPr>
          <w:ilvl w:val="0"/>
          <w:numId w:val="2"/>
        </w:numPr>
        <w:spacing w:after="40" w:before="40"/>
      </w:pPr>
      <w:r>
        <w:rPr>
          <w:rFonts w:ascii="Times New Roman" w:cs="Times New Roman" w:eastAsia="Times New Roman" w:hAnsi="Times New Roman"/>
          <w:sz w:val="24"/>
          <w:szCs w:val="24"/>
        </w:rPr>
        <w:t xml:space="preserve">Kết quả cuộc họp phải được lập thành biên bản; quyết định kết luận của người chủ trì họp phải được thông báo bằng văn bản trong vòng 3 ngày làm việc sau cuộc họp.</w:t>
      </w:r>
    </w:p>
    <w:p>
      <w:pPr>
        <w:pStyle w:val="ListParagraph"/>
        <w:numPr>
          <w:ilvl w:val="0"/>
          <w:numId w:val="2"/>
        </w:numPr>
        <w:spacing w:after="40" w:before="40"/>
      </w:pPr>
      <w:r>
        <w:rPr>
          <w:rFonts w:ascii="Times New Roman" w:cs="Times New Roman" w:eastAsia="Times New Roman" w:hAnsi="Times New Roman"/>
          <w:sz w:val="24"/>
          <w:szCs w:val="24"/>
        </w:rPr>
        <w:t xml:space="preserve">Khuyến khích họp trực tuyến nhằm tiết kiệm thời gian, kinh phí.</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5.2. Tiếp công dân</w:t>
      </w:r>
    </w:p>
    <w:p>
      <w:pPr>
        <w:spacing w:after="60" w:before="40"/>
      </w:pPr>
      <w:r>
        <w:rPr>
          <w:rFonts w:ascii="Times New Roman" w:cs="Times New Roman" w:eastAsia="Times New Roman" w:hAnsi="Times New Roman"/>
          <w:i/>
          <w:iCs/>
          <w:color w:val="666666"/>
          <w:sz w:val="20"/>
          <w:szCs w:val="20"/>
        </w:rPr>
        <w:t xml:space="preserve">[Nguồn: Luật Tiếp công dân số 42/2013/QH13; Nghị định số 64/2014/NĐ-CP ngày 26/6/2014 quy định chi tiết thi hành một số điều Luật Tiếp công dân]</w:t>
      </w:r>
    </w:p>
    <w:p>
      <w:pPr>
        <w:pStyle w:val="ListParagraph"/>
        <w:numPr>
          <w:ilvl w:val="0"/>
          <w:numId w:val="2"/>
        </w:numPr>
        <w:spacing w:after="40" w:before="40"/>
      </w:pPr>
      <w:r>
        <w:rPr>
          <w:rFonts w:ascii="Times New Roman" w:cs="Times New Roman" w:eastAsia="Times New Roman" w:hAnsi="Times New Roman"/>
          <w:sz w:val="24"/>
          <w:szCs w:val="24"/>
        </w:rPr>
        <w:t xml:space="preserve">Mỗi cơ quan nhà nước phải bố trí địa điểm tiếp công dân và công bố lịch tiếp công dân định kỳ.</w:t>
      </w:r>
    </w:p>
    <w:p>
      <w:pPr>
        <w:pStyle w:val="ListParagraph"/>
        <w:numPr>
          <w:ilvl w:val="0"/>
          <w:numId w:val="2"/>
        </w:numPr>
        <w:spacing w:after="40" w:before="40"/>
      </w:pPr>
      <w:r>
        <w:rPr>
          <w:rFonts w:ascii="Times New Roman" w:cs="Times New Roman" w:eastAsia="Times New Roman" w:hAnsi="Times New Roman"/>
          <w:sz w:val="24"/>
          <w:szCs w:val="24"/>
        </w:rPr>
        <w:t xml:space="preserve">Chủ tịch UBND cấp xã tiếp công dân ít nhất 1 ngày/tuần; Chủ tịch UBND cấp huyện ít nhất 2 ngày/tháng; Chủ tịch UBND cấp tỉnh ít nhất 1 ngày/tháng.</w:t>
      </w:r>
    </w:p>
    <w:p>
      <w:pPr>
        <w:pStyle w:val="ListParagraph"/>
        <w:numPr>
          <w:ilvl w:val="0"/>
          <w:numId w:val="2"/>
        </w:numPr>
        <w:spacing w:after="40" w:before="40"/>
      </w:pPr>
      <w:r>
        <w:rPr>
          <w:rFonts w:ascii="Times New Roman" w:cs="Times New Roman" w:eastAsia="Times New Roman" w:hAnsi="Times New Roman"/>
          <w:sz w:val="24"/>
          <w:szCs w:val="24"/>
        </w:rPr>
        <w:t xml:space="preserve">Trụ sở Tiếp công dân Trung ương được đặt tại Hà Nội (Số 1 Ngô Thì Nhậm, Hà Đông) và tại TP. Hồ Chí Minh (Số 259 Trần Hưng Đạo, Quận 1).</w:t>
      </w:r>
    </w:p>
    <w:p>
      <w:pPr>
        <w:pStyle w:val="ListParagraph"/>
        <w:numPr>
          <w:ilvl w:val="0"/>
          <w:numId w:val="2"/>
        </w:numPr>
        <w:spacing w:after="40" w:before="40"/>
      </w:pPr>
      <w:r>
        <w:rPr>
          <w:rFonts w:ascii="Times New Roman" w:cs="Times New Roman" w:eastAsia="Times New Roman" w:hAnsi="Times New Roman"/>
          <w:sz w:val="24"/>
          <w:szCs w:val="24"/>
        </w:rPr>
        <w:t xml:space="preserve">Đơn thư khiếu nại, tố cáo phải được thụ lý và giải quyết đúng thẩm quyền, thời hạn theo Luật Khiếu nại 2011 và Luật Tố cáo 2018.</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5.3. Phòng chống tham nhũng</w:t>
      </w:r>
    </w:p>
    <w:p>
      <w:pPr>
        <w:spacing w:after="60" w:before="40"/>
      </w:pPr>
      <w:r>
        <w:rPr>
          <w:rFonts w:ascii="Times New Roman" w:cs="Times New Roman" w:eastAsia="Times New Roman" w:hAnsi="Times New Roman"/>
          <w:i/>
          <w:iCs/>
          <w:color w:val="666666"/>
          <w:sz w:val="20"/>
          <w:szCs w:val="20"/>
        </w:rPr>
        <w:t xml:space="preserve">[Nguồn: Luật Phòng, chống tham nhũng số 36/2018/QH14 ngày 20/11/2018 (có hiệu lực từ 01/7/2019)]</w:t>
      </w:r>
    </w:p>
    <w:p>
      <w:pPr>
        <w:pStyle w:val="ListParagraph"/>
        <w:numPr>
          <w:ilvl w:val="0"/>
          <w:numId w:val="2"/>
        </w:numPr>
        <w:spacing w:after="40" w:before="40"/>
      </w:pPr>
      <w:r>
        <w:rPr>
          <w:rFonts w:ascii="Times New Roman" w:cs="Times New Roman" w:eastAsia="Times New Roman" w:hAnsi="Times New Roman"/>
          <w:sz w:val="24"/>
          <w:szCs w:val="24"/>
        </w:rPr>
        <w:t xml:space="preserve">Người có chức vụ, quyền hạn phải kê khai tài sản, thu nhập hàng năm theo quy định (Điều 33 Luật PCTN 2018).</w:t>
      </w:r>
    </w:p>
    <w:p>
      <w:pPr>
        <w:pStyle w:val="ListParagraph"/>
        <w:numPr>
          <w:ilvl w:val="0"/>
          <w:numId w:val="2"/>
        </w:numPr>
        <w:spacing w:after="40" w:before="40"/>
      </w:pPr>
      <w:r>
        <w:rPr>
          <w:rFonts w:ascii="Times New Roman" w:cs="Times New Roman" w:eastAsia="Times New Roman" w:hAnsi="Times New Roman"/>
          <w:sz w:val="24"/>
          <w:szCs w:val="24"/>
        </w:rPr>
        <w:t xml:space="preserve">Cơ quan, tổ chức, đơn vị phải thực hiện công khai, minh bạch trong hoạt động; công khai kết quả tuyển dụng, thi nâng ngạch, đào tạo, bổ nhiệm cán bộ.</w:t>
      </w:r>
    </w:p>
    <w:p>
      <w:pPr>
        <w:pStyle w:val="ListParagraph"/>
        <w:numPr>
          <w:ilvl w:val="0"/>
          <w:numId w:val="2"/>
        </w:numPr>
        <w:spacing w:after="40" w:before="40"/>
      </w:pPr>
      <w:r>
        <w:rPr>
          <w:rFonts w:ascii="Times New Roman" w:cs="Times New Roman" w:eastAsia="Times New Roman" w:hAnsi="Times New Roman"/>
          <w:sz w:val="24"/>
          <w:szCs w:val="24"/>
        </w:rPr>
        <w:t xml:space="preserve">Nghiêm cấm nhận quà tặng dưới mọi hình thức từ cơ quan, tổ chức, cá nhân có liên quan đến công việc do mình giải quyết (Điều 22 Luật PCTN 2018).</w:t>
      </w:r>
    </w:p>
    <w:p>
      <w:pPr>
        <w:pStyle w:val="ListParagraph"/>
        <w:numPr>
          <w:ilvl w:val="0"/>
          <w:numId w:val="2"/>
        </w:numPr>
        <w:spacing w:after="40" w:before="40"/>
      </w:pPr>
      <w:r>
        <w:rPr>
          <w:rFonts w:ascii="Times New Roman" w:cs="Times New Roman" w:eastAsia="Times New Roman" w:hAnsi="Times New Roman"/>
          <w:sz w:val="24"/>
          <w:szCs w:val="24"/>
        </w:rPr>
        <w:t xml:space="preserve">Người đứng đầu cơ quan có trách nhiệm kiểm soát xung đột lợi ích trong cơ quan, tổ chức mình phụ trách.</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VI. CHẾ ĐỘ LƯƠNG, PHỤ CẤP VÀ BẢO HIỂM XÃ HỘI</w:t>
      </w:r>
    </w:p>
    <w:p>
      <w:pPr>
        <w:spacing w:after="60" w:before="40"/>
      </w:pPr>
      <w:r>
        <w:rPr>
          <w:rFonts w:ascii="Times New Roman" w:cs="Times New Roman" w:eastAsia="Times New Roman" w:hAnsi="Times New Roman"/>
          <w:i/>
          <w:iCs/>
          <w:color w:val="666666"/>
          <w:sz w:val="20"/>
          <w:szCs w:val="20"/>
        </w:rPr>
        <w:t xml:space="preserve">[Nguồn: Nghị quyết số 27-NQ/TW ngày 21/5/2018 của Hội nghị Trung ương 7 khóa XII về cải cách chính sách tiền lương; Nghị định số 204/2004/NĐ-CP về chế độ tiền lương (và các Nghị định sửa đổi); Luật Bảo hiểm xã hội số 58/2014/QH13]</w:t>
      </w:r>
    </w:p>
    <w:p>
      <w:pPr>
        <w:pStyle w:val="Heading2"/>
        <w:spacing w:after="80" w:before="200"/>
      </w:pPr>
      <w:r>
        <w:rPr>
          <w:rFonts w:ascii="Times New Roman" w:cs="Times New Roman" w:eastAsia="Times New Roman" w:hAnsi="Times New Roman"/>
          <w:b/>
          <w:bCs/>
          <w:color w:val="1F3864"/>
          <w:sz w:val="26"/>
          <w:szCs w:val="26"/>
        </w:rPr>
        <w:t xml:space="preserve">6.1. Cơ cấu tiền lương công chức</w:t>
      </w:r>
    </w:p>
    <w:p>
      <w:pPr>
        <w:spacing w:after="60" w:before="60"/>
        <w:ind w:firstLine="720"/>
      </w:pPr>
      <w:r>
        <w:rPr>
          <w:rFonts w:ascii="Times New Roman" w:cs="Times New Roman" w:eastAsia="Times New Roman" w:hAnsi="Times New Roman"/>
          <w:sz w:val="24"/>
          <w:szCs w:val="24"/>
        </w:rPr>
        <w:t xml:space="preserve">Tiền lương của công chức được tính theo công thức: Lương = Mức lương cơ sở × Hệ số lương.</w:t>
      </w:r>
    </w:p>
    <w:p>
      <w:pPr>
        <w:spacing w:after="60" w:before="60"/>
        <w:ind w:firstLine="720"/>
      </w:pPr>
      <w:r>
        <w:rPr>
          <w:rFonts w:ascii="Times New Roman" w:cs="Times New Roman" w:eastAsia="Times New Roman" w:hAnsi="Times New Roman"/>
          <w:sz w:val="24"/>
          <w:szCs w:val="24"/>
        </w:rPr>
        <w:t xml:space="preserve">Mức lương cơ sở năm 2024 là 2.340.000 đồng/tháng (theo Nghị định 24/2023/NĐ-CP ngày 14/5/2023 của Chính phủ, có hiệu lực từ 01/7/2023).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Ngạch/Nhóm</w:t>
            </w:r>
          </w:p>
        </w:tc>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Hệ số lương khởi điểm</w:t>
            </w:r>
          </w:p>
        </w:tc>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Hệ số lương tối đa</w:t>
            </w:r>
          </w:p>
        </w:tc>
        <w:tc>
          <w:tcPr>
            <w:tcW w:type="dxa" w:w="20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Số bậc lương</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Chuyên viên cao cấp (A3)</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6,20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8,00</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6 bậc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Chuyên viên chính (A2.2)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6,78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 bậc</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Chuyên viên chính (A2.1)</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4,00</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6,38</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8 bậc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Chuyên viên (A1)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4,98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9 bậc</w:t>
            </w:r>
          </w:p>
        </w:tc>
      </w:tr>
      <w:tr>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Cán sự (B)</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1,86</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4,06</w:t>
            </w:r>
          </w:p>
        </w:tc>
        <w:tc>
          <w:tcPr>
            <w:tcW w:type="dxa" w:w="2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12 bậc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Nhân viên (C1)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3,30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 bậc</w:t>
            </w:r>
          </w:p>
        </w:tc>
      </w:tr>
    </w:tbl>
    <w:p>
      <w:pPr>
        <w:spacing w:after="60" w:before="40"/>
      </w:pPr>
      <w:r>
        <w:rPr>
          <w:rFonts w:ascii="Times New Roman" w:cs="Times New Roman" w:eastAsia="Times New Roman" w:hAnsi="Times New Roman"/>
          <w:i/>
          <w:iCs/>
          <w:color w:val="666666"/>
          <w:sz w:val="20"/>
          <w:szCs w:val="20"/>
        </w:rPr>
        <w:t xml:space="preserve">[Nguồn: Nghị định 204/2004/NĐ-CP và các phụ lục về thang, bảng lương]</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6.2. Các khoản phụ cấp</w:t>
      </w:r>
    </w:p>
    <w:p>
      <w:pPr>
        <w:spacing w:after="60" w:before="40"/>
      </w:pPr>
      <w:r>
        <w:rPr>
          <w:rFonts w:ascii="Times New Roman" w:cs="Times New Roman" w:eastAsia="Times New Roman" w:hAnsi="Times New Roman"/>
          <w:i/>
          <w:iCs/>
          <w:color w:val="666666"/>
          <w:sz w:val="20"/>
          <w:szCs w:val="20"/>
        </w:rPr>
        <w:t xml:space="preserve">[Nguồn: Nghị định 204/2004/NĐ-CP – Điều 4 đến Điều 10 và các Nghị định, Thông tư hướng dẫn]</w:t>
      </w:r>
    </w:p>
    <w:p>
      <w:pPr>
        <w:pStyle w:val="ListParagraph"/>
        <w:numPr>
          <w:ilvl w:val="0"/>
          <w:numId w:val="2"/>
        </w:numPr>
        <w:spacing w:after="40" w:before="40"/>
      </w:pPr>
      <w:r>
        <w:rPr>
          <w:rFonts w:ascii="Times New Roman" w:cs="Times New Roman" w:eastAsia="Times New Roman" w:hAnsi="Times New Roman"/>
          <w:sz w:val="24"/>
          <w:szCs w:val="24"/>
        </w:rPr>
        <w:t xml:space="preserve">Phụ cấp chức vụ lãnh đạo: áp dụng cho cán bộ, công chức giữ chức danh lãnh đạo, hệ số từ 0,1 đến 1,25 tùy cấp.</w:t>
      </w:r>
    </w:p>
    <w:p>
      <w:pPr>
        <w:pStyle w:val="ListParagraph"/>
        <w:numPr>
          <w:ilvl w:val="0"/>
          <w:numId w:val="2"/>
        </w:numPr>
        <w:spacing w:after="40" w:before="40"/>
      </w:pPr>
      <w:r>
        <w:rPr>
          <w:rFonts w:ascii="Times New Roman" w:cs="Times New Roman" w:eastAsia="Times New Roman" w:hAnsi="Times New Roman"/>
          <w:sz w:val="24"/>
          <w:szCs w:val="24"/>
        </w:rPr>
        <w:t xml:space="preserve">Phụ cấp thâm niên vượt khung: công chức đã xếp bậc lương cuối cùng được hưởng thêm 5% sau đó cứ mỗi năm thêm 1%.</w:t>
      </w:r>
    </w:p>
    <w:p>
      <w:pPr>
        <w:pStyle w:val="ListParagraph"/>
        <w:numPr>
          <w:ilvl w:val="0"/>
          <w:numId w:val="2"/>
        </w:numPr>
        <w:spacing w:after="40" w:before="40"/>
      </w:pPr>
      <w:r>
        <w:rPr>
          <w:rFonts w:ascii="Times New Roman" w:cs="Times New Roman" w:eastAsia="Times New Roman" w:hAnsi="Times New Roman"/>
          <w:sz w:val="24"/>
          <w:szCs w:val="24"/>
        </w:rPr>
        <w:t xml:space="preserve">Phụ cấp khu vực: áp dụng cho công chức làm việc ở vùng xa xôi, hẻo lánh, hệ số 0,1 đến 1,0.</w:t>
      </w:r>
    </w:p>
    <w:p>
      <w:pPr>
        <w:pStyle w:val="ListParagraph"/>
        <w:numPr>
          <w:ilvl w:val="0"/>
          <w:numId w:val="2"/>
        </w:numPr>
        <w:spacing w:after="40" w:before="40"/>
      </w:pPr>
      <w:r>
        <w:rPr>
          <w:rFonts w:ascii="Times New Roman" w:cs="Times New Roman" w:eastAsia="Times New Roman" w:hAnsi="Times New Roman"/>
          <w:sz w:val="24"/>
          <w:szCs w:val="24"/>
        </w:rPr>
        <w:t xml:space="preserve">Phụ cấp đặc biệt: áp dụng cho công chức làm việc ở hải đảo, biên giới đặc biệt khó khăn, mức 30%, 50%, 100% lương.</w:t>
      </w:r>
    </w:p>
    <w:p>
      <w:pPr>
        <w:pStyle w:val="ListParagraph"/>
        <w:numPr>
          <w:ilvl w:val="0"/>
          <w:numId w:val="2"/>
        </w:numPr>
        <w:spacing w:after="40" w:before="40"/>
      </w:pPr>
      <w:r>
        <w:rPr>
          <w:rFonts w:ascii="Times New Roman" w:cs="Times New Roman" w:eastAsia="Times New Roman" w:hAnsi="Times New Roman"/>
          <w:sz w:val="24"/>
          <w:szCs w:val="24"/>
        </w:rPr>
        <w:t xml:space="preserve">Phụ cấp độc hại, nguy hiểm: áp dụng cho các ngành đặc thù, hệ số 0,1 đến 0,4.</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6.3. Chế độ bảo hiểm xã hội bắt buộc</w:t>
      </w:r>
    </w:p>
    <w:p>
      <w:pPr>
        <w:spacing w:after="60" w:before="40"/>
      </w:pPr>
      <w:r>
        <w:rPr>
          <w:rFonts w:ascii="Times New Roman" w:cs="Times New Roman" w:eastAsia="Times New Roman" w:hAnsi="Times New Roman"/>
          <w:i/>
          <w:iCs/>
          <w:color w:val="666666"/>
          <w:sz w:val="20"/>
          <w:szCs w:val="20"/>
        </w:rPr>
        <w:t xml:space="preserve">[Nguồn: Luật Bảo hiểm xã hội số 58/2014/QH13 – Mục 1 Chương III; Quyết định 595/QĐ-BHXH ngày 14/4/2017]</w:t>
      </w:r>
    </w:p>
    <w:p>
      <w:pPr>
        <w:spacing w:after="60" w:before="60"/>
        <w:ind w:firstLine="720"/>
      </w:pPr>
      <w:r>
        <w:rPr>
          <w:rFonts w:ascii="Times New Roman" w:cs="Times New Roman" w:eastAsia="Times New Roman" w:hAnsi="Times New Roman"/>
          <w:sz w:val="24"/>
          <w:szCs w:val="24"/>
        </w:rPr>
        <w:t xml:space="preserve">Tỷ lệ đóng BHXH bắt buộc hiện hành (tính trên tiền lương đóng BHXH):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Quỹ bảo hiểm</w:t>
            </w:r>
          </w:p>
        </w:tc>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Người sử dụng lao động đóng</w:t>
            </w:r>
          </w:p>
        </w:tc>
        <w:tc>
          <w:tcPr>
            <w:tcW w:type="dxa" w:w="30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Người lao động đóng</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Ốm đau, thai sản</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Tai nạn lao động, bệnh nghề nghiệp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0,5%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Hưu trí, tử tuất</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14%</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Bảo hiểm y tế</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1,5%</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Bảo hiểm thất nghiệp</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30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Tổng cộng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21,5%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10,5%</w:t>
            </w:r>
          </w:p>
        </w:tc>
      </w:tr>
    </w:tbl>
    <w:p>
      <w:pPr>
        <w:spacing w:after="60" w:before="40"/>
      </w:pPr>
      <w:r>
        <w:rPr>
          <w:rFonts w:ascii="Times New Roman" w:cs="Times New Roman" w:eastAsia="Times New Roman" w:hAnsi="Times New Roman"/>
          <w:i/>
          <w:iCs/>
          <w:color w:val="666666"/>
          <w:sz w:val="20"/>
          <w:szCs w:val="20"/>
        </w:rPr>
        <w:t xml:space="preserve">[Nguồn: Luật BHXH 2014; Luật Việc làm 2013; Luật BHYT 2008, sửa đổi 2014]</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PHẦN VII. THỜI GIỜ LÀM VIỆC VÀ NGHỈ NGƠI</w:t>
      </w:r>
    </w:p>
    <w:p>
      <w:pPr>
        <w:spacing w:after="60" w:before="40"/>
      </w:pPr>
      <w:r>
        <w:rPr>
          <w:rFonts w:ascii="Times New Roman" w:cs="Times New Roman" w:eastAsia="Times New Roman" w:hAnsi="Times New Roman"/>
          <w:i/>
          <w:iCs/>
          <w:color w:val="666666"/>
          <w:sz w:val="20"/>
          <w:szCs w:val="20"/>
        </w:rPr>
        <w:t xml:space="preserve">[Nguồn: Bộ luật Lao động số 45/2019/QH14 ngày 20/11/2019; Nghị định số 145/2020/NĐ-CP ngày 14/12/2020 của Chính phủ]</w:t>
      </w:r>
    </w:p>
    <w:p>
      <w:pPr>
        <w:pStyle w:val="Heading2"/>
        <w:spacing w:after="80" w:before="200"/>
      </w:pPr>
      <w:r>
        <w:rPr>
          <w:rFonts w:ascii="Times New Roman" w:cs="Times New Roman" w:eastAsia="Times New Roman" w:hAnsi="Times New Roman"/>
          <w:b/>
          <w:bCs/>
          <w:color w:val="1F3864"/>
          <w:sz w:val="26"/>
          <w:szCs w:val="26"/>
        </w:rPr>
        <w:t xml:space="preserve">7.1. Thời giờ làm việc bình thường</w:t>
      </w:r>
    </w:p>
    <w:p>
      <w:pPr>
        <w:pStyle w:val="ListParagraph"/>
        <w:numPr>
          <w:ilvl w:val="0"/>
          <w:numId w:val="2"/>
        </w:numPr>
        <w:spacing w:after="40" w:before="40"/>
      </w:pPr>
      <w:r>
        <w:rPr>
          <w:rFonts w:ascii="Times New Roman" w:cs="Times New Roman" w:eastAsia="Times New Roman" w:hAnsi="Times New Roman"/>
          <w:sz w:val="24"/>
          <w:szCs w:val="24"/>
        </w:rPr>
        <w:t xml:space="preserve">Công chức, viên chức làm việc 8 giờ/ngày, 40 giờ/tuần (từ thứ Hai đến thứ Sáu).</w:t>
      </w:r>
    </w:p>
    <w:p>
      <w:pPr>
        <w:pStyle w:val="ListParagraph"/>
        <w:numPr>
          <w:ilvl w:val="0"/>
          <w:numId w:val="2"/>
        </w:numPr>
        <w:spacing w:after="40" w:before="40"/>
      </w:pPr>
      <w:r>
        <w:rPr>
          <w:rFonts w:ascii="Times New Roman" w:cs="Times New Roman" w:eastAsia="Times New Roman" w:hAnsi="Times New Roman"/>
          <w:sz w:val="24"/>
          <w:szCs w:val="24"/>
        </w:rPr>
        <w:t xml:space="preserve">Giờ làm việc hành chính thông thường: sáng từ 7h30 đến 11h30, chiều từ 13h00 đến 17h00 (có thể điều chỉnh theo quy định của cơ quan).</w:t>
      </w:r>
    </w:p>
    <w:p>
      <w:pPr>
        <w:pStyle w:val="ListParagraph"/>
        <w:numPr>
          <w:ilvl w:val="0"/>
          <w:numId w:val="2"/>
        </w:numPr>
        <w:spacing w:after="40" w:before="40"/>
      </w:pPr>
      <w:r>
        <w:rPr>
          <w:rFonts w:ascii="Times New Roman" w:cs="Times New Roman" w:eastAsia="Times New Roman" w:hAnsi="Times New Roman"/>
          <w:sz w:val="24"/>
          <w:szCs w:val="24"/>
        </w:rPr>
        <w:t xml:space="preserve">Được nghỉ ít nhất 30 phút/ngày (tính vào giờ làm việc) nếu làm việc ban ngày liên tục từ 6 giờ trở lên (Điều 109 Bộ luật Lao động 2019).</w:t>
      </w:r>
    </w:p>
    <w:p>
      <w:pPr>
        <w:spacing w:after="60" w:before="60"/>
      </w:pPr>
      <w:r>
        <w:t xml:space="preserve"/>
      </w:r>
    </w:p>
    <w:p>
      <w:pPr>
        <w:pStyle w:val="Heading2"/>
        <w:spacing w:after="80" w:before="200"/>
      </w:pPr>
      <w:r>
        <w:rPr>
          <w:rFonts w:ascii="Times New Roman" w:cs="Times New Roman" w:eastAsia="Times New Roman" w:hAnsi="Times New Roman"/>
          <w:b/>
          <w:bCs/>
          <w:color w:val="1F3864"/>
          <w:sz w:val="26"/>
          <w:szCs w:val="26"/>
        </w:rPr>
        <w:t xml:space="preserve">7.2. Chế độ nghỉ phép năm</w:t>
      </w:r>
    </w:p>
    <w:p>
      <w:pPr>
        <w:spacing w:after="60" w:before="40"/>
      </w:pPr>
      <w:r>
        <w:rPr>
          <w:rFonts w:ascii="Times New Roman" w:cs="Times New Roman" w:eastAsia="Times New Roman" w:hAnsi="Times New Roman"/>
          <w:i/>
          <w:iCs/>
          <w:color w:val="666666"/>
          <w:sz w:val="20"/>
          <w:szCs w:val="20"/>
        </w:rPr>
        <w:t xml:space="preserve">[Nguồn: Bộ luật Lao động 2019 – Điều 113 đến Điều 115]</w:t>
      </w:r>
    </w:p>
    <w:p>
      <w:pPr>
        <w:pStyle w:val="ListParagraph"/>
        <w:numPr>
          <w:ilvl w:val="0"/>
          <w:numId w:val="2"/>
        </w:numPr>
        <w:spacing w:after="40" w:before="40"/>
      </w:pPr>
      <w:r>
        <w:rPr>
          <w:rFonts w:ascii="Times New Roman" w:cs="Times New Roman" w:eastAsia="Times New Roman" w:hAnsi="Times New Roman"/>
          <w:sz w:val="24"/>
          <w:szCs w:val="24"/>
        </w:rPr>
        <w:t xml:space="preserve">Công chức, viên chức có thời gian làm việc đủ 12 tháng được nghỉ phép năm 12 ngày làm việc.</w:t>
      </w:r>
    </w:p>
    <w:p>
      <w:pPr>
        <w:pStyle w:val="ListParagraph"/>
        <w:numPr>
          <w:ilvl w:val="0"/>
          <w:numId w:val="2"/>
        </w:numPr>
        <w:spacing w:after="40" w:before="40"/>
      </w:pPr>
      <w:r>
        <w:rPr>
          <w:rFonts w:ascii="Times New Roman" w:cs="Times New Roman" w:eastAsia="Times New Roman" w:hAnsi="Times New Roman"/>
          <w:sz w:val="24"/>
          <w:szCs w:val="24"/>
        </w:rPr>
        <w:t xml:space="preserve">Cứ đủ 5 năm làm việc thực tế được cộng thêm 1 ngày nghỉ phép.</w:t>
      </w:r>
    </w:p>
    <w:p>
      <w:pPr>
        <w:pStyle w:val="ListParagraph"/>
        <w:numPr>
          <w:ilvl w:val="0"/>
          <w:numId w:val="2"/>
        </w:numPr>
        <w:spacing w:after="40" w:before="40"/>
      </w:pPr>
      <w:r>
        <w:rPr>
          <w:rFonts w:ascii="Times New Roman" w:cs="Times New Roman" w:eastAsia="Times New Roman" w:hAnsi="Times New Roman"/>
          <w:sz w:val="24"/>
          <w:szCs w:val="24"/>
        </w:rPr>
        <w:t xml:space="preserve">Nghỉ lễ, Tết theo lịch nhà nước: Tết Dương lịch (1 ngày), Tết Âm lịch (5 ngày), Giỗ Tổ Hùng Vương (1 ngày), 30/4 và 1/5 (2 ngày), Quốc khánh 2/9 (2 ngày) – tổng 11 ngày theo Bộ luật Lao động 2019.</w:t>
      </w:r>
    </w:p>
    <w:p>
      <w:pPr>
        <w:spacing w:after="60" w:before="60"/>
      </w:pPr>
      <w:r>
        <w:t xml:space="preserve"/>
      </w:r>
    </w:p>
    <w:p>
      <w:pPr>
        <w:pStyle w:val="Heading1"/>
        <w:spacing w:after="120" w:before="300"/>
      </w:pPr>
      <w:r>
        <w:rPr>
          <w:rFonts w:ascii="Times New Roman" w:cs="Times New Roman" w:eastAsia="Times New Roman" w:hAnsi="Times New Roman"/>
          <w:b/>
          <w:bCs/>
          <w:color w:val="2E5496"/>
          <w:sz w:val="30"/>
          <w:szCs w:val="30"/>
        </w:rPr>
        <w:t xml:space="preserve">NGUỒN VĂN BẢN PHÁP LÝ THAM KHẢO</w:t>
      </w:r>
    </w:p>
    <w:p>
      <w:pPr>
        <w:spacing w:after="40" w:before="40"/>
      </w:pPr>
      <w:r>
        <w:rPr>
          <w:rFonts w:ascii="Times New Roman" w:cs="Times New Roman" w:eastAsia="Times New Roman" w:hAnsi="Times New Roman"/>
          <w:sz w:val="24"/>
          <w:szCs w:val="24"/>
        </w:rPr>
        <w:t xml:space="preserve">Tài liệu này được tổng hợp từ các văn bản quy phạm pháp luật chính thức sau:</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300"/>
        <w:gridCol w:w="2226"/>
      </w:tblGrid>
      <w:tr>
        <w:trPr>
          <w:tblHeader/>
        </w:trPr>
        <w:tc>
          <w:tcPr>
            <w:tcW w:type="dxa" w:w="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STT</w:t>
            </w:r>
          </w:p>
        </w:tc>
        <w:tc>
          <w:tcPr>
            <w:tcW w:type="dxa" w:w="4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Tên văn bản</w:t>
            </w:r>
          </w:p>
        </w:tc>
        <w:tc>
          <w:tcPr>
            <w:tcW w:type="dxa" w:w="23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Số hiệu</w:t>
            </w:r>
          </w:p>
        </w:tc>
        <w:tc>
          <w:tcPr>
            <w:tcW w:type="dxa" w:w="2226"/>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Ngày ban hành</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Hiến pháp nước CHXHCN Việt Nam</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Không số</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28/11/2013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Luật Tổ chức Chính phủ (sửa đổi, bổ sung 2019)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76/2015/QH13; 47/2019/QH14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19/6/2015; 22/11/2019</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Tổ chức chính quyền địa phương (sửa đổi 2019)</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77/2015/QH13; 47/2019/QH14</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19/6/2015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Luật Cán bộ, công chức (sửa đổi, bổ sung 2019)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22/2008/QH12; 52/2019/QH14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13/11/2008; 25/11/2019</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Viên chức (sửa đổi, bổ sung 2019)</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58/2010/QH12; 52/2019/QH14</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15/11/2010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Luật Ban hành VBQPPL (sửa đổi 2020)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80/2015/QH13; 63/2020/QH14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22/6/2015; 18/6/2020</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7</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Tiếp công dân</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42/2013/QH13</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25/11/2013</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Luật Phòng, chống tham nhũng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36/2018/QH14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20/11/2018</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9</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Luật Bảo hiểm xã hội</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58/2014/QH13</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20/11/2014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Bộ luật Lao động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45/2019/QH14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20/11/2019</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11</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về công tác văn thư</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30/2020/NĐ-CP</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05/3/2020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về cơ chế một cửa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61/2018/NĐ-CP</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23/4/2018</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13</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về đánh giá xếp loại CBCCVC</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90/2020/NĐ-CP</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13/8/2020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mức lương cơ sở 2024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24/2023/NĐ-CP</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14/5/2023</w:t>
            </w:r>
          </w:p>
        </w:tc>
      </w:tr>
      <w:tr>
        <w:tc>
          <w:tcPr>
            <w:tcW w:type="dxa" w:w="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15</w:t>
            </w:r>
          </w:p>
        </w:tc>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Nghị định về chế độ tiền lương</w:t>
            </w:r>
          </w:p>
        </w:tc>
        <w:tc>
          <w:tcPr>
            <w:tcW w:type="dxa" w:w="23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204/2004/NĐ-CP</w:t>
            </w:r>
          </w:p>
        </w:tc>
        <w:tc>
          <w:tcPr>
            <w:tcW w:type="dxa" w:w="2226"/>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sz w:val="22"/>
                <w:szCs w:val="22"/>
              </w:rPr>
              <w:t xml:space="preserve">14/12/2004</w:t>
            </w:r>
          </w:p>
        </w:tc>
      </w:tr>
    </w:tbl>
    <w:p>
      <w:pPr>
        <w:spacing w:after="60" w:before="60"/>
      </w:pPr>
      <w:r>
        <w:t xml:space="preserve"/>
      </w:r>
    </w:p>
    <w:p>
      <w:pPr>
        <w:pBdr>
          <w:top w:val="single" w:color="2E5496" w:sz="4" w:space="1"/>
        </w:pBdr>
        <w:spacing w:before="200"/>
      </w:pPr>
      <w:r>
        <w:rPr>
          <w:rFonts w:ascii="Times New Roman" w:cs="Times New Roman" w:eastAsia="Times New Roman" w:hAnsi="Times New Roman"/>
          <w:i/>
          <w:iCs/>
          <w:color w:val="555555"/>
          <w:sz w:val="20"/>
          <w:szCs w:val="20"/>
        </w:rPr>
        <w:t xml:space="preserve">LƯU Ý: Tài liệu này có mục đích hỗ trợ tra cứu thông tin cơ bản, không thay thế cho văn bản pháp luật gốc. Khi áp dụng vào thực tiễn, cần đối chiếu với văn bản quy phạm pháp luật hiện hành và được cập nhật mới nhất tại Cổng thông tin pháp điển quốc gia (phapdien.moj.gov.vn) hoặc Cơ sở dữ liệu quốc gia về pháp luật (vbpl.vn).</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1"/>
      </w:pBdr>
      <w:tabs>
        <w:tab w:val="right" w:pos="9026"/>
      </w:tabs>
      <w:spacing w:before="100"/>
    </w:pPr>
    <w:r>
      <w:rPr>
        <w:rFonts w:ascii="Times New Roman" w:cs="Times New Roman" w:eastAsia="Times New Roman" w:hAnsi="Times New Roman"/>
        <w:i/>
        <w:iCs/>
        <w:color w:val="666666"/>
        <w:sz w:val="18"/>
        <w:szCs w:val="18"/>
      </w:rPr>
      <w:t xml:space="preserve">Tài liệu tham khảo nội bộ – Không có giá trị pháp lý thay thế văn bản quy phạm</w:t>
    </w:r>
    <w:r>
      <w:rPr>
        <w:rFonts w:ascii="Times New Roman" w:cs="Times New Roman" w:eastAsia="Times New Roman" w:hAnsi="Times New Roman"/>
        <w:color w:val="666666"/>
        <w:sz w:val="18"/>
        <w:szCs w:val="18"/>
      </w:rPr>
      <w:t xml:space="preserve">	Trang </w:t>
    </w:r>
    <w:r>
      <w:rPr>
        <w:rFonts w:ascii="Times New Roman" w:cs="Times New Roman" w:eastAsia="Times New Roman" w:hAnsi="Times New Roman"/>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spacing w:after="100"/>
    </w:pPr>
    <w:r>
      <w:rPr>
        <w:rFonts w:ascii="Times New Roman" w:cs="Times New Roman" w:eastAsia="Times New Roman" w:hAnsi="Times New Roman"/>
        <w:b/>
        <w:bCs/>
        <w:color w:val="2E5496"/>
        <w:sz w:val="18"/>
        <w:szCs w:val="18"/>
      </w:rPr>
      <w:t xml:space="preserve">TÀI LIỆU THÔNG TIN HÀNH CHÍNH NHÀ NƯỚC – CỘNG HÒA XÃ HỘI CHỦ NGHĨA VIỆT NAM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2E5496"/>
      <w:sz w:val="30"/>
      <w:szCs w:val="30"/>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2026-04-29T02:02:07.309Z</dcterms:created>
  <dcterms:modified xsi:type="dcterms:W3CDTF">2026-04-29T02:02:07.309Z</dcterms:modified>
</cp:coreProperties>
</file>

<file path=docProps/custom.xml><?xml version="1.0" encoding="utf-8"?>
<Properties xmlns="http://schemas.openxmlformats.org/officeDocument/2006/custom-properties" xmlns:vt="http://schemas.openxmlformats.org/officeDocument/2006/docPropsVTypes"/>
</file>