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ED1" w:rsidRDefault="00066ED1" w:rsidP="00066ED1">
      <w:r>
        <w:t>Experimental Evaluation and Measurement</w:t>
      </w:r>
    </w:p>
    <w:p w:rsidR="00066ED1" w:rsidRDefault="00066ED1" w:rsidP="00066ED1"/>
    <w:p w:rsidR="00066ED1" w:rsidRDefault="00066ED1" w:rsidP="00066ED1">
      <w:r>
        <w:t xml:space="preserve">Running all the component on </w:t>
      </w:r>
      <w:proofErr w:type="spellStart"/>
      <w:r>
        <w:t>Edlab</w:t>
      </w:r>
      <w:proofErr w:type="spellEnd"/>
      <w:r>
        <w:t xml:space="preserve"> machine for several times and with different client numbers, the </w:t>
      </w:r>
      <w:r>
        <w:t xml:space="preserve">average </w:t>
      </w:r>
      <w:r>
        <w:t xml:space="preserve">latency of each request </w:t>
      </w:r>
      <w:r>
        <w:t xml:space="preserve">contrast with lab2 without caching </w:t>
      </w:r>
      <w:r>
        <w:t>shows below</w:t>
      </w:r>
      <w:r>
        <w:t xml:space="preserve">. </w:t>
      </w:r>
      <w:r w:rsidR="00B318F0">
        <w:t>T</w:t>
      </w:r>
      <w:r>
        <w:t>he clients will concurrently send out data massively</w:t>
      </w:r>
      <w:r w:rsidR="00B318F0">
        <w:t>, each of them will send out 1100 requests which contain 700 lookup 300 search and 100 buy requests.</w:t>
      </w:r>
    </w:p>
    <w:p w:rsidR="00066ED1" w:rsidRDefault="00066ED1" w:rsidP="00066ED1"/>
    <w:p w:rsidR="00066ED1" w:rsidRPr="00066ED1" w:rsidRDefault="00066ED1" w:rsidP="00066ED1">
      <w:pPr>
        <w:rPr>
          <w:b/>
        </w:rPr>
      </w:pPr>
      <w:r w:rsidRPr="00066ED1">
        <w:rPr>
          <w:b/>
        </w:rPr>
        <w:t>One client</w:t>
      </w:r>
    </w:p>
    <w:p w:rsidR="00066ED1" w:rsidRDefault="00066ED1" w:rsidP="00066ED1">
      <w:r>
        <w:rPr>
          <w:noProof/>
        </w:rPr>
        <w:drawing>
          <wp:inline distT="0" distB="0" distL="0" distR="0" wp14:anchorId="5ABC17EE" wp14:editId="74B9CA77">
            <wp:extent cx="4572000" cy="2743200"/>
            <wp:effectExtent l="0" t="0" r="12700" b="12700"/>
            <wp:docPr id="1" name="Chart 1">
              <a:extLst xmlns:a="http://schemas.openxmlformats.org/drawingml/2006/main">
                <a:ext uri="{FF2B5EF4-FFF2-40B4-BE49-F238E27FC236}">
                  <a16:creationId xmlns:a16="http://schemas.microsoft.com/office/drawing/2014/main" id="{92EC115B-BF3A-CF4C-90C1-17CA11AA0C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bl>
      <w:tblPr>
        <w:tblStyle w:val="TableGrid"/>
        <w:tblW w:w="0" w:type="auto"/>
        <w:tblLook w:val="04A0" w:firstRow="1" w:lastRow="0" w:firstColumn="1" w:lastColumn="0" w:noHBand="0" w:noVBand="1"/>
      </w:tblPr>
      <w:tblGrid>
        <w:gridCol w:w="2653"/>
        <w:gridCol w:w="1848"/>
        <w:gridCol w:w="1910"/>
        <w:gridCol w:w="1879"/>
      </w:tblGrid>
      <w:tr w:rsidR="00066ED1" w:rsidTr="00066ED1">
        <w:tc>
          <w:tcPr>
            <w:tcW w:w="2653" w:type="dxa"/>
            <w:vAlign w:val="bottom"/>
          </w:tcPr>
          <w:p w:rsidR="00066ED1" w:rsidRDefault="00066ED1" w:rsidP="00066ED1"/>
        </w:tc>
        <w:tc>
          <w:tcPr>
            <w:tcW w:w="1848" w:type="dxa"/>
            <w:vAlign w:val="bottom"/>
          </w:tcPr>
          <w:p w:rsidR="00066ED1" w:rsidRDefault="00066ED1" w:rsidP="00066ED1">
            <w:pPr>
              <w:rPr>
                <w:rFonts w:ascii="Calibri" w:hAnsi="Calibri" w:cs="Calibri"/>
                <w:color w:val="000000"/>
              </w:rPr>
            </w:pPr>
            <w:r>
              <w:rPr>
                <w:rFonts w:ascii="Calibri" w:hAnsi="Calibri" w:cs="Calibri"/>
                <w:color w:val="000000"/>
              </w:rPr>
              <w:t>Cache</w:t>
            </w:r>
          </w:p>
        </w:tc>
        <w:tc>
          <w:tcPr>
            <w:tcW w:w="1910" w:type="dxa"/>
            <w:vAlign w:val="bottom"/>
          </w:tcPr>
          <w:p w:rsidR="00066ED1" w:rsidRDefault="00066ED1" w:rsidP="00066ED1">
            <w:pPr>
              <w:rPr>
                <w:rFonts w:ascii="Calibri" w:hAnsi="Calibri" w:cs="Calibri"/>
                <w:color w:val="000000"/>
              </w:rPr>
            </w:pPr>
            <w:r>
              <w:rPr>
                <w:rFonts w:ascii="Calibri" w:hAnsi="Calibri" w:cs="Calibri"/>
                <w:color w:val="000000"/>
              </w:rPr>
              <w:t>lab2</w:t>
            </w:r>
          </w:p>
        </w:tc>
        <w:tc>
          <w:tcPr>
            <w:tcW w:w="1879" w:type="dxa"/>
          </w:tcPr>
          <w:p w:rsidR="00066ED1" w:rsidRDefault="00066ED1" w:rsidP="00066ED1">
            <w:pPr>
              <w:rPr>
                <w:rFonts w:ascii="Calibri" w:hAnsi="Calibri" w:cs="Calibri"/>
                <w:color w:val="000000"/>
              </w:rPr>
            </w:pPr>
            <w:r>
              <w:rPr>
                <w:rFonts w:ascii="Calibri" w:hAnsi="Calibri" w:cs="Calibri"/>
                <w:color w:val="000000"/>
              </w:rPr>
              <w:t>Improvement</w:t>
            </w:r>
          </w:p>
        </w:tc>
      </w:tr>
      <w:tr w:rsidR="00066ED1" w:rsidTr="009E400D">
        <w:tc>
          <w:tcPr>
            <w:tcW w:w="2653" w:type="dxa"/>
            <w:vAlign w:val="bottom"/>
          </w:tcPr>
          <w:p w:rsidR="00066ED1" w:rsidRDefault="00066ED1" w:rsidP="00066ED1">
            <w:pPr>
              <w:rPr>
                <w:rFonts w:ascii="Calibri" w:hAnsi="Calibri" w:cs="Calibri"/>
                <w:color w:val="000000"/>
              </w:rPr>
            </w:pPr>
            <w:r>
              <w:rPr>
                <w:rFonts w:ascii="Calibri" w:hAnsi="Calibri" w:cs="Calibri"/>
                <w:color w:val="000000"/>
              </w:rPr>
              <w:t>buy</w:t>
            </w:r>
          </w:p>
        </w:tc>
        <w:tc>
          <w:tcPr>
            <w:tcW w:w="1848" w:type="dxa"/>
            <w:vAlign w:val="bottom"/>
          </w:tcPr>
          <w:p w:rsidR="00066ED1" w:rsidRDefault="00066ED1" w:rsidP="00066ED1">
            <w:pPr>
              <w:jc w:val="right"/>
              <w:rPr>
                <w:rFonts w:ascii="Calibri" w:hAnsi="Calibri" w:cs="Calibri"/>
                <w:color w:val="000000"/>
              </w:rPr>
            </w:pPr>
            <w:r>
              <w:rPr>
                <w:rFonts w:ascii="Calibri" w:hAnsi="Calibri" w:cs="Calibri"/>
                <w:color w:val="000000"/>
              </w:rPr>
              <w:t>20.23</w:t>
            </w:r>
          </w:p>
        </w:tc>
        <w:tc>
          <w:tcPr>
            <w:tcW w:w="1910" w:type="dxa"/>
            <w:vAlign w:val="bottom"/>
          </w:tcPr>
          <w:p w:rsidR="00066ED1" w:rsidRDefault="00066ED1" w:rsidP="00066ED1">
            <w:pPr>
              <w:jc w:val="right"/>
              <w:rPr>
                <w:rFonts w:ascii="Calibri" w:hAnsi="Calibri" w:cs="Calibri"/>
                <w:color w:val="000000"/>
              </w:rPr>
            </w:pPr>
            <w:r>
              <w:rPr>
                <w:rFonts w:ascii="Calibri" w:hAnsi="Calibri" w:cs="Calibri"/>
                <w:color w:val="000000"/>
              </w:rPr>
              <w:t>30.35</w:t>
            </w:r>
          </w:p>
        </w:tc>
        <w:tc>
          <w:tcPr>
            <w:tcW w:w="1879" w:type="dxa"/>
            <w:vAlign w:val="bottom"/>
          </w:tcPr>
          <w:p w:rsidR="00066ED1" w:rsidRDefault="00066ED1" w:rsidP="00066ED1">
            <w:pPr>
              <w:jc w:val="right"/>
              <w:rPr>
                <w:rFonts w:ascii="Calibri" w:hAnsi="Calibri" w:cs="Calibri"/>
                <w:color w:val="000000"/>
              </w:rPr>
            </w:pPr>
            <w:r>
              <w:rPr>
                <w:rFonts w:ascii="Calibri" w:hAnsi="Calibri" w:cs="Calibri"/>
                <w:color w:val="000000"/>
              </w:rPr>
              <w:t>10.12</w:t>
            </w:r>
          </w:p>
        </w:tc>
      </w:tr>
      <w:tr w:rsidR="00066ED1" w:rsidTr="009E400D">
        <w:tc>
          <w:tcPr>
            <w:tcW w:w="2653" w:type="dxa"/>
            <w:vAlign w:val="bottom"/>
          </w:tcPr>
          <w:p w:rsidR="00066ED1" w:rsidRDefault="00066ED1" w:rsidP="00066ED1">
            <w:pPr>
              <w:rPr>
                <w:rFonts w:ascii="Calibri" w:hAnsi="Calibri" w:cs="Calibri"/>
                <w:color w:val="000000"/>
              </w:rPr>
            </w:pPr>
            <w:r>
              <w:rPr>
                <w:rFonts w:ascii="Calibri" w:hAnsi="Calibri" w:cs="Calibri"/>
                <w:color w:val="000000"/>
              </w:rPr>
              <w:t>search</w:t>
            </w:r>
          </w:p>
        </w:tc>
        <w:tc>
          <w:tcPr>
            <w:tcW w:w="1848" w:type="dxa"/>
            <w:vAlign w:val="bottom"/>
          </w:tcPr>
          <w:p w:rsidR="00066ED1" w:rsidRDefault="00066ED1" w:rsidP="00066ED1">
            <w:pPr>
              <w:jc w:val="right"/>
              <w:rPr>
                <w:rFonts w:ascii="Calibri" w:hAnsi="Calibri" w:cs="Calibri"/>
                <w:color w:val="000000"/>
              </w:rPr>
            </w:pPr>
            <w:r>
              <w:rPr>
                <w:rFonts w:ascii="Calibri" w:hAnsi="Calibri" w:cs="Calibri"/>
                <w:color w:val="000000"/>
              </w:rPr>
              <w:t>3.57</w:t>
            </w:r>
          </w:p>
        </w:tc>
        <w:tc>
          <w:tcPr>
            <w:tcW w:w="1910" w:type="dxa"/>
            <w:vAlign w:val="bottom"/>
          </w:tcPr>
          <w:p w:rsidR="00066ED1" w:rsidRDefault="00066ED1" w:rsidP="00066ED1">
            <w:pPr>
              <w:jc w:val="right"/>
              <w:rPr>
                <w:rFonts w:ascii="Calibri" w:hAnsi="Calibri" w:cs="Calibri"/>
                <w:color w:val="000000"/>
              </w:rPr>
            </w:pPr>
            <w:r>
              <w:rPr>
                <w:rFonts w:ascii="Calibri" w:hAnsi="Calibri" w:cs="Calibri"/>
                <w:color w:val="000000"/>
              </w:rPr>
              <w:t>13.3</w:t>
            </w:r>
          </w:p>
        </w:tc>
        <w:tc>
          <w:tcPr>
            <w:tcW w:w="1879" w:type="dxa"/>
            <w:vAlign w:val="bottom"/>
          </w:tcPr>
          <w:p w:rsidR="00066ED1" w:rsidRDefault="00066ED1" w:rsidP="00066ED1">
            <w:pPr>
              <w:jc w:val="right"/>
              <w:rPr>
                <w:rFonts w:ascii="Calibri" w:hAnsi="Calibri" w:cs="Calibri"/>
                <w:color w:val="000000"/>
              </w:rPr>
            </w:pPr>
            <w:r>
              <w:rPr>
                <w:rFonts w:ascii="Calibri" w:hAnsi="Calibri" w:cs="Calibri"/>
                <w:color w:val="000000"/>
              </w:rPr>
              <w:t>9.73</w:t>
            </w:r>
          </w:p>
        </w:tc>
      </w:tr>
      <w:tr w:rsidR="00066ED1" w:rsidTr="00934756">
        <w:tc>
          <w:tcPr>
            <w:tcW w:w="2653" w:type="dxa"/>
            <w:vAlign w:val="bottom"/>
          </w:tcPr>
          <w:p w:rsidR="00066ED1" w:rsidRDefault="00066ED1" w:rsidP="00066ED1">
            <w:pPr>
              <w:rPr>
                <w:rFonts w:ascii="Calibri" w:hAnsi="Calibri" w:cs="Calibri"/>
                <w:color w:val="000000"/>
              </w:rPr>
            </w:pPr>
            <w:r>
              <w:rPr>
                <w:rFonts w:ascii="Calibri" w:hAnsi="Calibri" w:cs="Calibri"/>
                <w:color w:val="000000"/>
              </w:rPr>
              <w:t>lookup</w:t>
            </w:r>
          </w:p>
        </w:tc>
        <w:tc>
          <w:tcPr>
            <w:tcW w:w="1848" w:type="dxa"/>
            <w:vAlign w:val="bottom"/>
          </w:tcPr>
          <w:p w:rsidR="00066ED1" w:rsidRDefault="00066ED1" w:rsidP="00066ED1">
            <w:pPr>
              <w:jc w:val="right"/>
              <w:rPr>
                <w:rFonts w:ascii="Calibri" w:hAnsi="Calibri" w:cs="Calibri"/>
                <w:color w:val="000000"/>
              </w:rPr>
            </w:pPr>
            <w:r>
              <w:rPr>
                <w:rFonts w:ascii="Calibri" w:hAnsi="Calibri" w:cs="Calibri"/>
                <w:color w:val="000000"/>
              </w:rPr>
              <w:t>1.82</w:t>
            </w:r>
          </w:p>
        </w:tc>
        <w:tc>
          <w:tcPr>
            <w:tcW w:w="1910" w:type="dxa"/>
            <w:vAlign w:val="bottom"/>
          </w:tcPr>
          <w:p w:rsidR="00066ED1" w:rsidRDefault="00066ED1" w:rsidP="00066ED1">
            <w:pPr>
              <w:jc w:val="right"/>
              <w:rPr>
                <w:rFonts w:ascii="Calibri" w:hAnsi="Calibri" w:cs="Calibri"/>
                <w:color w:val="000000"/>
              </w:rPr>
            </w:pPr>
            <w:r>
              <w:rPr>
                <w:rFonts w:ascii="Calibri" w:hAnsi="Calibri" w:cs="Calibri"/>
                <w:color w:val="000000"/>
              </w:rPr>
              <w:t>14.4</w:t>
            </w:r>
          </w:p>
        </w:tc>
        <w:tc>
          <w:tcPr>
            <w:tcW w:w="1879" w:type="dxa"/>
            <w:vAlign w:val="bottom"/>
          </w:tcPr>
          <w:p w:rsidR="00066ED1" w:rsidRDefault="00066ED1" w:rsidP="00066ED1">
            <w:pPr>
              <w:jc w:val="right"/>
              <w:rPr>
                <w:rFonts w:ascii="Calibri" w:hAnsi="Calibri" w:cs="Calibri"/>
                <w:color w:val="000000"/>
              </w:rPr>
            </w:pPr>
            <w:r>
              <w:rPr>
                <w:rFonts w:ascii="Calibri" w:hAnsi="Calibri" w:cs="Calibri"/>
                <w:color w:val="000000"/>
              </w:rPr>
              <w:t>12.58</w:t>
            </w:r>
          </w:p>
        </w:tc>
      </w:tr>
    </w:tbl>
    <w:p w:rsidR="00066ED1" w:rsidRDefault="00066ED1" w:rsidP="00066ED1"/>
    <w:p w:rsidR="005F7225" w:rsidRPr="00066ED1" w:rsidRDefault="00066ED1">
      <w:pPr>
        <w:rPr>
          <w:b/>
        </w:rPr>
      </w:pPr>
      <w:r w:rsidRPr="00066ED1">
        <w:rPr>
          <w:b/>
        </w:rPr>
        <w:t>Three Client</w:t>
      </w:r>
    </w:p>
    <w:p w:rsidR="00066ED1" w:rsidRDefault="00066ED1">
      <w:r>
        <w:rPr>
          <w:noProof/>
        </w:rPr>
        <w:drawing>
          <wp:inline distT="0" distB="0" distL="0" distR="0" wp14:anchorId="51438904" wp14:editId="524EE35A">
            <wp:extent cx="4572000" cy="2743200"/>
            <wp:effectExtent l="0" t="0" r="12700" b="12700"/>
            <wp:docPr id="2" name="Chart 2">
              <a:extLst xmlns:a="http://schemas.openxmlformats.org/drawingml/2006/main">
                <a:ext uri="{FF2B5EF4-FFF2-40B4-BE49-F238E27FC236}">
                  <a16:creationId xmlns:a16="http://schemas.microsoft.com/office/drawing/2014/main" id="{3EC76B77-FDC9-F645-9AF9-218CA23C4D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66ED1" w:rsidRDefault="00066ED1"/>
    <w:tbl>
      <w:tblPr>
        <w:tblStyle w:val="TableGrid"/>
        <w:tblW w:w="0" w:type="auto"/>
        <w:tblLook w:val="04A0" w:firstRow="1" w:lastRow="0" w:firstColumn="1" w:lastColumn="0" w:noHBand="0" w:noVBand="1"/>
      </w:tblPr>
      <w:tblGrid>
        <w:gridCol w:w="2252"/>
        <w:gridCol w:w="2252"/>
        <w:gridCol w:w="2253"/>
        <w:gridCol w:w="2253"/>
      </w:tblGrid>
      <w:tr w:rsidR="00066ED1" w:rsidTr="00372BE7">
        <w:tc>
          <w:tcPr>
            <w:tcW w:w="2252" w:type="dxa"/>
            <w:vAlign w:val="bottom"/>
          </w:tcPr>
          <w:p w:rsidR="00066ED1" w:rsidRDefault="00066ED1" w:rsidP="00066ED1"/>
        </w:tc>
        <w:tc>
          <w:tcPr>
            <w:tcW w:w="2252" w:type="dxa"/>
            <w:vAlign w:val="bottom"/>
          </w:tcPr>
          <w:p w:rsidR="00066ED1" w:rsidRDefault="00066ED1" w:rsidP="00066ED1">
            <w:pPr>
              <w:rPr>
                <w:rFonts w:ascii="Calibri" w:hAnsi="Calibri"/>
                <w:color w:val="000000"/>
              </w:rPr>
            </w:pPr>
            <w:r>
              <w:rPr>
                <w:rFonts w:ascii="Calibri" w:hAnsi="Calibri"/>
                <w:color w:val="000000"/>
              </w:rPr>
              <w:t>cache</w:t>
            </w:r>
          </w:p>
        </w:tc>
        <w:tc>
          <w:tcPr>
            <w:tcW w:w="2253" w:type="dxa"/>
            <w:vAlign w:val="bottom"/>
          </w:tcPr>
          <w:p w:rsidR="00066ED1" w:rsidRDefault="00066ED1" w:rsidP="00066ED1">
            <w:pPr>
              <w:rPr>
                <w:rFonts w:ascii="Calibri" w:hAnsi="Calibri"/>
                <w:color w:val="000000"/>
              </w:rPr>
            </w:pPr>
            <w:r>
              <w:rPr>
                <w:rFonts w:ascii="Calibri" w:hAnsi="Calibri"/>
                <w:color w:val="000000"/>
              </w:rPr>
              <w:t>lab2</w:t>
            </w:r>
          </w:p>
        </w:tc>
        <w:tc>
          <w:tcPr>
            <w:tcW w:w="2253" w:type="dxa"/>
            <w:vAlign w:val="bottom"/>
          </w:tcPr>
          <w:p w:rsidR="00066ED1" w:rsidRDefault="00066ED1" w:rsidP="00066ED1">
            <w:pPr>
              <w:rPr>
                <w:rFonts w:ascii="Calibri" w:hAnsi="Calibri"/>
                <w:color w:val="000000"/>
              </w:rPr>
            </w:pPr>
            <w:r>
              <w:rPr>
                <w:rFonts w:ascii="Calibri" w:hAnsi="Calibri"/>
                <w:color w:val="000000"/>
              </w:rPr>
              <w:t>improvement</w:t>
            </w:r>
          </w:p>
        </w:tc>
      </w:tr>
      <w:tr w:rsidR="00066ED1" w:rsidTr="00372BE7">
        <w:tc>
          <w:tcPr>
            <w:tcW w:w="2252" w:type="dxa"/>
            <w:vAlign w:val="bottom"/>
          </w:tcPr>
          <w:p w:rsidR="00066ED1" w:rsidRDefault="00066ED1" w:rsidP="00066ED1">
            <w:pPr>
              <w:rPr>
                <w:rFonts w:ascii="Calibri" w:hAnsi="Calibri"/>
                <w:color w:val="000000"/>
              </w:rPr>
            </w:pPr>
            <w:r>
              <w:rPr>
                <w:rFonts w:ascii="Calibri" w:hAnsi="Calibri"/>
                <w:color w:val="000000"/>
              </w:rPr>
              <w:t>buy</w:t>
            </w:r>
          </w:p>
        </w:tc>
        <w:tc>
          <w:tcPr>
            <w:tcW w:w="2252" w:type="dxa"/>
            <w:vAlign w:val="bottom"/>
          </w:tcPr>
          <w:p w:rsidR="00066ED1" w:rsidRDefault="00066ED1" w:rsidP="00066ED1">
            <w:pPr>
              <w:jc w:val="right"/>
              <w:rPr>
                <w:rFonts w:ascii="Calibri" w:hAnsi="Calibri"/>
                <w:color w:val="000000"/>
              </w:rPr>
            </w:pPr>
            <w:r>
              <w:rPr>
                <w:rFonts w:ascii="Calibri" w:hAnsi="Calibri"/>
                <w:color w:val="000000"/>
              </w:rPr>
              <w:t>39.35333</w:t>
            </w:r>
          </w:p>
        </w:tc>
        <w:tc>
          <w:tcPr>
            <w:tcW w:w="2253" w:type="dxa"/>
            <w:vAlign w:val="bottom"/>
          </w:tcPr>
          <w:p w:rsidR="00066ED1" w:rsidRDefault="00066ED1" w:rsidP="00066ED1">
            <w:pPr>
              <w:jc w:val="right"/>
              <w:rPr>
                <w:rFonts w:ascii="Calibri" w:hAnsi="Calibri"/>
                <w:color w:val="000000"/>
              </w:rPr>
            </w:pPr>
            <w:r>
              <w:rPr>
                <w:rFonts w:ascii="Calibri" w:hAnsi="Calibri"/>
                <w:color w:val="000000"/>
              </w:rPr>
              <w:t>189</w:t>
            </w:r>
          </w:p>
        </w:tc>
        <w:tc>
          <w:tcPr>
            <w:tcW w:w="2253" w:type="dxa"/>
            <w:vAlign w:val="bottom"/>
          </w:tcPr>
          <w:p w:rsidR="00066ED1" w:rsidRDefault="00066ED1" w:rsidP="00066ED1">
            <w:pPr>
              <w:jc w:val="right"/>
              <w:rPr>
                <w:rFonts w:ascii="Calibri" w:hAnsi="Calibri"/>
                <w:color w:val="000000"/>
              </w:rPr>
            </w:pPr>
            <w:r>
              <w:rPr>
                <w:rFonts w:ascii="Calibri" w:hAnsi="Calibri"/>
                <w:color w:val="000000"/>
              </w:rPr>
              <w:t>149.64667</w:t>
            </w:r>
          </w:p>
        </w:tc>
      </w:tr>
      <w:tr w:rsidR="00066ED1" w:rsidTr="00372BE7">
        <w:tc>
          <w:tcPr>
            <w:tcW w:w="2252" w:type="dxa"/>
            <w:vAlign w:val="bottom"/>
          </w:tcPr>
          <w:p w:rsidR="00066ED1" w:rsidRDefault="00066ED1" w:rsidP="00066ED1">
            <w:pPr>
              <w:rPr>
                <w:rFonts w:ascii="Calibri" w:hAnsi="Calibri"/>
                <w:color w:val="000000"/>
              </w:rPr>
            </w:pPr>
            <w:r>
              <w:rPr>
                <w:rFonts w:ascii="Calibri" w:hAnsi="Calibri"/>
                <w:color w:val="000000"/>
              </w:rPr>
              <w:t>search</w:t>
            </w:r>
          </w:p>
        </w:tc>
        <w:tc>
          <w:tcPr>
            <w:tcW w:w="2252" w:type="dxa"/>
            <w:vAlign w:val="bottom"/>
          </w:tcPr>
          <w:p w:rsidR="00066ED1" w:rsidRDefault="00066ED1" w:rsidP="00066ED1">
            <w:pPr>
              <w:jc w:val="right"/>
              <w:rPr>
                <w:rFonts w:ascii="Calibri" w:hAnsi="Calibri"/>
                <w:color w:val="000000"/>
              </w:rPr>
            </w:pPr>
            <w:r>
              <w:rPr>
                <w:rFonts w:ascii="Calibri" w:hAnsi="Calibri"/>
                <w:color w:val="000000"/>
              </w:rPr>
              <w:t>4.8222</w:t>
            </w:r>
          </w:p>
        </w:tc>
        <w:tc>
          <w:tcPr>
            <w:tcW w:w="2253" w:type="dxa"/>
            <w:vAlign w:val="bottom"/>
          </w:tcPr>
          <w:p w:rsidR="00066ED1" w:rsidRDefault="00066ED1" w:rsidP="00066ED1">
            <w:pPr>
              <w:jc w:val="right"/>
              <w:rPr>
                <w:rFonts w:ascii="Calibri" w:hAnsi="Calibri"/>
                <w:color w:val="000000"/>
              </w:rPr>
            </w:pPr>
            <w:r>
              <w:rPr>
                <w:rFonts w:ascii="Calibri" w:hAnsi="Calibri"/>
                <w:color w:val="000000"/>
              </w:rPr>
              <w:t>14.17</w:t>
            </w:r>
          </w:p>
        </w:tc>
        <w:tc>
          <w:tcPr>
            <w:tcW w:w="2253" w:type="dxa"/>
            <w:vAlign w:val="bottom"/>
          </w:tcPr>
          <w:p w:rsidR="00066ED1" w:rsidRDefault="00066ED1" w:rsidP="00066ED1">
            <w:pPr>
              <w:jc w:val="right"/>
              <w:rPr>
                <w:rFonts w:ascii="Calibri" w:hAnsi="Calibri"/>
                <w:color w:val="000000"/>
              </w:rPr>
            </w:pPr>
            <w:r>
              <w:rPr>
                <w:rFonts w:ascii="Calibri" w:hAnsi="Calibri"/>
                <w:color w:val="000000"/>
              </w:rPr>
              <w:t>9.3478</w:t>
            </w:r>
          </w:p>
        </w:tc>
      </w:tr>
      <w:tr w:rsidR="00066ED1" w:rsidTr="00372BE7">
        <w:tc>
          <w:tcPr>
            <w:tcW w:w="2252" w:type="dxa"/>
            <w:vAlign w:val="bottom"/>
          </w:tcPr>
          <w:p w:rsidR="00066ED1" w:rsidRDefault="00066ED1" w:rsidP="00066ED1">
            <w:pPr>
              <w:rPr>
                <w:rFonts w:ascii="Calibri" w:hAnsi="Calibri"/>
                <w:color w:val="000000"/>
              </w:rPr>
            </w:pPr>
            <w:r>
              <w:rPr>
                <w:rFonts w:ascii="Calibri" w:hAnsi="Calibri"/>
                <w:color w:val="000000"/>
              </w:rPr>
              <w:t>lookup</w:t>
            </w:r>
          </w:p>
        </w:tc>
        <w:tc>
          <w:tcPr>
            <w:tcW w:w="2252" w:type="dxa"/>
            <w:vAlign w:val="bottom"/>
          </w:tcPr>
          <w:p w:rsidR="00066ED1" w:rsidRDefault="00066ED1" w:rsidP="00066ED1">
            <w:pPr>
              <w:jc w:val="right"/>
              <w:rPr>
                <w:rFonts w:ascii="Calibri" w:hAnsi="Calibri"/>
                <w:color w:val="000000"/>
              </w:rPr>
            </w:pPr>
            <w:r>
              <w:rPr>
                <w:rFonts w:ascii="Calibri" w:hAnsi="Calibri"/>
                <w:color w:val="000000"/>
              </w:rPr>
              <w:t>1.9423</w:t>
            </w:r>
          </w:p>
        </w:tc>
        <w:tc>
          <w:tcPr>
            <w:tcW w:w="2253" w:type="dxa"/>
            <w:vAlign w:val="bottom"/>
          </w:tcPr>
          <w:p w:rsidR="00066ED1" w:rsidRDefault="00066ED1" w:rsidP="00066ED1">
            <w:pPr>
              <w:jc w:val="right"/>
              <w:rPr>
                <w:rFonts w:ascii="Calibri" w:hAnsi="Calibri"/>
                <w:color w:val="000000"/>
              </w:rPr>
            </w:pPr>
            <w:r>
              <w:rPr>
                <w:rFonts w:ascii="Calibri" w:hAnsi="Calibri"/>
                <w:color w:val="000000"/>
              </w:rPr>
              <w:t>42.39</w:t>
            </w:r>
          </w:p>
        </w:tc>
        <w:tc>
          <w:tcPr>
            <w:tcW w:w="2253" w:type="dxa"/>
            <w:vAlign w:val="bottom"/>
          </w:tcPr>
          <w:p w:rsidR="00066ED1" w:rsidRDefault="00066ED1" w:rsidP="00066ED1">
            <w:pPr>
              <w:jc w:val="right"/>
              <w:rPr>
                <w:rFonts w:ascii="Calibri" w:hAnsi="Calibri"/>
                <w:color w:val="000000"/>
              </w:rPr>
            </w:pPr>
            <w:r>
              <w:rPr>
                <w:rFonts w:ascii="Calibri" w:hAnsi="Calibri"/>
                <w:color w:val="000000"/>
              </w:rPr>
              <w:t>40.4477</w:t>
            </w:r>
          </w:p>
        </w:tc>
      </w:tr>
    </w:tbl>
    <w:p w:rsidR="00066ED1" w:rsidRDefault="00066ED1"/>
    <w:p w:rsidR="00066ED1" w:rsidRDefault="00066ED1">
      <w:pPr>
        <w:rPr>
          <w:rFonts w:asciiTheme="minorHAnsi" w:hAnsiTheme="minorHAnsi"/>
          <w:b/>
        </w:rPr>
      </w:pPr>
      <w:r>
        <w:rPr>
          <w:rFonts w:asciiTheme="minorHAnsi" w:hAnsiTheme="minorHAnsi"/>
          <w:b/>
        </w:rPr>
        <w:t>Five Clients</w:t>
      </w:r>
    </w:p>
    <w:p w:rsidR="00066ED1" w:rsidRDefault="00066ED1">
      <w:pPr>
        <w:rPr>
          <w:rFonts w:asciiTheme="minorHAnsi" w:hAnsiTheme="minorHAnsi"/>
          <w:b/>
        </w:rPr>
      </w:pPr>
      <w:r>
        <w:rPr>
          <w:noProof/>
        </w:rPr>
        <w:drawing>
          <wp:inline distT="0" distB="0" distL="0" distR="0" wp14:anchorId="5ACFFAD9" wp14:editId="1644DEB8">
            <wp:extent cx="4572000" cy="2743200"/>
            <wp:effectExtent l="0" t="0" r="12700" b="12700"/>
            <wp:docPr id="3" name="Chart 3">
              <a:extLst xmlns:a="http://schemas.openxmlformats.org/drawingml/2006/main">
                <a:ext uri="{FF2B5EF4-FFF2-40B4-BE49-F238E27FC236}">
                  <a16:creationId xmlns:a16="http://schemas.microsoft.com/office/drawing/2014/main" id="{EFDEAE52-73B8-5D4F-AF29-F3879EFAD2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Style w:val="TableGrid"/>
        <w:tblW w:w="0" w:type="auto"/>
        <w:tblLook w:val="04A0" w:firstRow="1" w:lastRow="0" w:firstColumn="1" w:lastColumn="0" w:noHBand="0" w:noVBand="1"/>
      </w:tblPr>
      <w:tblGrid>
        <w:gridCol w:w="2252"/>
        <w:gridCol w:w="2252"/>
        <w:gridCol w:w="2253"/>
        <w:gridCol w:w="2253"/>
      </w:tblGrid>
      <w:tr w:rsidR="00066ED1" w:rsidTr="003A3ABF">
        <w:tc>
          <w:tcPr>
            <w:tcW w:w="2252" w:type="dxa"/>
            <w:vAlign w:val="bottom"/>
          </w:tcPr>
          <w:p w:rsidR="00066ED1" w:rsidRDefault="00066ED1" w:rsidP="00066ED1"/>
        </w:tc>
        <w:tc>
          <w:tcPr>
            <w:tcW w:w="2252" w:type="dxa"/>
            <w:vAlign w:val="bottom"/>
          </w:tcPr>
          <w:p w:rsidR="00066ED1" w:rsidRDefault="00066ED1" w:rsidP="00066ED1">
            <w:pPr>
              <w:rPr>
                <w:rFonts w:ascii="Calibri" w:hAnsi="Calibri"/>
                <w:color w:val="000000"/>
              </w:rPr>
            </w:pPr>
            <w:r>
              <w:rPr>
                <w:rFonts w:ascii="Calibri" w:hAnsi="Calibri"/>
                <w:color w:val="000000"/>
              </w:rPr>
              <w:t>lab3</w:t>
            </w:r>
          </w:p>
        </w:tc>
        <w:tc>
          <w:tcPr>
            <w:tcW w:w="2253" w:type="dxa"/>
            <w:vAlign w:val="bottom"/>
          </w:tcPr>
          <w:p w:rsidR="00066ED1" w:rsidRDefault="00066ED1" w:rsidP="00066ED1">
            <w:pPr>
              <w:rPr>
                <w:rFonts w:ascii="Calibri" w:hAnsi="Calibri"/>
                <w:color w:val="000000"/>
              </w:rPr>
            </w:pPr>
            <w:r>
              <w:rPr>
                <w:rFonts w:ascii="Calibri" w:hAnsi="Calibri"/>
                <w:color w:val="000000"/>
              </w:rPr>
              <w:t>lab2</w:t>
            </w:r>
          </w:p>
        </w:tc>
        <w:tc>
          <w:tcPr>
            <w:tcW w:w="2253" w:type="dxa"/>
          </w:tcPr>
          <w:p w:rsidR="00066ED1" w:rsidRPr="00066ED1" w:rsidRDefault="00066ED1" w:rsidP="00066ED1">
            <w:pPr>
              <w:rPr>
                <w:rFonts w:asciiTheme="minorHAnsi" w:hAnsiTheme="minorHAnsi"/>
              </w:rPr>
            </w:pPr>
            <w:r>
              <w:rPr>
                <w:rFonts w:asciiTheme="minorHAnsi" w:hAnsiTheme="minorHAnsi"/>
              </w:rPr>
              <w:t>Improvement</w:t>
            </w:r>
          </w:p>
        </w:tc>
      </w:tr>
      <w:tr w:rsidR="00066ED1" w:rsidTr="003C13B5">
        <w:tc>
          <w:tcPr>
            <w:tcW w:w="2252" w:type="dxa"/>
            <w:vAlign w:val="bottom"/>
          </w:tcPr>
          <w:p w:rsidR="00066ED1" w:rsidRDefault="00066ED1" w:rsidP="00066ED1">
            <w:pPr>
              <w:rPr>
                <w:rFonts w:ascii="Calibri" w:hAnsi="Calibri"/>
                <w:color w:val="000000"/>
              </w:rPr>
            </w:pPr>
            <w:r>
              <w:rPr>
                <w:rFonts w:ascii="Calibri" w:hAnsi="Calibri"/>
                <w:color w:val="000000"/>
              </w:rPr>
              <w:t>buy</w:t>
            </w:r>
          </w:p>
        </w:tc>
        <w:tc>
          <w:tcPr>
            <w:tcW w:w="2252" w:type="dxa"/>
            <w:vAlign w:val="bottom"/>
          </w:tcPr>
          <w:p w:rsidR="00066ED1" w:rsidRDefault="00066ED1" w:rsidP="00066ED1">
            <w:pPr>
              <w:jc w:val="right"/>
              <w:rPr>
                <w:rFonts w:ascii="Menlo" w:hAnsi="Menlo" w:cs="Menlo"/>
                <w:color w:val="000000"/>
                <w:sz w:val="22"/>
                <w:szCs w:val="22"/>
              </w:rPr>
            </w:pPr>
            <w:r>
              <w:rPr>
                <w:rFonts w:ascii="Menlo" w:hAnsi="Menlo" w:cs="Menlo"/>
                <w:color w:val="000000"/>
                <w:sz w:val="22"/>
                <w:szCs w:val="22"/>
              </w:rPr>
              <w:t>83.66</w:t>
            </w:r>
          </w:p>
        </w:tc>
        <w:tc>
          <w:tcPr>
            <w:tcW w:w="2253" w:type="dxa"/>
            <w:vAlign w:val="bottom"/>
          </w:tcPr>
          <w:p w:rsidR="00066ED1" w:rsidRDefault="00066ED1" w:rsidP="00066ED1">
            <w:pPr>
              <w:jc w:val="right"/>
              <w:rPr>
                <w:rFonts w:ascii="Calibri" w:hAnsi="Calibri"/>
                <w:color w:val="000000"/>
              </w:rPr>
            </w:pPr>
            <w:r>
              <w:rPr>
                <w:rFonts w:ascii="Calibri" w:hAnsi="Calibri"/>
                <w:color w:val="000000"/>
              </w:rPr>
              <w:t>224.95</w:t>
            </w:r>
          </w:p>
        </w:tc>
        <w:tc>
          <w:tcPr>
            <w:tcW w:w="2253" w:type="dxa"/>
            <w:vAlign w:val="bottom"/>
          </w:tcPr>
          <w:p w:rsidR="00066ED1" w:rsidRDefault="00066ED1" w:rsidP="00066ED1">
            <w:pPr>
              <w:jc w:val="right"/>
              <w:rPr>
                <w:rFonts w:ascii="Calibri" w:hAnsi="Calibri"/>
                <w:color w:val="000000"/>
              </w:rPr>
            </w:pPr>
            <w:r>
              <w:rPr>
                <w:rFonts w:ascii="Calibri" w:hAnsi="Calibri"/>
                <w:color w:val="000000"/>
              </w:rPr>
              <w:t>141.29</w:t>
            </w:r>
          </w:p>
        </w:tc>
      </w:tr>
      <w:tr w:rsidR="00066ED1" w:rsidTr="003C13B5">
        <w:tc>
          <w:tcPr>
            <w:tcW w:w="2252" w:type="dxa"/>
            <w:vAlign w:val="bottom"/>
          </w:tcPr>
          <w:p w:rsidR="00066ED1" w:rsidRDefault="00066ED1" w:rsidP="00066ED1">
            <w:pPr>
              <w:rPr>
                <w:rFonts w:ascii="Calibri" w:hAnsi="Calibri"/>
                <w:color w:val="000000"/>
              </w:rPr>
            </w:pPr>
            <w:r>
              <w:rPr>
                <w:rFonts w:ascii="Calibri" w:hAnsi="Calibri"/>
                <w:color w:val="000000"/>
              </w:rPr>
              <w:t>search</w:t>
            </w:r>
          </w:p>
        </w:tc>
        <w:tc>
          <w:tcPr>
            <w:tcW w:w="2252" w:type="dxa"/>
            <w:vAlign w:val="bottom"/>
          </w:tcPr>
          <w:p w:rsidR="00066ED1" w:rsidRDefault="00066ED1" w:rsidP="00066ED1">
            <w:pPr>
              <w:jc w:val="right"/>
              <w:rPr>
                <w:rFonts w:ascii="Menlo" w:hAnsi="Menlo" w:cs="Menlo"/>
                <w:color w:val="000000"/>
                <w:sz w:val="22"/>
                <w:szCs w:val="22"/>
              </w:rPr>
            </w:pPr>
            <w:r>
              <w:rPr>
                <w:rFonts w:ascii="Menlo" w:hAnsi="Menlo" w:cs="Menlo"/>
                <w:color w:val="000000"/>
                <w:sz w:val="22"/>
                <w:szCs w:val="22"/>
              </w:rPr>
              <w:t>4.846666</w:t>
            </w:r>
          </w:p>
        </w:tc>
        <w:tc>
          <w:tcPr>
            <w:tcW w:w="2253" w:type="dxa"/>
            <w:vAlign w:val="bottom"/>
          </w:tcPr>
          <w:p w:rsidR="00066ED1" w:rsidRDefault="00066ED1" w:rsidP="00066ED1">
            <w:pPr>
              <w:jc w:val="right"/>
              <w:rPr>
                <w:rFonts w:ascii="Calibri" w:hAnsi="Calibri"/>
                <w:color w:val="000000"/>
              </w:rPr>
            </w:pPr>
            <w:r>
              <w:rPr>
                <w:rFonts w:ascii="Calibri" w:hAnsi="Calibri"/>
                <w:color w:val="000000"/>
              </w:rPr>
              <w:t>9.2</w:t>
            </w:r>
          </w:p>
        </w:tc>
        <w:tc>
          <w:tcPr>
            <w:tcW w:w="2253" w:type="dxa"/>
            <w:vAlign w:val="bottom"/>
          </w:tcPr>
          <w:p w:rsidR="00066ED1" w:rsidRDefault="00066ED1" w:rsidP="00066ED1">
            <w:pPr>
              <w:jc w:val="right"/>
              <w:rPr>
                <w:rFonts w:ascii="Calibri" w:hAnsi="Calibri"/>
                <w:color w:val="000000"/>
              </w:rPr>
            </w:pPr>
            <w:r>
              <w:rPr>
                <w:rFonts w:ascii="Calibri" w:hAnsi="Calibri"/>
                <w:color w:val="000000"/>
              </w:rPr>
              <w:t>4.353334</w:t>
            </w:r>
          </w:p>
        </w:tc>
      </w:tr>
      <w:tr w:rsidR="00066ED1" w:rsidTr="003C13B5">
        <w:tc>
          <w:tcPr>
            <w:tcW w:w="2252" w:type="dxa"/>
            <w:vAlign w:val="bottom"/>
          </w:tcPr>
          <w:p w:rsidR="00066ED1" w:rsidRDefault="00066ED1" w:rsidP="00066ED1">
            <w:pPr>
              <w:rPr>
                <w:rFonts w:ascii="Calibri" w:hAnsi="Calibri"/>
                <w:color w:val="000000"/>
              </w:rPr>
            </w:pPr>
            <w:r>
              <w:rPr>
                <w:rFonts w:ascii="Calibri" w:hAnsi="Calibri"/>
                <w:color w:val="000000"/>
              </w:rPr>
              <w:t>lookup</w:t>
            </w:r>
          </w:p>
        </w:tc>
        <w:tc>
          <w:tcPr>
            <w:tcW w:w="2252" w:type="dxa"/>
            <w:vAlign w:val="bottom"/>
          </w:tcPr>
          <w:p w:rsidR="00066ED1" w:rsidRDefault="00066ED1" w:rsidP="00066ED1">
            <w:pPr>
              <w:jc w:val="right"/>
              <w:rPr>
                <w:rFonts w:ascii="Menlo" w:hAnsi="Menlo" w:cs="Menlo"/>
                <w:color w:val="000000"/>
                <w:sz w:val="22"/>
                <w:szCs w:val="22"/>
              </w:rPr>
            </w:pPr>
            <w:r>
              <w:rPr>
                <w:rFonts w:ascii="Menlo" w:hAnsi="Menlo" w:cs="Menlo"/>
                <w:color w:val="000000"/>
                <w:sz w:val="22"/>
                <w:szCs w:val="22"/>
              </w:rPr>
              <w:t>1.953428</w:t>
            </w:r>
          </w:p>
        </w:tc>
        <w:tc>
          <w:tcPr>
            <w:tcW w:w="2253" w:type="dxa"/>
            <w:vAlign w:val="bottom"/>
          </w:tcPr>
          <w:p w:rsidR="00066ED1" w:rsidRDefault="00066ED1" w:rsidP="00066ED1">
            <w:pPr>
              <w:jc w:val="right"/>
              <w:rPr>
                <w:rFonts w:ascii="Calibri" w:hAnsi="Calibri"/>
                <w:color w:val="000000"/>
              </w:rPr>
            </w:pPr>
            <w:r>
              <w:rPr>
                <w:rFonts w:ascii="Calibri" w:hAnsi="Calibri"/>
                <w:color w:val="000000"/>
              </w:rPr>
              <w:t>50</w:t>
            </w:r>
          </w:p>
        </w:tc>
        <w:tc>
          <w:tcPr>
            <w:tcW w:w="2253" w:type="dxa"/>
            <w:vAlign w:val="bottom"/>
          </w:tcPr>
          <w:p w:rsidR="00066ED1" w:rsidRDefault="00066ED1" w:rsidP="00066ED1">
            <w:pPr>
              <w:jc w:val="right"/>
              <w:rPr>
                <w:rFonts w:ascii="Calibri" w:hAnsi="Calibri"/>
                <w:color w:val="000000"/>
              </w:rPr>
            </w:pPr>
            <w:r>
              <w:rPr>
                <w:rFonts w:ascii="Calibri" w:hAnsi="Calibri"/>
                <w:color w:val="000000"/>
              </w:rPr>
              <w:t>48.046572</w:t>
            </w:r>
          </w:p>
        </w:tc>
      </w:tr>
    </w:tbl>
    <w:p w:rsidR="00066ED1" w:rsidRDefault="00066ED1">
      <w:pPr>
        <w:rPr>
          <w:rFonts w:asciiTheme="minorHAnsi" w:hAnsiTheme="minorHAnsi"/>
          <w:b/>
        </w:rPr>
      </w:pPr>
    </w:p>
    <w:p w:rsidR="00BE1E66" w:rsidRDefault="00BE1E66">
      <w:pPr>
        <w:rPr>
          <w:rFonts w:asciiTheme="minorHAnsi" w:hAnsiTheme="minorHAnsi"/>
        </w:rPr>
      </w:pPr>
      <w:r>
        <w:rPr>
          <w:rFonts w:asciiTheme="minorHAnsi" w:hAnsiTheme="minorHAnsi"/>
        </w:rPr>
        <w:t>We can see that, with cache, the latency of all kinds of request greatly decreased, especially when the number of clients is high. Also, b</w:t>
      </w:r>
      <w:r>
        <w:rPr>
          <w:rFonts w:asciiTheme="minorHAnsi" w:hAnsiTheme="minorHAnsi"/>
        </w:rPr>
        <w:t>y decreasing the number of lookup and search request sent to the catalog server, the server can handle buy request faster.</w:t>
      </w:r>
    </w:p>
    <w:p w:rsidR="00BE1E66" w:rsidRDefault="00BE1E66">
      <w:pPr>
        <w:rPr>
          <w:rFonts w:asciiTheme="minorHAnsi" w:hAnsiTheme="minorHAnsi"/>
        </w:rPr>
      </w:pPr>
    </w:p>
    <w:p w:rsidR="00BE1E66" w:rsidRDefault="00BE1E66">
      <w:pPr>
        <w:rPr>
          <w:rFonts w:asciiTheme="minorHAnsi" w:hAnsiTheme="minorHAnsi"/>
        </w:rPr>
      </w:pPr>
      <w:r>
        <w:rPr>
          <w:rFonts w:asciiTheme="minorHAnsi" w:hAnsiTheme="minorHAnsi"/>
        </w:rPr>
        <w:t>Server crash impact</w:t>
      </w:r>
    </w:p>
    <w:p w:rsidR="00BE1E66" w:rsidRDefault="00BE1E66">
      <w:pPr>
        <w:rPr>
          <w:rFonts w:asciiTheme="minorHAnsi" w:hAnsiTheme="minorHAnsi"/>
        </w:rPr>
      </w:pPr>
      <w:r>
        <w:rPr>
          <w:noProof/>
        </w:rPr>
        <w:drawing>
          <wp:inline distT="0" distB="0" distL="0" distR="0" wp14:anchorId="6D81AF49" wp14:editId="49DC4966">
            <wp:extent cx="3503488" cy="1952090"/>
            <wp:effectExtent l="0" t="0" r="14605" b="16510"/>
            <wp:docPr id="4" name="Chart 4">
              <a:extLst xmlns:a="http://schemas.openxmlformats.org/drawingml/2006/main">
                <a:ext uri="{FF2B5EF4-FFF2-40B4-BE49-F238E27FC236}">
                  <a16:creationId xmlns:a16="http://schemas.microsoft.com/office/drawing/2014/main" id="{6C1858E2-B296-454A-A437-D1FAA4E12F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E1E66" w:rsidRDefault="00BE1E66">
      <w:pPr>
        <w:rPr>
          <w:rFonts w:asciiTheme="minorHAnsi" w:hAnsiTheme="minorHAnsi"/>
        </w:rPr>
      </w:pPr>
      <w:r>
        <w:rPr>
          <w:rFonts w:asciiTheme="minorHAnsi" w:hAnsiTheme="minorHAnsi"/>
        </w:rPr>
        <w:lastRenderedPageBreak/>
        <w:t>We can see that, when a catalog server crashed, the lookup and search delay s</w:t>
      </w:r>
      <w:r w:rsidR="00B50762">
        <w:rPr>
          <w:rFonts w:asciiTheme="minorHAnsi" w:hAnsiTheme="minorHAnsi"/>
        </w:rPr>
        <w:t>lightly increased. However, the buy request delay decreased significantly, this is because the frontend will send buy request to all replica, when a replica crash, it actually decrease the overhead of writing to multiple database and reach consensus.</w:t>
      </w:r>
    </w:p>
    <w:p w:rsidR="00B50762" w:rsidRDefault="00B50762">
      <w:pPr>
        <w:rPr>
          <w:rFonts w:asciiTheme="minorHAnsi" w:hAnsiTheme="minorHAnsi"/>
        </w:rPr>
      </w:pPr>
    </w:p>
    <w:p w:rsidR="00B50762" w:rsidRDefault="00B50762">
      <w:pPr>
        <w:rPr>
          <w:rFonts w:asciiTheme="minorHAnsi" w:hAnsiTheme="minorHAnsi"/>
        </w:rPr>
      </w:pPr>
      <w:r>
        <w:rPr>
          <w:rFonts w:asciiTheme="minorHAnsi" w:hAnsiTheme="minorHAnsi"/>
        </w:rPr>
        <w:t>To mimic the situation where the cache is missing and overhead increase, I set up the client to send out lookup request and buy request to a single item alternatively.</w:t>
      </w:r>
    </w:p>
    <w:p w:rsidR="00B50762" w:rsidRDefault="00B50762">
      <w:pPr>
        <w:rPr>
          <w:rFonts w:asciiTheme="minorHAnsi" w:hAnsiTheme="minorHAnsi"/>
        </w:rPr>
      </w:pPr>
      <w:r>
        <w:rPr>
          <w:rFonts w:asciiTheme="minorHAnsi" w:hAnsiTheme="minorHAnsi"/>
        </w:rPr>
        <w:t>The average latency for a lookup request to get data from DB without cache: 3.89</w:t>
      </w:r>
    </w:p>
    <w:p w:rsidR="00B50762" w:rsidRDefault="00B50762">
      <w:pPr>
        <w:rPr>
          <w:rFonts w:asciiTheme="minorHAnsi" w:hAnsiTheme="minorHAnsi"/>
        </w:rPr>
      </w:pPr>
      <w:r>
        <w:rPr>
          <w:rFonts w:asciiTheme="minorHAnsi" w:hAnsiTheme="minorHAnsi"/>
        </w:rPr>
        <w:t>The average latency for a lookup request</w:t>
      </w:r>
      <w:r>
        <w:rPr>
          <w:rFonts w:asciiTheme="minorHAnsi" w:hAnsiTheme="minorHAnsi"/>
        </w:rPr>
        <w:t xml:space="preserve"> to</w:t>
      </w:r>
      <w:r>
        <w:rPr>
          <w:rFonts w:asciiTheme="minorHAnsi" w:hAnsiTheme="minorHAnsi"/>
        </w:rPr>
        <w:t xml:space="preserve"> get data from DB with cache</w:t>
      </w:r>
      <w:r>
        <w:rPr>
          <w:rFonts w:asciiTheme="minorHAnsi" w:hAnsiTheme="minorHAnsi"/>
        </w:rPr>
        <w:t xml:space="preserve"> missing</w:t>
      </w:r>
      <w:r>
        <w:rPr>
          <w:rFonts w:asciiTheme="minorHAnsi" w:hAnsiTheme="minorHAnsi"/>
        </w:rPr>
        <w:t xml:space="preserve">: </w:t>
      </w:r>
      <w:r>
        <w:rPr>
          <w:rFonts w:asciiTheme="minorHAnsi" w:hAnsiTheme="minorHAnsi"/>
        </w:rPr>
        <w:t>4.1</w:t>
      </w:r>
    </w:p>
    <w:p w:rsidR="00B318F0" w:rsidRDefault="00B318F0">
      <w:pPr>
        <w:rPr>
          <w:rFonts w:asciiTheme="minorHAnsi" w:hAnsiTheme="minorHAnsi"/>
        </w:rPr>
      </w:pPr>
      <w:r>
        <w:rPr>
          <w:rFonts w:asciiTheme="minorHAnsi" w:hAnsiTheme="minorHAnsi"/>
        </w:rPr>
        <w:t>Which is acceptable.</w:t>
      </w:r>
    </w:p>
    <w:p w:rsidR="00B318F0" w:rsidRDefault="00B318F0">
      <w:pPr>
        <w:rPr>
          <w:rFonts w:asciiTheme="minorHAnsi" w:hAnsiTheme="minorHAnsi"/>
        </w:rPr>
      </w:pPr>
    </w:p>
    <w:p w:rsidR="00B318F0" w:rsidRDefault="00B318F0">
      <w:pPr>
        <w:rPr>
          <w:rFonts w:asciiTheme="minorHAnsi" w:hAnsiTheme="minorHAnsi"/>
        </w:rPr>
      </w:pPr>
      <w:r>
        <w:rPr>
          <w:rFonts w:asciiTheme="minorHAnsi" w:hAnsiTheme="minorHAnsi"/>
        </w:rPr>
        <w:t xml:space="preserve">To test the fault tolerance. I start all servers normally, and during the processing, I create artificially crashing by shut down one of the catalog servers. If the number of items in both </w:t>
      </w:r>
      <w:proofErr w:type="gramStart"/>
      <w:r>
        <w:rPr>
          <w:rFonts w:asciiTheme="minorHAnsi" w:hAnsiTheme="minorHAnsi"/>
        </w:rPr>
        <w:t>server</w:t>
      </w:r>
      <w:proofErr w:type="gramEnd"/>
      <w:r>
        <w:rPr>
          <w:rFonts w:asciiTheme="minorHAnsi" w:hAnsiTheme="minorHAnsi"/>
        </w:rPr>
        <w:t xml:space="preserve"> matches after recovery and all client’s request are served, we can draw the conclusion that </w:t>
      </w:r>
      <w:r w:rsidR="00833DBB">
        <w:rPr>
          <w:rFonts w:asciiTheme="minorHAnsi" w:hAnsiTheme="minorHAnsi"/>
        </w:rPr>
        <w:t>the system can tolerate k server crashing (theoretically).</w:t>
      </w:r>
    </w:p>
    <w:p w:rsidR="00B318F0" w:rsidRDefault="00B318F0">
      <w:pPr>
        <w:rPr>
          <w:rFonts w:asciiTheme="minorHAnsi" w:hAnsiTheme="minorHAnsi"/>
        </w:rPr>
      </w:pPr>
      <w:r>
        <w:rPr>
          <w:rFonts w:asciiTheme="minorHAnsi" w:hAnsiTheme="minorHAnsi" w:hint="eastAsia"/>
          <w:noProof/>
        </w:rPr>
        <w:drawing>
          <wp:inline distT="0" distB="0" distL="0" distR="0">
            <wp:extent cx="3852809" cy="1771197"/>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t.jpg"/>
                    <pic:cNvPicPr/>
                  </pic:nvPicPr>
                  <pic:blipFill>
                    <a:blip r:embed="rId8">
                      <a:extLst>
                        <a:ext uri="{28A0092B-C50C-407E-A947-70E740481C1C}">
                          <a14:useLocalDpi xmlns:a14="http://schemas.microsoft.com/office/drawing/2010/main" val="0"/>
                        </a:ext>
                      </a:extLst>
                    </a:blip>
                    <a:stretch>
                      <a:fillRect/>
                    </a:stretch>
                  </pic:blipFill>
                  <pic:spPr>
                    <a:xfrm>
                      <a:off x="0" y="0"/>
                      <a:ext cx="3868516" cy="1778418"/>
                    </a:xfrm>
                    <a:prstGeom prst="rect">
                      <a:avLst/>
                    </a:prstGeom>
                  </pic:spPr>
                </pic:pic>
              </a:graphicData>
            </a:graphic>
          </wp:inline>
        </w:drawing>
      </w:r>
    </w:p>
    <w:p w:rsidR="00B318F0" w:rsidRDefault="00B318F0">
      <w:pPr>
        <w:rPr>
          <w:rFonts w:asciiTheme="minorHAnsi" w:hAnsiTheme="minorHAnsi"/>
        </w:rPr>
      </w:pPr>
    </w:p>
    <w:p w:rsidR="00B318F0" w:rsidRDefault="00B318F0">
      <w:pPr>
        <w:rPr>
          <w:rFonts w:asciiTheme="minorHAnsi" w:hAnsiTheme="minorHAnsi"/>
        </w:rPr>
      </w:pPr>
      <w:r>
        <w:rPr>
          <w:rFonts w:asciiTheme="minorHAnsi" w:hAnsiTheme="minorHAnsi"/>
        </w:rPr>
        <w:t xml:space="preserve">Shut down the server </w:t>
      </w:r>
      <w:r>
        <w:rPr>
          <w:rFonts w:asciiTheme="minorHAnsi" w:hAnsiTheme="minorHAnsi" w:hint="eastAsia"/>
          <w:noProof/>
        </w:rPr>
        <w:drawing>
          <wp:inline distT="0" distB="0" distL="0" distR="0" wp14:anchorId="29854625" wp14:editId="78E0AFFC">
            <wp:extent cx="4965700" cy="15113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ash.jpg"/>
                    <pic:cNvPicPr/>
                  </pic:nvPicPr>
                  <pic:blipFill>
                    <a:blip r:embed="rId9">
                      <a:extLst>
                        <a:ext uri="{28A0092B-C50C-407E-A947-70E740481C1C}">
                          <a14:useLocalDpi xmlns:a14="http://schemas.microsoft.com/office/drawing/2010/main" val="0"/>
                        </a:ext>
                      </a:extLst>
                    </a:blip>
                    <a:stretch>
                      <a:fillRect/>
                    </a:stretch>
                  </pic:blipFill>
                  <pic:spPr>
                    <a:xfrm>
                      <a:off x="0" y="0"/>
                      <a:ext cx="4965700" cy="1511300"/>
                    </a:xfrm>
                    <a:prstGeom prst="rect">
                      <a:avLst/>
                    </a:prstGeom>
                  </pic:spPr>
                </pic:pic>
              </a:graphicData>
            </a:graphic>
          </wp:inline>
        </w:drawing>
      </w:r>
    </w:p>
    <w:p w:rsidR="00B318F0" w:rsidRDefault="00B318F0">
      <w:pPr>
        <w:rPr>
          <w:rFonts w:asciiTheme="minorHAnsi" w:hAnsiTheme="minorHAnsi"/>
        </w:rPr>
      </w:pPr>
      <w:r>
        <w:rPr>
          <w:rFonts w:asciiTheme="minorHAnsi" w:hAnsiTheme="minorHAnsi"/>
        </w:rPr>
        <w:t>Relaunch the server</w:t>
      </w:r>
    </w:p>
    <w:p w:rsidR="00B318F0" w:rsidRDefault="00B318F0">
      <w:pPr>
        <w:rPr>
          <w:rFonts w:asciiTheme="minorHAnsi" w:hAnsiTheme="minorHAnsi"/>
        </w:rPr>
      </w:pPr>
      <w:r>
        <w:rPr>
          <w:rFonts w:asciiTheme="minorHAnsi" w:hAnsiTheme="minorHAnsi" w:hint="eastAsia"/>
          <w:noProof/>
        </w:rPr>
        <w:drawing>
          <wp:inline distT="0" distB="0" distL="0" distR="0" wp14:anchorId="57D44205" wp14:editId="04F59C93">
            <wp:extent cx="5727700" cy="731520"/>
            <wp:effectExtent l="0" t="0" r="0"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aunch.jpg"/>
                    <pic:cNvPicPr/>
                  </pic:nvPicPr>
                  <pic:blipFill>
                    <a:blip r:embed="rId10">
                      <a:extLst>
                        <a:ext uri="{28A0092B-C50C-407E-A947-70E740481C1C}">
                          <a14:useLocalDpi xmlns:a14="http://schemas.microsoft.com/office/drawing/2010/main" val="0"/>
                        </a:ext>
                      </a:extLst>
                    </a:blip>
                    <a:stretch>
                      <a:fillRect/>
                    </a:stretch>
                  </pic:blipFill>
                  <pic:spPr>
                    <a:xfrm>
                      <a:off x="0" y="0"/>
                      <a:ext cx="5727700" cy="731520"/>
                    </a:xfrm>
                    <a:prstGeom prst="rect">
                      <a:avLst/>
                    </a:prstGeom>
                  </pic:spPr>
                </pic:pic>
              </a:graphicData>
            </a:graphic>
          </wp:inline>
        </w:drawing>
      </w:r>
    </w:p>
    <w:p w:rsidR="00833DBB" w:rsidRDefault="00833DBB">
      <w:pPr>
        <w:rPr>
          <w:rFonts w:asciiTheme="minorHAnsi" w:hAnsiTheme="minorHAnsi"/>
        </w:rPr>
      </w:pPr>
      <w:r>
        <w:rPr>
          <w:rFonts w:asciiTheme="minorHAnsi" w:hAnsiTheme="minorHAnsi"/>
        </w:rPr>
        <w:t>Since the clients sent out 500 buy requests to buy book 1 and both servers’ end result matches. The recovery mechanism worked.</w:t>
      </w:r>
    </w:p>
    <w:p w:rsidR="00833DBB" w:rsidRDefault="00833DBB">
      <w:pPr>
        <w:rPr>
          <w:rFonts w:asciiTheme="minorHAnsi" w:hAnsiTheme="minorHAnsi"/>
        </w:rPr>
      </w:pPr>
    </w:p>
    <w:p w:rsidR="00833DBB" w:rsidRDefault="00833DBB">
      <w:pPr>
        <w:rPr>
          <w:rFonts w:asciiTheme="minorHAnsi" w:hAnsiTheme="minorHAnsi"/>
        </w:rPr>
      </w:pPr>
      <w:r>
        <w:rPr>
          <w:rFonts w:asciiTheme="minorHAnsi" w:hAnsiTheme="minorHAnsi"/>
        </w:rPr>
        <w:lastRenderedPageBreak/>
        <w:t xml:space="preserve">How does fault tolerance and disaster recovery </w:t>
      </w:r>
      <w:proofErr w:type="gramStart"/>
      <w:r>
        <w:rPr>
          <w:rFonts w:asciiTheme="minorHAnsi" w:hAnsiTheme="minorHAnsi"/>
        </w:rPr>
        <w:t>works:</w:t>
      </w:r>
      <w:proofErr w:type="gramEnd"/>
    </w:p>
    <w:p w:rsidR="00833DBB" w:rsidRPr="00BE1E66" w:rsidRDefault="00833DBB">
      <w:pPr>
        <w:rPr>
          <w:rFonts w:asciiTheme="minorHAnsi" w:hAnsiTheme="minorHAnsi" w:hint="eastAsia"/>
        </w:rPr>
      </w:pPr>
      <w:r>
        <w:rPr>
          <w:rFonts w:asciiTheme="minorHAnsi" w:hAnsiTheme="minorHAnsi"/>
        </w:rPr>
        <w:tab/>
        <w:t xml:space="preserve">When the front-end receives a buy request, it will forward buy request to both server clusters, and it will not forward any new buy request until all servers respond or crash, so both </w:t>
      </w:r>
      <w:r w:rsidR="004418FE">
        <w:rPr>
          <w:rFonts w:asciiTheme="minorHAnsi" w:hAnsiTheme="minorHAnsi"/>
        </w:rPr>
        <w:t>databases are always synchronized when they didn’t crash. When one server with database crash, all requests will be forward to another cluster and get processed. So when the crash server just send out a request to its replica in another cluster to get correct stock, the replica server at this time will lock down the database and will not process any database update related request until the sync is completed.</w:t>
      </w:r>
      <w:bookmarkStart w:id="0" w:name="_GoBack"/>
      <w:bookmarkEnd w:id="0"/>
      <w:r w:rsidR="004418FE">
        <w:rPr>
          <w:rFonts w:asciiTheme="minorHAnsi" w:hAnsiTheme="minorHAnsi"/>
        </w:rPr>
        <w:t xml:space="preserve"> </w:t>
      </w:r>
    </w:p>
    <w:sectPr w:rsidR="00833DBB" w:rsidRPr="00BE1E66" w:rsidSect="00066ED1">
      <w:pgSz w:w="11900" w:h="16840"/>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ED1"/>
    <w:rsid w:val="00066ED1"/>
    <w:rsid w:val="004418FE"/>
    <w:rsid w:val="0047349B"/>
    <w:rsid w:val="00550360"/>
    <w:rsid w:val="007429DB"/>
    <w:rsid w:val="00752573"/>
    <w:rsid w:val="00833DBB"/>
    <w:rsid w:val="00844AC2"/>
    <w:rsid w:val="00B318F0"/>
    <w:rsid w:val="00B50762"/>
    <w:rsid w:val="00BE1E66"/>
    <w:rsid w:val="00E07C31"/>
    <w:rsid w:val="00E64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5BAC"/>
  <w15:chartTrackingRefBased/>
  <w15:docId w15:val="{0E422D2B-900B-B747-A42F-34C23B39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66ED1"/>
    <w:rPr>
      <w:rFonts w:ascii="Times New Roman" w:eastAsia="Times New Roman" w:hAnsi="Times New Roma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6ED1"/>
    <w:rPr>
      <w:sz w:val="18"/>
      <w:szCs w:val="18"/>
    </w:rPr>
  </w:style>
  <w:style w:type="character" w:customStyle="1" w:styleId="BalloonTextChar">
    <w:name w:val="Balloon Text Char"/>
    <w:basedOn w:val="DefaultParagraphFont"/>
    <w:link w:val="BalloonText"/>
    <w:uiPriority w:val="99"/>
    <w:semiHidden/>
    <w:rsid w:val="00066ED1"/>
    <w:rPr>
      <w:rFonts w:ascii="Times New Roman" w:eastAsia="Times New Roman" w:hAnsi="Times New Roman" w:cs="Times New Roman"/>
      <w:kern w:val="0"/>
      <w:sz w:val="18"/>
      <w:szCs w:val="18"/>
    </w:rPr>
  </w:style>
  <w:style w:type="table" w:styleId="TableGrid">
    <w:name w:val="Table Grid"/>
    <w:basedOn w:val="TableNormal"/>
    <w:uiPriority w:val="39"/>
    <w:rsid w:val="00066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120546">
      <w:bodyDiv w:val="1"/>
      <w:marLeft w:val="0"/>
      <w:marRight w:val="0"/>
      <w:marTop w:val="0"/>
      <w:marBottom w:val="0"/>
      <w:divBdr>
        <w:top w:val="none" w:sz="0" w:space="0" w:color="auto"/>
        <w:left w:val="none" w:sz="0" w:space="0" w:color="auto"/>
        <w:bottom w:val="none" w:sz="0" w:space="0" w:color="auto"/>
        <w:right w:val="none" w:sz="0" w:space="0" w:color="auto"/>
      </w:divBdr>
    </w:div>
    <w:div w:id="946039135">
      <w:bodyDiv w:val="1"/>
      <w:marLeft w:val="0"/>
      <w:marRight w:val="0"/>
      <w:marTop w:val="0"/>
      <w:marBottom w:val="0"/>
      <w:divBdr>
        <w:top w:val="none" w:sz="0" w:space="0" w:color="auto"/>
        <w:left w:val="none" w:sz="0" w:space="0" w:color="auto"/>
        <w:bottom w:val="none" w:sz="0" w:space="0" w:color="auto"/>
        <w:right w:val="none" w:sz="0" w:space="0" w:color="auto"/>
      </w:divBdr>
    </w:div>
    <w:div w:id="1284924220">
      <w:bodyDiv w:val="1"/>
      <w:marLeft w:val="0"/>
      <w:marRight w:val="0"/>
      <w:marTop w:val="0"/>
      <w:marBottom w:val="0"/>
      <w:divBdr>
        <w:top w:val="none" w:sz="0" w:space="0" w:color="auto"/>
        <w:left w:val="none" w:sz="0" w:space="0" w:color="auto"/>
        <w:bottom w:val="none" w:sz="0" w:space="0" w:color="auto"/>
        <w:right w:val="none" w:sz="0" w:space="0" w:color="auto"/>
      </w:divBdr>
    </w:div>
    <w:div w:id="158919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image" Target="media/image3.jpg"/><Relationship Id="rId4" Type="http://schemas.openxmlformats.org/officeDocument/2006/relationships/chart" Target="charts/chart1.xml"/><Relationship Id="rId9"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'1 client'!$B$1</c:f>
              <c:strCache>
                <c:ptCount val="1"/>
                <c:pt idx="0">
                  <c:v>Cache</c:v>
                </c:pt>
              </c:strCache>
            </c:strRef>
          </c:tx>
          <c:spPr>
            <a:solidFill>
              <a:schemeClr val="accent1"/>
            </a:solidFill>
            <a:ln>
              <a:noFill/>
            </a:ln>
            <a:effectLst/>
          </c:spPr>
          <c:invertIfNegative val="0"/>
          <c:cat>
            <c:strRef>
              <c:f>'1 client'!$A$2:$A$4</c:f>
              <c:strCache>
                <c:ptCount val="3"/>
                <c:pt idx="0">
                  <c:v>buy</c:v>
                </c:pt>
                <c:pt idx="1">
                  <c:v>search</c:v>
                </c:pt>
                <c:pt idx="2">
                  <c:v>lookup</c:v>
                </c:pt>
              </c:strCache>
            </c:strRef>
          </c:cat>
          <c:val>
            <c:numRef>
              <c:f>'1 client'!$B$2:$B$4</c:f>
              <c:numCache>
                <c:formatCode>General</c:formatCode>
                <c:ptCount val="3"/>
                <c:pt idx="0">
                  <c:v>20.23</c:v>
                </c:pt>
                <c:pt idx="1">
                  <c:v>3.57</c:v>
                </c:pt>
                <c:pt idx="2">
                  <c:v>1.82</c:v>
                </c:pt>
              </c:numCache>
            </c:numRef>
          </c:val>
          <c:extLst>
            <c:ext xmlns:c16="http://schemas.microsoft.com/office/drawing/2014/chart" uri="{C3380CC4-5D6E-409C-BE32-E72D297353CC}">
              <c16:uniqueId val="{00000000-E5B3-4C47-B04E-623B28CF3A7A}"/>
            </c:ext>
          </c:extLst>
        </c:ser>
        <c:ser>
          <c:idx val="1"/>
          <c:order val="1"/>
          <c:tx>
            <c:strRef>
              <c:f>'1 client'!$C$1</c:f>
              <c:strCache>
                <c:ptCount val="1"/>
                <c:pt idx="0">
                  <c:v>lab2</c:v>
                </c:pt>
              </c:strCache>
            </c:strRef>
          </c:tx>
          <c:spPr>
            <a:solidFill>
              <a:schemeClr val="accent2"/>
            </a:solidFill>
            <a:ln>
              <a:noFill/>
            </a:ln>
            <a:effectLst/>
          </c:spPr>
          <c:invertIfNegative val="0"/>
          <c:cat>
            <c:strRef>
              <c:f>'1 client'!$A$2:$A$4</c:f>
              <c:strCache>
                <c:ptCount val="3"/>
                <c:pt idx="0">
                  <c:v>buy</c:v>
                </c:pt>
                <c:pt idx="1">
                  <c:v>search</c:v>
                </c:pt>
                <c:pt idx="2">
                  <c:v>lookup</c:v>
                </c:pt>
              </c:strCache>
            </c:strRef>
          </c:cat>
          <c:val>
            <c:numRef>
              <c:f>'1 client'!$C$2:$C$4</c:f>
              <c:numCache>
                <c:formatCode>General</c:formatCode>
                <c:ptCount val="3"/>
                <c:pt idx="0">
                  <c:v>30.35</c:v>
                </c:pt>
                <c:pt idx="1">
                  <c:v>13.3</c:v>
                </c:pt>
                <c:pt idx="2">
                  <c:v>14.4</c:v>
                </c:pt>
              </c:numCache>
            </c:numRef>
          </c:val>
          <c:extLst>
            <c:ext xmlns:c16="http://schemas.microsoft.com/office/drawing/2014/chart" uri="{C3380CC4-5D6E-409C-BE32-E72D297353CC}">
              <c16:uniqueId val="{00000001-E5B3-4C47-B04E-623B28CF3A7A}"/>
            </c:ext>
          </c:extLst>
        </c:ser>
        <c:dLbls>
          <c:showLegendKey val="0"/>
          <c:showVal val="0"/>
          <c:showCatName val="0"/>
          <c:showSerName val="0"/>
          <c:showPercent val="0"/>
          <c:showBubbleSize val="0"/>
        </c:dLbls>
        <c:gapWidth val="182"/>
        <c:axId val="1778124751"/>
        <c:axId val="1778111839"/>
      </c:barChart>
      <c:catAx>
        <c:axId val="177812475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111839"/>
        <c:crosses val="autoZero"/>
        <c:auto val="1"/>
        <c:lblAlgn val="ctr"/>
        <c:lblOffset val="100"/>
        <c:noMultiLvlLbl val="0"/>
      </c:catAx>
      <c:valAx>
        <c:axId val="17781118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8124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'3 client'!$B$2</c:f>
              <c:strCache>
                <c:ptCount val="1"/>
                <c:pt idx="0">
                  <c:v>cache</c:v>
                </c:pt>
              </c:strCache>
            </c:strRef>
          </c:tx>
          <c:spPr>
            <a:solidFill>
              <a:schemeClr val="accent1"/>
            </a:solidFill>
            <a:ln>
              <a:noFill/>
            </a:ln>
            <a:effectLst/>
          </c:spPr>
          <c:invertIfNegative val="0"/>
          <c:cat>
            <c:strRef>
              <c:f>'3 client'!$A$3:$A$5</c:f>
              <c:strCache>
                <c:ptCount val="3"/>
                <c:pt idx="0">
                  <c:v>buy</c:v>
                </c:pt>
                <c:pt idx="1">
                  <c:v>search</c:v>
                </c:pt>
                <c:pt idx="2">
                  <c:v>lookup</c:v>
                </c:pt>
              </c:strCache>
            </c:strRef>
          </c:cat>
          <c:val>
            <c:numRef>
              <c:f>'3 client'!$B$3:$B$5</c:f>
              <c:numCache>
                <c:formatCode>General</c:formatCode>
                <c:ptCount val="3"/>
                <c:pt idx="0">
                  <c:v>39.35333</c:v>
                </c:pt>
                <c:pt idx="1">
                  <c:v>4.8221999999999996</c:v>
                </c:pt>
                <c:pt idx="2">
                  <c:v>1.9422999999999999</c:v>
                </c:pt>
              </c:numCache>
            </c:numRef>
          </c:val>
          <c:extLst>
            <c:ext xmlns:c16="http://schemas.microsoft.com/office/drawing/2014/chart" uri="{C3380CC4-5D6E-409C-BE32-E72D297353CC}">
              <c16:uniqueId val="{00000000-158A-7642-B038-451E64704B31}"/>
            </c:ext>
          </c:extLst>
        </c:ser>
        <c:ser>
          <c:idx val="1"/>
          <c:order val="1"/>
          <c:tx>
            <c:strRef>
              <c:f>'3 client'!$C$2</c:f>
              <c:strCache>
                <c:ptCount val="1"/>
                <c:pt idx="0">
                  <c:v>lab2</c:v>
                </c:pt>
              </c:strCache>
            </c:strRef>
          </c:tx>
          <c:spPr>
            <a:solidFill>
              <a:schemeClr val="accent2"/>
            </a:solidFill>
            <a:ln>
              <a:noFill/>
            </a:ln>
            <a:effectLst/>
          </c:spPr>
          <c:invertIfNegative val="0"/>
          <c:cat>
            <c:strRef>
              <c:f>'3 client'!$A$3:$A$5</c:f>
              <c:strCache>
                <c:ptCount val="3"/>
                <c:pt idx="0">
                  <c:v>buy</c:v>
                </c:pt>
                <c:pt idx="1">
                  <c:v>search</c:v>
                </c:pt>
                <c:pt idx="2">
                  <c:v>lookup</c:v>
                </c:pt>
              </c:strCache>
            </c:strRef>
          </c:cat>
          <c:val>
            <c:numRef>
              <c:f>'3 client'!$C$3:$C$5</c:f>
              <c:numCache>
                <c:formatCode>General</c:formatCode>
                <c:ptCount val="3"/>
                <c:pt idx="0">
                  <c:v>189</c:v>
                </c:pt>
                <c:pt idx="1">
                  <c:v>14.17</c:v>
                </c:pt>
                <c:pt idx="2">
                  <c:v>42.39</c:v>
                </c:pt>
              </c:numCache>
            </c:numRef>
          </c:val>
          <c:extLst>
            <c:ext xmlns:c16="http://schemas.microsoft.com/office/drawing/2014/chart" uri="{C3380CC4-5D6E-409C-BE32-E72D297353CC}">
              <c16:uniqueId val="{00000001-158A-7642-B038-451E64704B31}"/>
            </c:ext>
          </c:extLst>
        </c:ser>
        <c:dLbls>
          <c:showLegendKey val="0"/>
          <c:showVal val="0"/>
          <c:showCatName val="0"/>
          <c:showSerName val="0"/>
          <c:showPercent val="0"/>
          <c:showBubbleSize val="0"/>
        </c:dLbls>
        <c:gapWidth val="182"/>
        <c:axId val="1804212799"/>
        <c:axId val="1804214479"/>
      </c:barChart>
      <c:catAx>
        <c:axId val="18042127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4214479"/>
        <c:crosses val="autoZero"/>
        <c:auto val="1"/>
        <c:lblAlgn val="ctr"/>
        <c:lblOffset val="100"/>
        <c:noMultiLvlLbl val="0"/>
      </c:catAx>
      <c:valAx>
        <c:axId val="18042144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4212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'5 client'!$B$1</c:f>
              <c:strCache>
                <c:ptCount val="1"/>
                <c:pt idx="0">
                  <c:v>lab3</c:v>
                </c:pt>
              </c:strCache>
            </c:strRef>
          </c:tx>
          <c:spPr>
            <a:solidFill>
              <a:schemeClr val="accent1"/>
            </a:solidFill>
            <a:ln>
              <a:noFill/>
            </a:ln>
            <a:effectLst/>
          </c:spPr>
          <c:invertIfNegative val="0"/>
          <c:cat>
            <c:strRef>
              <c:f>'5 client'!$A$2:$A$4</c:f>
              <c:strCache>
                <c:ptCount val="3"/>
                <c:pt idx="0">
                  <c:v>buy</c:v>
                </c:pt>
                <c:pt idx="1">
                  <c:v>search</c:v>
                </c:pt>
                <c:pt idx="2">
                  <c:v>lookup</c:v>
                </c:pt>
              </c:strCache>
            </c:strRef>
          </c:cat>
          <c:val>
            <c:numRef>
              <c:f>'5 client'!$B$2:$B$4</c:f>
              <c:numCache>
                <c:formatCode>General</c:formatCode>
                <c:ptCount val="3"/>
                <c:pt idx="0">
                  <c:v>83.66</c:v>
                </c:pt>
                <c:pt idx="1">
                  <c:v>4.8466659999999999</c:v>
                </c:pt>
                <c:pt idx="2">
                  <c:v>1.9534279999999999</c:v>
                </c:pt>
              </c:numCache>
            </c:numRef>
          </c:val>
          <c:extLst>
            <c:ext xmlns:c16="http://schemas.microsoft.com/office/drawing/2014/chart" uri="{C3380CC4-5D6E-409C-BE32-E72D297353CC}">
              <c16:uniqueId val="{00000000-91F3-9348-BE37-64C2FE823C04}"/>
            </c:ext>
          </c:extLst>
        </c:ser>
        <c:ser>
          <c:idx val="1"/>
          <c:order val="1"/>
          <c:tx>
            <c:strRef>
              <c:f>'5 client'!$E$1</c:f>
              <c:strCache>
                <c:ptCount val="1"/>
                <c:pt idx="0">
                  <c:v>lab2</c:v>
                </c:pt>
              </c:strCache>
            </c:strRef>
          </c:tx>
          <c:spPr>
            <a:solidFill>
              <a:schemeClr val="accent2"/>
            </a:solidFill>
            <a:ln>
              <a:noFill/>
            </a:ln>
            <a:effectLst/>
          </c:spPr>
          <c:invertIfNegative val="0"/>
          <c:cat>
            <c:strRef>
              <c:f>'5 client'!$A$2:$A$4</c:f>
              <c:strCache>
                <c:ptCount val="3"/>
                <c:pt idx="0">
                  <c:v>buy</c:v>
                </c:pt>
                <c:pt idx="1">
                  <c:v>search</c:v>
                </c:pt>
                <c:pt idx="2">
                  <c:v>lookup</c:v>
                </c:pt>
              </c:strCache>
            </c:strRef>
          </c:cat>
          <c:val>
            <c:numRef>
              <c:f>'5 client'!$E$2:$E$4</c:f>
              <c:numCache>
                <c:formatCode>General</c:formatCode>
                <c:ptCount val="3"/>
                <c:pt idx="0">
                  <c:v>224.95</c:v>
                </c:pt>
                <c:pt idx="1">
                  <c:v>9.1999999999999993</c:v>
                </c:pt>
                <c:pt idx="2">
                  <c:v>50</c:v>
                </c:pt>
              </c:numCache>
            </c:numRef>
          </c:val>
          <c:extLst>
            <c:ext xmlns:c16="http://schemas.microsoft.com/office/drawing/2014/chart" uri="{C3380CC4-5D6E-409C-BE32-E72D297353CC}">
              <c16:uniqueId val="{00000001-91F3-9348-BE37-64C2FE823C04}"/>
            </c:ext>
          </c:extLst>
        </c:ser>
        <c:dLbls>
          <c:showLegendKey val="0"/>
          <c:showVal val="0"/>
          <c:showCatName val="0"/>
          <c:showSerName val="0"/>
          <c:showPercent val="0"/>
          <c:showBubbleSize val="0"/>
        </c:dLbls>
        <c:gapWidth val="182"/>
        <c:axId val="1775758159"/>
        <c:axId val="1775462447"/>
      </c:barChart>
      <c:catAx>
        <c:axId val="177575815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462447"/>
        <c:crosses val="autoZero"/>
        <c:auto val="1"/>
        <c:lblAlgn val="ctr"/>
        <c:lblOffset val="100"/>
        <c:noMultiLvlLbl val="0"/>
      </c:catAx>
      <c:valAx>
        <c:axId val="17754624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758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'5 client'!$B$1</c:f>
              <c:strCache>
                <c:ptCount val="1"/>
                <c:pt idx="0">
                  <c:v>lab3</c:v>
                </c:pt>
              </c:strCache>
            </c:strRef>
          </c:tx>
          <c:spPr>
            <a:solidFill>
              <a:schemeClr val="accent1"/>
            </a:solidFill>
            <a:ln>
              <a:noFill/>
            </a:ln>
            <a:effectLst/>
          </c:spPr>
          <c:invertIfNegative val="0"/>
          <c:cat>
            <c:strRef>
              <c:f>'5 client'!$A$2:$A$4</c:f>
              <c:strCache>
                <c:ptCount val="3"/>
                <c:pt idx="0">
                  <c:v>buy</c:v>
                </c:pt>
                <c:pt idx="1">
                  <c:v>search</c:v>
                </c:pt>
                <c:pt idx="2">
                  <c:v>lookup</c:v>
                </c:pt>
              </c:strCache>
            </c:strRef>
          </c:cat>
          <c:val>
            <c:numRef>
              <c:f>'5 client'!$B$2:$B$4</c:f>
              <c:numCache>
                <c:formatCode>General</c:formatCode>
                <c:ptCount val="3"/>
                <c:pt idx="0">
                  <c:v>83.66</c:v>
                </c:pt>
                <c:pt idx="1">
                  <c:v>4.8466659999999999</c:v>
                </c:pt>
                <c:pt idx="2">
                  <c:v>1.9534279999999999</c:v>
                </c:pt>
              </c:numCache>
            </c:numRef>
          </c:val>
          <c:extLst>
            <c:ext xmlns:c16="http://schemas.microsoft.com/office/drawing/2014/chart" uri="{C3380CC4-5D6E-409C-BE32-E72D297353CC}">
              <c16:uniqueId val="{00000000-2247-404F-A89E-F203CF51780A}"/>
            </c:ext>
          </c:extLst>
        </c:ser>
        <c:ser>
          <c:idx val="1"/>
          <c:order val="1"/>
          <c:tx>
            <c:strRef>
              <c:f>'5 client'!$C$1</c:f>
              <c:strCache>
                <c:ptCount val="1"/>
                <c:pt idx="0">
                  <c:v>with crash</c:v>
                </c:pt>
              </c:strCache>
            </c:strRef>
          </c:tx>
          <c:spPr>
            <a:solidFill>
              <a:schemeClr val="accent2"/>
            </a:solidFill>
            <a:ln>
              <a:noFill/>
            </a:ln>
            <a:effectLst/>
          </c:spPr>
          <c:invertIfNegative val="0"/>
          <c:cat>
            <c:strRef>
              <c:f>'5 client'!$A$2:$A$4</c:f>
              <c:strCache>
                <c:ptCount val="3"/>
                <c:pt idx="0">
                  <c:v>buy</c:v>
                </c:pt>
                <c:pt idx="1">
                  <c:v>search</c:v>
                </c:pt>
                <c:pt idx="2">
                  <c:v>lookup</c:v>
                </c:pt>
              </c:strCache>
            </c:strRef>
          </c:cat>
          <c:val>
            <c:numRef>
              <c:f>'5 client'!$C$2:$C$4</c:f>
              <c:numCache>
                <c:formatCode>General</c:formatCode>
                <c:ptCount val="3"/>
                <c:pt idx="0">
                  <c:v>36</c:v>
                </c:pt>
                <c:pt idx="1">
                  <c:v>5.6</c:v>
                </c:pt>
                <c:pt idx="2">
                  <c:v>2.4300000000000002</c:v>
                </c:pt>
              </c:numCache>
            </c:numRef>
          </c:val>
          <c:extLst>
            <c:ext xmlns:c16="http://schemas.microsoft.com/office/drawing/2014/chart" uri="{C3380CC4-5D6E-409C-BE32-E72D297353CC}">
              <c16:uniqueId val="{00000001-2247-404F-A89E-F203CF51780A}"/>
            </c:ext>
          </c:extLst>
        </c:ser>
        <c:dLbls>
          <c:showLegendKey val="0"/>
          <c:showVal val="0"/>
          <c:showCatName val="0"/>
          <c:showSerName val="0"/>
          <c:showPercent val="0"/>
          <c:showBubbleSize val="0"/>
        </c:dLbls>
        <c:gapWidth val="182"/>
        <c:axId val="1806317103"/>
        <c:axId val="1806077791"/>
      </c:barChart>
      <c:catAx>
        <c:axId val="180631710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077791"/>
        <c:crosses val="autoZero"/>
        <c:auto val="1"/>
        <c:lblAlgn val="ctr"/>
        <c:lblOffset val="100"/>
        <c:noMultiLvlLbl val="0"/>
      </c:catAx>
      <c:valAx>
        <c:axId val="18060777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6317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 Zhu</dc:creator>
  <cp:keywords/>
  <dc:description/>
  <cp:lastModifiedBy>Run Zhu</cp:lastModifiedBy>
  <cp:revision>1</cp:revision>
  <dcterms:created xsi:type="dcterms:W3CDTF">2019-04-25T02:29:00Z</dcterms:created>
  <dcterms:modified xsi:type="dcterms:W3CDTF">2019-04-25T03:25:00Z</dcterms:modified>
</cp:coreProperties>
</file>