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FF83" w14:textId="77777777" w:rsidR="00AA08E5" w:rsidRDefault="00BA06D0">
      <w:pPr>
        <w:jc w:val="center"/>
      </w:pPr>
      <w:r>
        <w:rPr>
          <w:b/>
          <w:sz w:val="36"/>
        </w:rPr>
        <w:t>ApexNova Commerce Group</w:t>
      </w:r>
    </w:p>
    <w:p w14:paraId="46C7C567" w14:textId="77777777" w:rsidR="00AA08E5" w:rsidRDefault="00BA06D0">
      <w:pPr>
        <w:jc w:val="center"/>
      </w:pPr>
      <w:r>
        <w:rPr>
          <w:b/>
          <w:sz w:val="28"/>
        </w:rPr>
        <w:t>Customer Management Guidelines - 2024</w:t>
      </w:r>
    </w:p>
    <w:p w14:paraId="672A6659" w14:textId="77777777" w:rsidR="00AA08E5" w:rsidRDefault="00AA08E5"/>
    <w:p w14:paraId="6AD57892" w14:textId="77777777" w:rsidR="00AA08E5" w:rsidRDefault="00BA06D0">
      <w:pPr>
        <w:pStyle w:val="Heading1"/>
      </w:pPr>
      <w:r>
        <w:t>1. Refund Policy</w:t>
      </w:r>
    </w:p>
    <w:p w14:paraId="59AE081B" w14:textId="77777777" w:rsidR="00AA08E5" w:rsidRDefault="00BA06D0">
      <w:r>
        <w:t>The refund policy for this year represents the culmination of several years of iterative improvement and now offers one of the most customer-friendly return frameworks in the retail sector while maintaining robust controls against fraud and abuse. The refund window has been set at 30 days from the date of purchase, providing customers with substantial time to evaluate their purchase and identify any concerns. Refunds may be issued through an expanded range of methods: the original payment method, store cred</w:t>
      </w:r>
      <w:r>
        <w:t xml:space="preserve">it, gift card, or digital wallet (including Apple Pay, Google Pay, and similar platforms) at the customer's choice. This flexibility reflects the diversity of modern payment preferences and removes friction from the return process. Digital proof of purchase is now the preferred and recommended verification method. Accepted forms include e-receipts sent to the customer's email, purchase history within the customer's app account, QR-code transaction codes generated at point of sale, and records linked to the </w:t>
      </w:r>
      <w:r>
        <w:t>customer's loyalty account. Physical receipts remain valid and accepted, and for high-value items exceeding 500 euro, blockchain-verified purchase records are accepted as an additional layer of authenticity verification. Items must be returned in category-appropriate condition, assessed using a new standardized condition assessment checklist that employees complete as part of the return process. This checklist provides objective, consistent criteria for evaluating return condition by product category, elimi</w:t>
      </w:r>
      <w:r>
        <w:t>nating subjective judgments and ensuring fair treatment across all customers and all staff members. Partial refunds are now calculated using an automated depreciation calculator integrated directly into the POS system. The employee inputs the product category and the number of days since purchase, and the system calculates the appropriate partial refund amount. This removes manual calculation, eliminates inconsistency, and provides the customer with a clear, defensible figure. The approval authority structu</w:t>
      </w:r>
      <w:r>
        <w:t>re has been refined into a tiered model: refunds up to 75 euro may be approved by any trained employee; refunds between 75 and 200 euro require team leader approval; refunds above 200 euro require store manager approval; and refunds exceeding 500 euro require regional authorization. This tiered approach balances speed of service with appropriate oversight based on financial materiality. A landmark change this year is the introduction of fully remote refund processing. Customers may now complete the entire r</w:t>
      </w:r>
      <w:r>
        <w:t>efund process remotely, including initiating the request, uploading proof of purchase, scheduling a courier collection for physical returns, and receiving the refund to their chosen method, all through the self-service customer portal. This applies to both online and in-store purchases and represents a significant investment in digital service infrastructure.</w:t>
      </w:r>
    </w:p>
    <w:p w14:paraId="0A37501D" w14:textId="77777777" w:rsidR="00AA08E5" w:rsidRDefault="00AA08E5"/>
    <w:p w14:paraId="17A20B58" w14:textId="77777777" w:rsidR="00AA08E5" w:rsidRDefault="00BA06D0">
      <w:pPr>
        <w:pStyle w:val="Heading1"/>
      </w:pPr>
      <w:r>
        <w:t>2. Theft &amp; Incident Handling</w:t>
      </w:r>
    </w:p>
    <w:p w14:paraId="73209FC6" w14:textId="77777777" w:rsidR="00AA08E5" w:rsidRDefault="00BA06D0">
      <w:r>
        <w:t>The organization's approach to theft and incident handling reaches a new level of sophistication this year with the introduction of a fully structured de-escalation protocol supported by advanced technology, mandatory coordination requirements, and a comprehensive support framework for affected employees. All suspected theft situations now follow a formal 4-step response protocol: Step 1 - Observe (note the behavior, products involved, and location without approaching); Step 2 - Alert (notify the security t</w:t>
      </w:r>
      <w:r>
        <w:t>eam via the discreet earpiece communication system); Step 3 - Service Presence (maintain a visible, helpful staff presence in the area to signal awareness); Step 4 - Withdraw (if the situation shows any signs of escalation, aggression, or unpredictability, the employee must immediately withdraw to a safe distance and allow security to manage). Real-time coordination with the security team is now mandatory for all suspected incidents. Solo intervention of any kind, whether verbal or physical, is completely p</w:t>
      </w:r>
      <w:r>
        <w:t>rohibited. No employee should approach, engage with, or deter a suspected individual without security team awareness and coordination. This requirement applies to all employees regardless of their experience, confidence, or seniority. Security team members are authorized to approach suspected individuals, accompany them within the store, and request cooperation. Security team members receive specialized training in legal boundaries, proportionate response, and evidence preservation. Their authority is clear</w:t>
      </w:r>
      <w:r>
        <w:t xml:space="preserve">ly distinct from that of general retail employees. Body cameras are now available for security team members and may be activated during active incidents. Their use is optional and subject to clearly displayed signage informing all customers and staff that recording may be in progress. Body camera footage is stored securely, access-controlled, and subject to the same data retention and privacy rules as CCTV footage. AI-assisted CCTV monitoring is deployed across all stores, providing automated alerts to the </w:t>
      </w:r>
      <w:r>
        <w:t xml:space="preserve">security office when unusual behavior patterns are detected. These alerts supplement human observation and allow security to respond more quickly to emerging situations. The AI system does not make determinations of guilt; it merely flags patterns for human review and response. All incidents are now auto-logged by the integrated security system the moment a security alert is triggered. Employees involved must verify and supplement the auto-generated log with their personal observations within 30 minutes of </w:t>
      </w:r>
      <w:r>
        <w:t>the event. This dual-layer documentation ensures comprehensive records while reducing the documentation burden on frontline staff during stressful situations. Monthly de-escalation refresher training is mandatory for all customer-facing employees. Additionally, post-incident psychological support is available for any staff member affected by a theft-related event. This includes access to a confidential counseling service, a debrief conversation with their manager, and the option to take a short break or lea</w:t>
      </w:r>
      <w:r>
        <w:t>ve for the remainder of the shift if significantly distressed.</w:t>
      </w:r>
    </w:p>
    <w:p w14:paraId="5DAB6C7B" w14:textId="77777777" w:rsidR="00AA08E5" w:rsidRDefault="00AA08E5"/>
    <w:p w14:paraId="09190C7C" w14:textId="77777777" w:rsidR="00AA08E5" w:rsidRDefault="00BA06D0">
      <w:pPr>
        <w:pStyle w:val="Heading1"/>
      </w:pPr>
      <w:r>
        <w:t>3. Customer Communication</w:t>
      </w:r>
    </w:p>
    <w:p w14:paraId="51A55C7C" w14:textId="77777777" w:rsidR="00AA08E5" w:rsidRDefault="00BA06D0">
      <w:r>
        <w:t>Customer communication standards reach their most comprehensive form this year with the adoption of inclusive and accessible communication as the primary standard across all service channels. This reflects the organization's recognition that effective communication is not merely about politeness or efficiency; it is about ensuring that every customer, regardless of their abilities, background, or circumstances, can fully access, understand, and benefit from the services offered. Plain language is now mandat</w:t>
      </w:r>
      <w:r>
        <w:t>ory for all customer-facing materials, signage, notices, and verbal explanations. All communications must be understandable at a general public reading level without requiring specialist knowledge, industry familiarity, or high literacy. Internal jargon, acronyms, complex sentence structures, and passive voice should be avoided wherever possible. When technical terms are unavoidable, they must be briefly explained in simple language. The accessibility-first principle requires employees to proactively identi</w:t>
      </w:r>
      <w:r>
        <w:t>fy and accommodate communication needs without waiting to be asked. This includes recognizing and adapting to hearing impairments, visual impairments, language barriers, cognitive processing differences, and other conditions that may affect how a customer receives, processes, or responds to information. Employees should ask 'How can I best help you?' rather than assuming what accommodation might be needed. Response time targets have been updated to reflect higher customer expectations and improved operation</w:t>
      </w:r>
      <w:r>
        <w:t>al capability: in-store interactions must receive initial acknowledgment within 3 minutes; phone calls must be answered within 2 minutes maximum hold time; live chat must receive a first response within 90 seconds; email inquiries must be responded to within 2 business hours; and social media messages must be acknowledged within 1 business hour during operating hours. The communication framework is enhanced with a resolution confirmation step, creating a 7-stage process: Empathize (acknowledge emotion), Ack</w:t>
      </w:r>
      <w:r>
        <w:t>nowledge (confirm the issue), Clarify (gather details), Propose (offer solution), Confirm (agree on action), Verify Satisfaction (check the customer is genuinely content with the outcome), and Follow-up (where applicable, ensure promises are delivered). The addition of the Verify Satisfaction step addresses a common gap where employees assumed resolution when the customer remained dissatisfied but chose not to continue pressing the issue. AI-assisted real-time translation is now available for in-store and p</w:t>
      </w:r>
      <w:r>
        <w:t>hone interactions, supporting 12 languages. This technology enables employees to communicate effectively with customers who do not speak the local language, removing a significant barrier to inclusive service. The translation system is accessed via the store tablet or the employee's authorized headset. Quarterly mystery shopper evaluations now assess communication quality against the standards described above. Results are anonymized and aggregated into team performance reviews, with individual coaching prov</w:t>
      </w:r>
      <w:r>
        <w:t>ided where consistent gaps are identified. These evaluations assess not only what is said but how it is said, including tone, pace, clarity, and genuine engagement.</w:t>
      </w:r>
    </w:p>
    <w:p w14:paraId="02EB378F" w14:textId="77777777" w:rsidR="00AA08E5" w:rsidRDefault="00AA08E5"/>
    <w:p w14:paraId="38AF5AB6" w14:textId="77777777" w:rsidR="00AA08E5" w:rsidRDefault="00BA06D0">
      <w:pPr>
        <w:pStyle w:val="Heading1"/>
      </w:pPr>
      <w:r>
        <w:t>4. Documentation</w:t>
      </w:r>
    </w:p>
    <w:p w14:paraId="14379653" w14:textId="77777777" w:rsidR="00AA08E5" w:rsidRDefault="00BA06D0">
      <w:r>
        <w:t>Documentation practices reach full maturity this year with the deployment of a fully integrated CRM documentation platform that connects all customer interactions, transactions, incidents, and follow-up activities in a single unified system. This represents the culmination of the multi-year digital transformation journey that began with the introduction of basic digital forms and has evolved into a comprehensive real-time operational intelligence platform. All customer interactions are now logged in real-ti</w:t>
      </w:r>
      <w:r>
        <w:t>me within the unified CRM platform. Whether an interaction occurs in-store, by phone, via live chat, through email, or on social media, it is captured in the same system and linked to the relevant customer profile. This eliminates information silos, prevents contradictory communications, and ensures that any employee assisting a customer has immediate access to the full interaction history. Automated follow-up triggers are now built into the system: any unresolved complaint automatically generates follow-up</w:t>
      </w:r>
      <w:r>
        <w:t xml:space="preserve"> tasks at 24-hour, 72-hour, and 7-day intervals. These tasks are assigned to the responsible team or individual and escalated automatically if not addressed within the designated timeframe. This ensures that no customer issue falls through the cracks due to workload pressure or oversight. AI-assisted documentation is introduced to support employees in creating accurate, well-categorized records. When an employee begins inputting an incident or interaction note, the system suggests the appropriate category, </w:t>
      </w:r>
      <w:r>
        <w:t>severity level, and recommended next actions based on the text being entered. The employee retains full control and may override any suggestion, but the AI assistance significantly improves consistency and reduces the cognitive load of documentation during busy periods. Multiple documentation formats are now supported via the mobile app: employees may input notes via text typing, voice recording (automatically transcribed), or photo capture (with text annotation). This flexibility ensures that documentation</w:t>
      </w:r>
      <w:r>
        <w:t xml:space="preserve"> can be completed in any operational context, whether the employee is at a terminal, on the shop floor, or assisting a customer in a location without immediate computer access. All documentation entries are auto-linked to customer profiles, transaction records, previous interaction history, and related incidents. This cross-referencing enables sophisticated analysis and ensures that patterns are visible across individual interactions rather than buried in isolated reports. Weekly automated quality reports i</w:t>
      </w:r>
      <w:r>
        <w:t>dentify incomplete, inconsistent, or potentially inaccurate entries and flag them for manager review. This proactive quality assurance mechanism replaces the previous periodic manual audits with continuous monitoring that catches issues in real-time. Digital records are retained for 6 years with automated compliance checks ensuring that retention rules are respected, that records due for deletion are properly destroyed, and that records subject to legal holds are protected from routine purging. The document</w:t>
      </w:r>
      <w:r>
        <w:t>ation accuracy KPI target is 98 percent completeness rate per store per month, measured through automated system analysis of mandatory field completion and consistency checks.</w:t>
      </w:r>
    </w:p>
    <w:p w14:paraId="6A05A809" w14:textId="77777777" w:rsidR="00AA08E5" w:rsidRDefault="00AA08E5"/>
    <w:p w14:paraId="1DB0700B" w14:textId="77777777" w:rsidR="00AA08E5" w:rsidRDefault="00BA06D0">
      <w:pPr>
        <w:pStyle w:val="Heading1"/>
      </w:pPr>
      <w:r>
        <w:t>5. Data Protection &amp; Privacy</w:t>
      </w:r>
    </w:p>
    <w:p w14:paraId="75D2E84F" w14:textId="77777777" w:rsidR="00AA08E5" w:rsidRDefault="00BA06D0">
      <w:r>
        <w:t>Data protection and privacy standards reach their most advanced and comprehensive form this year with the full adoption of a privacy-by-design philosophy that embeds privacy considerations into every new process, tool, technology, and service from its inception rather than treating privacy as an afterthought or compliance overlay. Automated data retention limits are now implemented with intelligent categorization that applies different retention periods based on data type and purpose: transaction data is re</w:t>
      </w:r>
      <w:r>
        <w:t xml:space="preserve">tained for 6 years (aligned with financial audit requirements), customer interaction notes are retained for 3 years, marketing preference data is retained for 2 years unless refreshed by the customer, and temporary service data (such as queue positions or delivery tracking) is purged within 30 days of the interaction conclusion. ID verification is now required for all refund transactions exceeding 50 euro, the most stringent threshold in the policy's history. This reflects sophisticated fraud patterns that </w:t>
      </w:r>
      <w:r>
        <w:t>have increasingly targeted lower-value transactions and ensures that the verification safety net covers a significantly larger proportion of refund activity. The verification process is designed to be quick, respectful, and clearly explained as a protective measure for the customer themselves. Annual comprehensive privacy audits are now conducted by an external, independent auditor specializing in retail data protection. The audit covers data collection practices, storage security, access controls, retentio</w:t>
      </w:r>
      <w:r>
        <w:t>n compliance, consent management, employee training effectiveness, and incident response readiness. Results are published internally and material findings are reported to the board with mandatory remediation timelines. A customer data dashboard is now available through the self-service portal, allowing customers to view all data the organization holds about them, export their data in a portable format, update their preferences and consent settings, and submit deletion requests. This transparency tool empowe</w:t>
      </w:r>
      <w:r>
        <w:t xml:space="preserve">rs customers with direct control over their data relationship with the organization and exceeds minimum regulatory requirements. A zero-trust access model is now in effect: every data access request is verified in real-time regardless of the employee's role, seniority, or previous access history. The system evaluates each access attempt against the employee's current role permissions, the business context of the request, and behavioral pattern analysis. Anomalous access patterns trigger immediate alerts to </w:t>
      </w:r>
      <w:r>
        <w:t xml:space="preserve">the security team. Automated breach detection systems monitor data flows continuously. In the event of a confirmed or suspected data breach, an automated 24-hour notification protocol is triggered to inform all potentially affected customers, providing them with clear information about what data may have been compromised, what the organization is doing in response, and what steps the customer should take to protect themselves. Data protection certification is required annually for all employees, consisting </w:t>
      </w:r>
      <w:r>
        <w:t>of an online training module followed by a formal assessment. Employees who do not complete certification by the annual deadline have their system access automatically revoked until certification is achieved. Non-compliance with data protection protocols at any level results in immediate access revocation pending formal review, and serious or deliberate violations may result in dismissal.</w:t>
      </w:r>
    </w:p>
    <w:p w14:paraId="5A39BBE3" w14:textId="77777777" w:rsidR="00AA08E5" w:rsidRDefault="00AA08E5"/>
    <w:sectPr w:rsidR="00AA08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204549">
    <w:abstractNumId w:val="8"/>
  </w:num>
  <w:num w:numId="2" w16cid:durableId="88815303">
    <w:abstractNumId w:val="6"/>
  </w:num>
  <w:num w:numId="3" w16cid:durableId="1240140706">
    <w:abstractNumId w:val="5"/>
  </w:num>
  <w:num w:numId="4" w16cid:durableId="892623941">
    <w:abstractNumId w:val="4"/>
  </w:num>
  <w:num w:numId="5" w16cid:durableId="1391611451">
    <w:abstractNumId w:val="7"/>
  </w:num>
  <w:num w:numId="6" w16cid:durableId="1933081528">
    <w:abstractNumId w:val="3"/>
  </w:num>
  <w:num w:numId="7" w16cid:durableId="1842620982">
    <w:abstractNumId w:val="2"/>
  </w:num>
  <w:num w:numId="8" w16cid:durableId="575944465">
    <w:abstractNumId w:val="1"/>
  </w:num>
  <w:num w:numId="9" w16cid:durableId="46609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08E5"/>
    <w:rsid w:val="00AA1D8D"/>
    <w:rsid w:val="00B47730"/>
    <w:rsid w:val="00BA06D0"/>
    <w:rsid w:val="00CB0664"/>
    <w:rsid w:val="00DE3DDA"/>
    <w:rsid w:val="00FC693F"/>
    <w:rsid w:val="43128C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1E1152-FA25-431B-BA75-21D8A729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6F5D2DA74FC4B82907BEE0472EE32" ma:contentTypeVersion="17" ma:contentTypeDescription="Create a new document." ma:contentTypeScope="" ma:versionID="39f3fb30a1a4f444379f192aa23a978d">
  <xsd:schema xmlns:xsd="http://www.w3.org/2001/XMLSchema" xmlns:xs="http://www.w3.org/2001/XMLSchema" xmlns:p="http://schemas.microsoft.com/office/2006/metadata/properties" xmlns:ns2="1235bcee-5df9-45d6-993b-86064303bbc5" xmlns:ns3="b9c8a492-a777-4c61-a65f-85ecc5b5ecae" targetNamespace="http://schemas.microsoft.com/office/2006/metadata/properties" ma:root="true" ma:fieldsID="45c0b2d7c91b58f15202a9ac8183015a" ns2:_="" ns3:_="">
    <xsd:import namespace="1235bcee-5df9-45d6-993b-86064303bbc5"/>
    <xsd:import namespace="b9c8a492-a777-4c61-a65f-85ecc5b5ec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element ref="ns2:Document_x0020_URL" minOccurs="0"/>
                <xsd:element ref="ns2:URL" minOccurs="0"/>
                <xsd:element ref="ns2:YRL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5bcee-5df9-45d6-993b-86064303b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Document_x0020_URL" ma:index="22" nillable="true" ma:displayName="Document URL" ma:format="Hyperlink" ma:internalName="Document_x0020_URL">
      <xsd:complexType>
        <xsd:complexContent>
          <xsd:extension base="dms:URL">
            <xsd:sequence>
              <xsd:element name="Url" type="dms:ValidUrl" minOccurs="0" nillable="true"/>
              <xsd:element name="Description" type="xsd:string" nillable="true"/>
            </xsd:sequence>
          </xsd:extension>
        </xsd:complexContent>
      </xsd:complexType>
    </xsd:element>
    <xsd:element name="URL" ma:index="23" nillable="true" ma:displayName="URL" ma:format="Dropdown" ma:internalName="URL">
      <xsd:simpleType>
        <xsd:restriction base="dms:Note">
          <xsd:maxLength value="255"/>
        </xsd:restriction>
      </xsd:simpleType>
    </xsd:element>
    <xsd:element name="YRLLink" ma:index="24" nillable="true" ma:displayName="YRL Link" ma:description="https://pwceur.sharepoint.com/:w:/r/teams/GR-INT-CNST-Analytics-AI-Hub/Shared%20Documents/Business-Development-Ideas/PoC%20%26%20Mockups/PoCs/HR%20bot/sample%20documents/Legal/Legal_Policies.docx?d=w13fb320c91cc464d83f1ff4d56414ef1&amp;csf=1&amp;web=1&amp;e=AegiIg" ma:format="Hyperlink" ma:internalName="YRL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c8a492-a777-4c61-a65f-85ecc5b5ec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ea2556-3853-4ab0-ab8c-36cb72558dfc}" ma:internalName="TaxCatchAll" ma:showField="CatchAllData" ma:web="b9c8a492-a777-4c61-a65f-85ecc5b5e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_x0020_URL xmlns="1235bcee-5df9-45d6-993b-86064303bbc5">
      <Url xsi:nil="true"/>
      <Description xsi:nil="true"/>
    </Document_x0020_URL>
    <URL xmlns="1235bcee-5df9-45d6-993b-86064303bbc5" xsi:nil="true"/>
    <lcf76f155ced4ddcb4097134ff3c332f xmlns="1235bcee-5df9-45d6-993b-86064303bbc5">
      <Terms xmlns="http://schemas.microsoft.com/office/infopath/2007/PartnerControls"/>
    </lcf76f155ced4ddcb4097134ff3c332f>
    <YRLLink xmlns="1235bcee-5df9-45d6-993b-86064303bbc5">
      <Url xsi:nil="true"/>
      <Description xsi:nil="true"/>
    </YRLLink>
    <TaxCatchAll xmlns="b9c8a492-a777-4c61-a65f-85ecc5b5ec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A6C41F-A770-40F1-97E0-E1C968C00F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5bcee-5df9-45d6-993b-86064303bbc5"/>
    <ds:schemaRef ds:uri="b9c8a492-a777-4c61-a65f-85ecc5b5e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6DFE993-56E6-4939-8698-2B26D1755C39}">
  <ds:schemaRefs>
    <ds:schemaRef ds:uri="http://schemas.microsoft.com/office/2006/metadata/properties"/>
    <ds:schemaRef ds:uri="http://schemas.microsoft.com/office/infopath/2007/PartnerControls"/>
    <ds:schemaRef ds:uri="1235bcee-5df9-45d6-993b-86064303bbc5"/>
    <ds:schemaRef ds:uri="b9c8a492-a777-4c61-a65f-85ecc5b5ecae"/>
  </ds:schemaRefs>
</ds:datastoreItem>
</file>

<file path=customXml/itemProps4.xml><?xml version="1.0" encoding="utf-8"?>
<ds:datastoreItem xmlns:ds="http://schemas.openxmlformats.org/officeDocument/2006/customXml" ds:itemID="{AF1E9D5F-3845-4F64-BB72-5B4B25DCB4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2416</Words>
  <Characters>13776</Characters>
  <Application>Microsoft Office Word</Application>
  <DocSecurity>0</DocSecurity>
  <Lines>114</Lines>
  <Paragraphs>32</Paragraphs>
  <ScaleCrop>false</ScaleCrop>
  <Manager/>
  <Company/>
  <LinksUpToDate>false</LinksUpToDate>
  <CharactersWithSpaces>16160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Giorgos Zachariadis (GR)</cp:lastModifiedBy>
  <cp:revision>2</cp:revision>
  <dcterms:created xsi:type="dcterms:W3CDTF">2026-05-19T15:36:00Z</dcterms:created>
  <dcterms:modified xsi:type="dcterms:W3CDTF">2026-05-19T15:36:00Z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0x010100C5E6F5D2DA74FC4B82907BEE0472EE32</vt:lpwstr>
  </property>
  <property fmtid="{D5CDD505-2E9C-101B-9397-08002B2CF9AE}" pid="3" name="docLang">
    <vt:lpwstr>en</vt:lpwstr>
  </property>
  <property fmtid="{D5CDD505-2E9C-101B-9397-08002B2CF9AE}" pid="4" name="MediaServiceImageTags">
    <vt:lpwstr/>
  </property>
  <property fmtid="{D5CDD505-2E9C-101B-9397-08002B2CF9AE}" pid="5" name="MSIP_Label_2e1840fb-8939-4796-95d0-bc833736564d_Enabled">
    <vt:lpwstr>true</vt:lpwstr>
  </property>
  <property fmtid="{D5CDD505-2E9C-101B-9397-08002B2CF9AE}" pid="6" name="MSIP_Label_2e1840fb-8939-4796-95d0-bc833736564d_SetDate">
    <vt:lpwstr>2026-05-19T15:36:10Z</vt:lpwstr>
  </property>
  <property fmtid="{D5CDD505-2E9C-101B-9397-08002B2CF9AE}" pid="7" name="MSIP_Label_2e1840fb-8939-4796-95d0-bc833736564d_Method">
    <vt:lpwstr>Standard</vt:lpwstr>
  </property>
  <property fmtid="{D5CDD505-2E9C-101B-9397-08002B2CF9AE}" pid="8" name="MSIP_Label_2e1840fb-8939-4796-95d0-bc833736564d_Name">
    <vt:lpwstr>Confidential - Open Access</vt:lpwstr>
  </property>
  <property fmtid="{D5CDD505-2E9C-101B-9397-08002B2CF9AE}" pid="9" name="MSIP_Label_2e1840fb-8939-4796-95d0-bc833736564d_SiteId">
    <vt:lpwstr>513294a0-3e20-41b2-a970-6d30bf1546fa</vt:lpwstr>
  </property>
  <property fmtid="{D5CDD505-2E9C-101B-9397-08002B2CF9AE}" pid="10" name="MSIP_Label_2e1840fb-8939-4796-95d0-bc833736564d_ActionId">
    <vt:lpwstr>140d93ae-187e-4972-9b8b-f9b08379cb05</vt:lpwstr>
  </property>
  <property fmtid="{D5CDD505-2E9C-101B-9397-08002B2CF9AE}" pid="11" name="MSIP_Label_2e1840fb-8939-4796-95d0-bc833736564d_ContentBits">
    <vt:lpwstr>0</vt:lpwstr>
  </property>
  <property fmtid="{D5CDD505-2E9C-101B-9397-08002B2CF9AE}" pid="12" name="MSIP_Label_2e1840fb-8939-4796-95d0-bc833736564d_Tag">
    <vt:lpwstr>10, 3, 0, 2</vt:lpwstr>
  </property>
</Properties>
</file>