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coated elliptic holes in uniform heat flow have been analysed by complex-variable methods [48] and dual-phase-lag boundary-element formulations for anisotropic media have been developed [49].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dual-phase-lag formulations [13], and later classifications of generalized heat-conduction and thermoelastic-coupling models [14,23].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The device context and the growth of bulk single crystals of the material are reviewed in [50,51].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spacing w:after="120"/>
        <w:jc w:val="both"/>
      </w:pPr>
      <w:r>
        <w:t>The class is the kinematic plane strain: the fields are independent of x_2 and u_2 = 0. For a monoclinic crystal with the unique axis normal to the plane the out-of-plane shear stresses σ₁₂ and σ₂₃ vanish identically for every in-plane strain, so no relaxation step is needed to make the constraint admissible and σ₂₂ enters as a reaction, not as a boundary condition. The distinction is stated because the alternative convention — generalised plane strain, σ₂₂ = 0 — is not equivalent here: it would change the plane-strain block Q by 13.7% and the thermal-stress vector β by 37.2% at the parameters of Table 4, so the class is stated explicitly and the solver is built on the constraint, not on the stress.</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[10]).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the two-relaxation-time kernel of Section 2.5 is positive-real for the same reason but is not derived from a free energy, which is why it is carried as an exploratory variant only. Theories with two relaxation times [24,25,26] and the reviews of hyperbolic and generalized conduction [14,23,27,28,31,32]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[45,46,47]).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[15]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carried by a superseded version of this analysis, which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[33,35,36,37], the two-relaxation-time form is the two-term version of the multi-phase-lag kernels [34], and general presentations of the theories are given in [27,29,30].</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w:t>
      </w:r>
      <w:r>
        <w:rPr>
          <w:vertAlign w:val="superscript"/>
        </w:rPr>
        <w:t>2</w:t>
      </w:r>
      <w:r>
        <w:t>/(ρc</w:t>
      </w:r>
      <w:r>
        <w:rPr>
          <w:vertAlign w:val="subscript"/>
        </w:rPr>
        <w:t>p</w:t>
      </w:r>
      <w:r>
        <w:t>C̄) = 1.078×10</w:t>
      </w:r>
      <w:r>
        <w:rPr>
          <w:vertAlign w:val="superscript"/>
        </w:rPr>
        <w:t>−3</w:t>
      </w:r>
      <w:r>
        <w:t>, where C̄ = C</w:t>
      </w:r>
      <w:r>
        <w:rPr>
          <w:vertAlign w:val="subscript"/>
        </w:rPr>
        <w:t>33</w:t>
      </w:r>
      <w:r>
        <w:t xml:space="preserve"> is the stiffness scale of the plane-strain block and the norm in 33 is formed from the in-plane triple (β₁₁, β₃₃, β₁₃) with the shear slot weighted by 2, the same triple that enters the thermal-stress scale γ_T of Section 3; the full tensor contraction β:β would give 1.717×10</w:t>
      </w:r>
      <w:r>
        <w:rPr>
          <w:vertAlign w:val="superscript"/>
        </w:rPr>
        <w:t>−3</w:t>
      </w:r>
      <w:r>
        <w:t>, a factor 1.59 larger, because it also counts the out-of-plane component β₂₂ that the plane-strain class never uses. The triple norm is the in-plane part of the tensor contraction and is therefore invariant under in-plane rotation of the crystal (relative spread 2e-15 over the 360-orientation lattice), so δ is a material constant of this model and not a directional statistic; it is still only an order-of-magnitude criterion for Section 3.4, and the convention is stated for that reason.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9347" cy="326441"/>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9347" cy="326441"/>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fixed in the design note before the production runs</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[38] and are reviewed in [39]):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whose mean wall temperature is t</w:t>
      </w:r>
      <w:r>
        <w:rPr>
          <w:vertAlign w:val="subscript"/>
        </w:rPr>
        <w:t>w</w:t>
      </w:r>
      <w:r>
        <w:t>√π/T = 0.106 of the peak for the parameters above; that mean drives a steady temperature profile out to the outer boundary and adds a static clamped-boundary stress, so the answer is not the single-pulse response this study asks about.</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the imposed wall temperature is then not a single pulse but a train with a nonzero mean of t</w:t>
      </w:r>
      <w:r>
        <w:rPr>
          <w:vertAlign w:val="subscript"/>
        </w:rPr>
        <w:t>w</w:t>
      </w:r>
      <w:r>
        <w:t>√π/T = 0.106 of its peak, a steady temperature profile reaches the outer boundary, and the clamped boundary adds a static stress. The question posed in Section 1 is the response to one isolated pulse, which is why the inversion of Eq. (74) is used instead of a windowed Fourier synthesis of the sampled history.</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[40,41,42,43,44]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 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detection criterion for the modulation, fixed before the production runs, is A</w:t>
      </w:r>
      <w:r>
        <w:rPr>
          <w:vertAlign w:val="subscript"/>
        </w:rPr>
        <w:t>φ</w:t>
      </w:r>
      <w:r>
        <w:t xml:space="preserve"> &gt; max(5u</w:t>
      </w:r>
      <w:r>
        <w:rPr>
          <w:vertAlign w:val="subscript"/>
        </w:rPr>
        <w:t>num</w:t>
      </w:r>
      <w:r>
        <w:t>, 2%). Following the extrapolation of Eq. (82) goes back to Richardson and Gaunt [52], and in the standard terminology of the verification literature [53,54],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assistance of generative-AI coding tools; this is the research-process use referred to in the declaration before the references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[53]: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detection threshold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a superseded version of the analysis (periodic-pulse synthesis, rotation-tensor sign error, coarser wall mesh) compared with this work, kept to show what the recomputation changed.</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coarser set retained from the earlier design,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[18]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criterion 5δ = 5.39e-03, which the measurement satisfies by a factor 8.7;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hypothesis of collapse in Λ, fixed before the runs,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a superseded preliminary version of the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 and re-checks.</w:t>
      </w:r>
      <w:r>
        <w:t xml:space="preserve"> The two archived manifests date from 2026-10-01; since they were taken, 7 of the 15 entries of `CODE_FREEZE_v2_gate.json` (cg_bromwich.py, cg_pipeline.py, run_tests.py, analyze_v2.py, make_figures.py, production_matrix.py and run_production_v2.py)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audited),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`CODE_FREEZE_submission_2026_10_03b.json` (27 files, taken before this verification pass) and `CODE_FREEZE_submission_2026_10_03c.json` (6beb28158e7f671a,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 generative-AI assistant (Arena.ai Agent Mode; the underlying models are provided by the service) for the writing process: drafting and revising the text and the figure captions, and checking the internal consistency of the manuscript, the calculation companion and the tables. After using this tool the author(s) reviewed and edited the content as needed and take(s) full responsibility for the content of the publication. The same class of tool was also used in the research process — reviewing and extending the numerical code and the verification suite, and running the simulations — which the journal policy places in the methods rather than in this declaration; the numerical-methods section of the manuscript records that use. No AI tool generated a physical result, no AI tool was used to produce or select any number reported here, and no AI tool is an author or is cited as a source.</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spacing w:after="40"/>
        <w:ind w:left="432" w:hanging="432"/>
      </w:pPr>
      <w:r>
        <w:rPr>
          <w:sz w:val="19"/>
        </w:rPr>
        <w:t>[24] Green, A.E., Lindsay, K.A. Thermoelasticity. Journal of Elasticity, 2(1), 1-7 (1972). https://doi.org/10.1007/BF00045689</w:t>
      </w:r>
    </w:p>
    <w:p>
      <w:pPr>
        <w:spacing w:after="40"/>
        <w:ind w:left="432" w:hanging="432"/>
      </w:pPr>
      <w:r>
        <w:rPr>
          <w:sz w:val="19"/>
        </w:rPr>
        <w:t>[25] Green, A.E., Naghdi, P.M. Thermoelasticity without energy dissipation. Journal of Elasticity, 31(3), 189-208 (1993). https://doi.org/10.1007/BF00044969</w:t>
      </w:r>
    </w:p>
    <w:p>
      <w:pPr>
        <w:spacing w:after="40"/>
        <w:ind w:left="432" w:hanging="432"/>
      </w:pPr>
      <w:r>
        <w:rPr>
          <w:sz w:val="19"/>
        </w:rPr>
        <w:t>[26] Hetnarski, R.B., Ignaczak, J. GENERALIZED THERMOELASTICITY: CLOSED-FORM SOLUTIONS. Journal of Thermal Stresses, 16(4), 473-498 (1993). https://doi.org/10.1080/01495739308946241</w:t>
      </w:r>
    </w:p>
    <w:p>
      <w:pPr>
        <w:spacing w:after="40"/>
        <w:ind w:left="432" w:hanging="432"/>
      </w:pPr>
      <w:r>
        <w:rPr>
          <w:sz w:val="19"/>
        </w:rPr>
        <w:t>[27] Ignaczak, J., Ostoja-Starzewski, M. Thermoelasticity with Finite Wave Speeds. Oxford University Press (2009). https://doi.org/10.1093/acprof:oso/9780199541645.001.0001</w:t>
      </w:r>
    </w:p>
    <w:p>
      <w:pPr>
        <w:spacing w:after="40"/>
        <w:ind w:left="432" w:hanging="432"/>
      </w:pPr>
      <w:r>
        <w:rPr>
          <w:sz w:val="19"/>
        </w:rPr>
        <w:t>[28] Straughan, B. Heat Waves. Springer, Applied Mathematical Sciences (2011). https://doi.org/10.1007/978-1-4614-0493-4</w:t>
      </w:r>
    </w:p>
    <w:p>
      <w:pPr>
        <w:spacing w:after="40"/>
        <w:ind w:left="432" w:hanging="432"/>
      </w:pPr>
      <w:r>
        <w:rPr>
          <w:sz w:val="19"/>
        </w:rPr>
        <w:t>[29] Hetnarski, R.B., Eslami, M.R. Thermal Stresses—Advanced Theory and Applications. Springer, Solid Mechanics and Its Applications (2019). https://doi.org/10.1007/978-3-030-10436-8</w:t>
      </w:r>
    </w:p>
    <w:p>
      <w:pPr>
        <w:spacing w:after="40"/>
        <w:ind w:left="432" w:hanging="432"/>
      </w:pPr>
      <w:r>
        <w:rPr>
          <w:sz w:val="19"/>
        </w:rPr>
        <w:t>[30] Eslami, M.R., Hetnarski, R.B., Ignaczak, J., Noda, N., Sumi, N., Tanigawa, Y. Theory of Elasticity and Thermal Stresses. Springer, Solid Mechanics and Its Applications (2013). https://doi.org/10.1007/978-94-007-6356-2</w:t>
      </w:r>
    </w:p>
    <w:p>
      <w:pPr>
        <w:spacing w:after="40"/>
        <w:ind w:left="432" w:hanging="432"/>
      </w:pPr>
      <w:r>
        <w:rPr>
          <w:sz w:val="19"/>
        </w:rPr>
        <w:t>[31] Chandrasekharaiah, D.S. Thermoelasticity with Second Sound: A Review. Applied Mechanics Reviews, 39(3), 355-376 (1986). https://doi.org/10.1115/1.3143705</w:t>
      </w:r>
    </w:p>
    <w:p>
      <w:pPr>
        <w:spacing w:after="40"/>
        <w:ind w:left="432" w:hanging="432"/>
      </w:pPr>
      <w:r>
        <w:rPr>
          <w:sz w:val="19"/>
        </w:rPr>
        <w:t>[32] Joseph, D.D., Preziosi, L. Heat waves. Reviews of Modern Physics, 61(1), 41-73 (1989). https://doi.org/10.1103/RevModPhys.61.41</w:t>
      </w:r>
    </w:p>
    <w:p>
      <w:pPr>
        <w:spacing w:after="40"/>
        <w:ind w:left="432" w:hanging="432"/>
      </w:pPr>
      <w:r>
        <w:rPr>
          <w:sz w:val="19"/>
        </w:rPr>
        <w:t>[33] Kaminski, W. Hyperbolic Heat Conduction Equation for Materials With a Nonhomogeneous Inner Structure. Journal of Heat Transfer, 112(3), 555-560 (1990). https://doi.org/10.1115/1.2910422</w:t>
      </w:r>
    </w:p>
    <w:p>
      <w:pPr>
        <w:spacing w:after="40"/>
        <w:ind w:left="432" w:hanging="432"/>
      </w:pPr>
      <w:r>
        <w:rPr>
          <w:sz w:val="19"/>
        </w:rPr>
        <w:t>[34] Roy Choudhuri, S.K. On A Thermoelastic Three-Phase-Lag Model. Journal of Thermal Stresses, 30(3), 231-238 (2007). https://doi.org/10.1080/01495730601130919</w:t>
      </w:r>
    </w:p>
    <w:p>
      <w:pPr>
        <w:spacing w:after="40"/>
        <w:ind w:left="432" w:hanging="432"/>
      </w:pPr>
      <w:r>
        <w:rPr>
          <w:sz w:val="19"/>
        </w:rPr>
        <w:t>[35] Chen, G. Ballistic-Diffusive Heat-Conduction Equations. Physical Review Letters, 86(11), 2297-2300 (2001). https://doi.org/10.1103/PhysRevLett.86.2297</w:t>
      </w:r>
    </w:p>
    <w:p>
      <w:pPr>
        <w:spacing w:after="40"/>
        <w:ind w:left="432" w:hanging="432"/>
      </w:pPr>
      <w:r>
        <w:rPr>
          <w:sz w:val="19"/>
        </w:rPr>
        <w:t>[36] Majumdar, A. Microscale Heat Conduction in Dielectric Thin Films. Journal of Heat Transfer, 115(1), 7-16 (1993). https://doi.org/10.1115/1.2910673</w:t>
      </w:r>
    </w:p>
    <w:p>
      <w:pPr>
        <w:spacing w:after="40"/>
        <w:ind w:left="432" w:hanging="432"/>
      </w:pPr>
      <w:r>
        <w:rPr>
          <w:sz w:val="19"/>
        </w:rPr>
        <w:t>[37] Tzou, D.Y. Macro- to Microscale Heat Transfer. Wiley (2014). https://doi.org/10.1002/9781118818275</w:t>
      </w:r>
    </w:p>
    <w:p>
      <w:pPr>
        <w:spacing w:after="40"/>
        <w:ind w:left="432" w:hanging="432"/>
      </w:pPr>
      <w:r>
        <w:rPr>
          <w:sz w:val="19"/>
        </w:rPr>
        <w:t>[38] Prevost, J.H., Tao, D. Finite Element Analysis of Dynamic Coupled Thermoelasticity Problems With Relaxation Times. Journal of Applied Mechanics, 50(4), 817-822 (1983). https://doi.org/10.1115/1.3167151</w:t>
      </w:r>
    </w:p>
    <w:p>
      <w:pPr>
        <w:spacing w:after="40"/>
        <w:ind w:left="432" w:hanging="432"/>
      </w:pPr>
      <w:r>
        <w:rPr>
          <w:sz w:val="19"/>
        </w:rPr>
        <w:t>[39]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[40] Davies, B., Martin, B. Numerical inversion of the laplace transform: a survey and comparison of methods. Journal of Computational Physics, 33(1), 1-32 (1979). https://doi.org/10.1016/0021-9991(79)90025-1</w:t>
      </w:r>
    </w:p>
    <w:p>
      <w:pPr>
        <w:spacing w:after="40"/>
        <w:ind w:left="432" w:hanging="432"/>
      </w:pPr>
      <w:r>
        <w:rPr>
          <w:sz w:val="19"/>
        </w:rPr>
        <w:t>[41] Weeks, W.T. Numerical Inversion of Laplace Transforms Using Laguerre Functions. Journal of the ACM, 13(3), 419-429 (1966). https://doi.org/10.1145/321341.321351</w:t>
      </w:r>
    </w:p>
    <w:p>
      <w:pPr>
        <w:spacing w:after="40"/>
        <w:ind w:left="432" w:hanging="432"/>
      </w:pPr>
      <w:r>
        <w:rPr>
          <w:sz w:val="19"/>
        </w:rPr>
        <w:t>[42] Talbot, A. The Accurate Numerical Inversion of Laplace Transforms. IMA Journal of Applied Mathematics, 23(1), 97-120 (1979). https://doi.org/10.1093/imamat/23.1.97</w:t>
      </w:r>
    </w:p>
    <w:p>
      <w:pPr>
        <w:spacing w:after="40"/>
        <w:ind w:left="432" w:hanging="432"/>
      </w:pPr>
      <w:r>
        <w:rPr>
          <w:sz w:val="19"/>
        </w:rPr>
        <w:t>[43] Abate, J., Whitt, W. A Unified Framework for Numerically Inverting Laplace Transforms. INFORMS Journal on Computing, 18(4), 408-421 (2006). https://doi.org/10.1287/ijoc.1050.0137</w:t>
      </w:r>
    </w:p>
    <w:p>
      <w:pPr>
        <w:spacing w:after="40"/>
        <w:ind w:left="432" w:hanging="432"/>
      </w:pPr>
      <w:r>
        <w:rPr>
          <w:sz w:val="19"/>
        </w:rPr>
        <w:t>[44]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[45] Ting, T.T.C. Anisotropic Elasticity. Oxford University Press (1996). https://doi.org/10.1093/oso/9780195074475.001.0001</w:t>
      </w:r>
    </w:p>
    <w:p>
      <w:pPr>
        <w:spacing w:after="40"/>
        <w:ind w:left="432" w:hanging="432"/>
      </w:pPr>
      <w:r>
        <w:rPr>
          <w:sz w:val="19"/>
        </w:rPr>
        <w:t>[46] Hwu, C. Anisotropic Elastic Plates. Springer (2010). https://doi.org/10.1007/978-1-4419-5915-7</w:t>
      </w:r>
    </w:p>
    <w:p>
      <w:pPr>
        <w:spacing w:after="40"/>
        <w:ind w:left="432" w:hanging="432"/>
      </w:pPr>
      <w:r>
        <w:rPr>
          <w:sz w:val="19"/>
        </w:rPr>
        <w:t>[47] Stroh, A.N. Dislocations and Cracks in Anisotropic Elasticity. Philosophical Magazine, 3(30), 625-646 (1958). https://doi.org/10.1080/14786435808565804</w:t>
      </w:r>
    </w:p>
    <w:p>
      <w:pPr>
        <w:spacing w:after="40"/>
        <w:ind w:left="432" w:hanging="432"/>
      </w:pPr>
      <w:r>
        <w:rPr>
          <w:sz w:val="19"/>
        </w:rPr>
        <w:t>[48]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[49]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[50] Pearton, S.J., Yang, J., Cary, P.H., Ren, F., Kim, J., Tadjer, M.J., et al. A review of Ga2O3 materials, processing, and devices. Applied Physics Reviews, 5(1), 011301 (2018). https://doi.org/10.1063/1.5006941</w:t>
      </w:r>
    </w:p>
    <w:p>
      <w:pPr>
        <w:spacing w:after="40"/>
        <w:ind w:left="432" w:hanging="432"/>
      </w:pPr>
      <w:r>
        <w:rPr>
          <w:sz w:val="19"/>
        </w:rPr>
        <w:t>[51] Galazka, Z. Growth of bulk β-Ga2O3 single crystals by the Czochralski method. Journal of Applied Physics, 131(3), 031103 (2022). https://doi.org/10.1063/5.0076962</w:t>
      </w:r>
    </w:p>
    <w:p>
      <w:pPr>
        <w:spacing w:after="40"/>
        <w:ind w:left="432" w:hanging="432"/>
      </w:pPr>
      <w:r>
        <w:rPr>
          <w:sz w:val="19"/>
        </w:rPr>
        <w:t>[52] Richardson, L.F., Gaunt, J.A. VIII. The deferred approach to the limit. Philosophical Transactions of the Royal Society of London Series A, 226, 299-361 (1927). https://doi.org/10.1098/rsta.1927.0008</w:t>
      </w:r>
    </w:p>
    <w:p>
      <w:pPr>
        <w:spacing w:after="40"/>
        <w:ind w:left="432" w:hanging="432"/>
      </w:pPr>
      <w:r>
        <w:rPr>
          <w:sz w:val="19"/>
        </w:rPr>
        <w:t>[53] Oberkampf, W.L., Roy, C.J. Verification and Validation in Scientific Computing. Cambridge University Press (2010). https://doi.org/10.1017/CBO9780511760396</w:t>
      </w:r>
    </w:p>
    <w:p>
      <w:pPr>
        <w:spacing w:after="40"/>
        <w:ind w:left="432" w:hanging="432"/>
      </w:pPr>
      <w:r>
        <w:rPr>
          <w:sz w:val="19"/>
        </w:rPr>
        <w:t>[54] Pelletier, D., Roache, P.J. Verification and Validation of Computational Heat Transfer. In Handbook of Numerical Heat Transfer, 417-442 (2000). https://doi.org/10.1002/9780470172599.ch13</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