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[Authors, affiliations and corresponding author: to be completed by the authors]</w:t>
      </w:r>
    </w:p>
    <w:p>
      <w:pPr>
        <w:pStyle w:val="Heading1"/>
      </w:pPr>
      <w:r>
        <w:t>Abstract</w:t>
      </w:r>
    </w:p>
    <w:p>
      <w:pPr>
        <w:spacing w:after="120"/>
        <w:jc w:val="both"/>
      </w:pPr>
      <w:r>
        <w:t>Thermal stresses around cavities in low-symmetry crystals depend on how crystal orientation, cavity shape and heat-conduction law interact, but transient studies treat isotropic or highly symmetric media. We study monoclinic β-Ga₂O₃ with a circular and an equal-area elliptical cavity (axis ratio 2) under a Gaussian wall-temperature pulse in plane strain, with Fourier and Lord–Shulman conduction. The single-pulse response is obtained from a frequency-domain finite-difference solver by Bromwich inversion on a shifted contour and verified against exact and independent solutions (peak error 0.08% at the finest grid, second order); a periodic synthesis would return a pulse-train steady state instead. The peak wall stress of the circle is orientation-invariant to round-off and equals 0.854 MPa/K. The ellipse converts crystal orientation into a peak-stress modulation of 29% (numerical uncertainty 1.3 percentage points), resulting from competing expansion and stiffness anisotropy. Thermal memory (relaxation time up to 20 ps) changes the circular-cavity wall-stress history by at most 6.4% (1.6% for cavities of 10 nm and larger) and the peak by at most 1.4%; the size dependence is a quasi-static collapse in the memory number plus an elastic-inertia correction of order ε². Thermoelastic feedback stays below the bound 5δ. Results are properties of a verified continuum model: relaxation times are hypothetical, the expansion data are uncertain by more than an order of magnitude, continuum validity at 5–50 nm is not established, and there is no experimental validation.</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 in beta-Ga2O3</w:t>
      </w:r>
    </w:p>
    <w:p>
      <w:pPr>
        <w:pStyle w:val="ListBullet"/>
        <w:spacing w:after="40"/>
      </w:pPr>
      <w:r>
        <w:t>Ellipse converts crystal orientation into a 29% peak-stress modulation</w:t>
      </w:r>
    </w:p>
    <w:p>
      <w:pPr>
        <w:pStyle w:val="ListBullet"/>
        <w:spacing w:after="40"/>
      </w:pPr>
      <w:r>
        <w:t>Thermal memory shifts the peak wall stress by under 1.4% for tau up to 20 ps</w:t>
      </w:r>
    </w:p>
    <w:p>
      <w:pPr>
        <w:pStyle w:val="ListBullet"/>
        <w:spacing w:after="40"/>
      </w:pPr>
      <w:r>
        <w:t>Verified continuum study: no validation; stress scale uncertain via expansion</w:t>
      </w:r>
    </w:p>
    <w:p>
      <w:pPr>
        <w:pStyle w:val="Heading1"/>
      </w:pPr>
      <w:r>
        <w:t>1. Introduction</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and related models are discussed in [13] and reviewed in [14].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Whether this interaction is large enough to matter, and which observable is sensitive to it, is the question addressed here.</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with Fourier, Cattaneo–Vernotte (Lord–Shulman) and a two-relaxation-time conduction law.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6).</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model, Section 3 the method, Section 4 the verification, Section 5 the results, Section 6 the discussion and limitations.</w:t>
      </w:r>
    </w:p>
    <w:p>
      <w:pPr>
        <w:pStyle w:val="Heading1"/>
      </w:pPr>
      <w:r>
        <w:t>2. Model and parameters</w:t>
      </w:r>
    </w:p>
    <w:p>
      <w:pPr>
        <w:pStyle w:val="Heading2"/>
      </w:pPr>
      <w:r>
        <w:t>2.1 Governing equations</w:t>
      </w:r>
    </w:p>
    <w:p>
      <w:pPr>
        <w:spacing w:after="120"/>
        <w:jc w:val="both"/>
      </w:pPr>
      <w:r>
        <w:t>Linear, small-strain thermoelasticity in plane strain is considered in the a–c plane of a monoclinic crystal (unique axis b normal to the plane).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ε = (ε</w:t>
      </w:r>
      <w:r>
        <w:rPr>
          <w:vertAlign w:val="subscript"/>
        </w:rPr>
        <w:t>11</w:t>
      </w:r>
      <w:r>
        <w:t>, ε</w:t>
      </w:r>
      <w:r>
        <w:rPr>
          <w:vertAlign w:val="subscript"/>
        </w:rPr>
        <w:t>33</w:t>
      </w:r>
      <w:r>
        <w:t>, γ</w:t>
      </w:r>
      <w:r>
        <w:rPr>
          <w:vertAlign w:val="subscript"/>
        </w:rPr>
        <w:t>13</w:t>
      </w:r>
      <w:r>
        <w:t>), the constitutive law is σ = Qε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33851" cy="266852"/>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33851" cy="266852"/>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β:ε) with g = 1 for Fourier conduction and g = 1/(1 + sτ) for the relaxation-time law. A two-relaxation-time kernel g = ½/(1 + ½sτ) + ½/(1 + 2sτ) is used as an exploratory sensitivity kernel (it is positive real, hence passive, but is not derived from a free energy). The medium is quiescent before the pulse; the cavity wall has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t</w:t>
      </w:r>
      <w:r>
        <w:rPr>
          <w:vertAlign w:val="subscript"/>
        </w:rPr>
        <w:t>w</w:t>
      </w:r>
      <w:r>
        <w:t xml:space="preserve"> = 1.2 t</w:t>
      </w:r>
      <w:r>
        <w:rPr>
          <w:vertAlign w:val="subscript"/>
        </w:rPr>
        <w:t>th</w:t>
      </w:r>
      <w:r>
        <w:t xml:space="preserve"> and is traction-free; the outer boundary at R = 80a is clamped (u = 0) and cold (θ = 0). The cavity is a circle of radius a or an ellipse of semi-axes a√χ and a/√χ (equal area, χ = 2) whose major axis is parallel to the crystal a-axis at rotation φ = 0; the crystal is rotated by φ in the plane.</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β·β/(ρc</w:t>
      </w:r>
      <w:r>
        <w:rPr>
          <w:vertAlign w:val="subscript"/>
        </w:rPr>
        <w:t>p</w:t>
      </w:r>
      <w:r>
        <w:t>C̄) = 1.078×10</w:t>
      </w:r>
      <w:r>
        <w:rPr>
          <w:vertAlign w:val="superscript"/>
        </w:rPr>
        <w:t>−3</w:t>
      </w:r>
      <w:r>
        <w:t>.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p>
      <w:pPr>
        <w:pStyle w:val="Heading2"/>
      </w:pPr>
      <w:r>
        <w:t>2.3 Material parameters</w:t>
      </w:r>
    </w:p>
    <w:p>
      <w:r>
        <w:rPr>
          <w:b/>
          <w:sz w:val="19"/>
        </w:rPr>
        <w:t>Table 1.</w:t>
      </w:r>
      <w:r>
        <w:rPr>
          <w:sz w:val="19"/>
        </w:rPr>
        <w:t xml:space="preserve"> Parameters of the study and their status (MASTER_PROMPT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pre-registered</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6)</w:t>
            </w:r>
          </w:p>
        </w:tc>
      </w:tr>
    </w:tbl>
    <w:p>
      <w:pPr>
        <w:spacing w:after="40"/>
      </w:pPr>
    </w:p>
    <w:p>
      <w:pPr>
        <w:pStyle w:val="Heading2"/>
      </w:pPr>
      <w:r>
        <w:t>2.4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2"/>
      </w:pPr>
      <w:r>
        <w:t>2.5 Two analytical results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350141"/>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4937760" cy="350141"/>
                          </a:xfrm>
                          <a:prstGeom prst="rect"/>
                        </pic:spPr>
                      </pic:pic>
                    </a:graphicData>
                  </a:graphic>
                </wp:inline>
              </w:drawing>
            </w:r>
          </w:p>
        </w:tc>
        <w:tc>
          <w:tcPr>
            <w:tcW w:type="dxa" w:w="1152"/>
          </w:tcPr>
          <w:p>
            <w:pPr>
              <w:jc w:val="right"/>
            </w:pPr>
            <w:r>
              <w:t>(2)</w:t>
            </w:r>
          </w:p>
        </w:tc>
      </w:tr>
    </w:tbl>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4) and as the basis of the interpretation in Section 5.</w:t>
      </w:r>
    </w:p>
    <w:p>
      <w:pPr>
        <w:pStyle w:val="Heading1"/>
      </w:pPr>
      <w:r>
        <w:t>3. Numerical method</w:t>
      </w:r>
    </w:p>
    <w:p>
      <w:pPr>
        <w:pStyle w:val="Heading2"/>
      </w:pPr>
      <w:r>
        <w:t>3.1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3.2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1429" cy="450799"/>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3821429" cy="450799"/>
                          </a:xfrm>
                          <a:prstGeom prst="rect"/>
                        </pic:spPr>
                      </pic:pic>
                    </a:graphicData>
                  </a:graphic>
                </wp:inline>
              </w:drawing>
            </w:r>
          </w:p>
        </w:tc>
        <w:tc>
          <w:tcPr>
            <w:tcW w:type="dxa" w:w="1152"/>
          </w:tcPr>
          <w:p>
            <w:pPr>
              <w:jc w:val="right"/>
            </w:pPr>
            <w:r>
              <w:t>(3)</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(here with a mean wall temperature of 0.27 of the peak, which builds a steady temperature profile out to the outer boundary and raises the clamped-boundary stress), not the single-pulse response.</w:t>
      </w:r>
    </w:p>
    <w:p>
      <w:pPr>
        <w:pStyle w:val="Heading2"/>
      </w:pPr>
      <w:r>
        <w:t>3.3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4.2).</w:t>
      </w:r>
    </w:p>
    <w:p>
      <w:pPr>
        <w:spacing w:after="120"/>
        <w:jc w:val="both"/>
      </w:pPr>
      <w:r>
        <w:t>Software and AI assistance (Methods disclosure): the finite-difference solver of the preliminary analysis was reviewed, corrected where noted, extended and verified with the help of an AI agent (Section 4 lists the tests; code, tests and raw data are in the data package). All numbers in this paper are produced by the analysis scripts from stored raw outputs.</w:t>
      </w:r>
    </w:p>
    <w:p>
      <w:pPr>
        <w:pStyle w:val="Heading1"/>
      </w:pPr>
      <w:r>
        <w:t>4.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(26 passed, 1 failed, 1 exploratory; the failure is discussed below).</w:t>
      </w:r>
    </w:p>
    <w:p>
      <w:pPr>
        <w:pStyle w:val="Heading2"/>
      </w:pPr>
      <w:r>
        <w:t>4.1 Component and reference tests</w:t>
      </w:r>
    </w:p>
    <w:p>
      <w:r>
        <w:rPr>
          <w:b/>
          <w:sz w:val="19"/>
        </w:rPr>
        <w:t>Table 2.</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(linear field)</w:t>
            </w:r>
          </w:p>
        </w:tc>
        <w:tc>
          <w:tcPr>
            <w:tcW w:type="dxa" w:w="2304"/>
          </w:tcPr>
          <w:p>
            <w:r/>
            <w:r>
              <w:rPr>
                <w:sz w:val="17"/>
              </w:rPr>
              <w:t>≤ 5×10</w:t>
            </w:r>
            <w:r>
              <w:rPr>
                <w:sz w:val="17"/>
                <w:vertAlign w:val="superscript"/>
              </w:rPr>
              <w:t>−3</w:t>
            </w:r>
          </w:p>
        </w:tc>
        <w:tc>
          <w:tcPr>
            <w:tcW w:type="dxa" w:w="3744"/>
          </w:tcPr>
          <w:p>
            <w:r/>
            <w:r>
              <w:rPr>
                <w:sz w:val="17"/>
              </w:rPr>
              <w:t>production grids ≤ 3.6e-03; the handoff-style 96×48 grid with χ = 2 gives 5.03×10</w:t>
            </w:r>
            <w:r>
              <w:rPr>
                <w:sz w:val="17"/>
                <w:vertAlign w:val="superscript"/>
              </w:rPr>
              <w:t>−3</w:t>
            </w:r>
            <w:r>
              <w:rPr>
                <w:sz w:val="17"/>
              </w:rPr>
              <w:t xml:space="preserve"> (reported failure of this criterion, angular-resolution dominated)</w:t>
            </w:r>
          </w:p>
        </w:tc>
      </w:tr>
    </w:tbl>
    <w:p>
      <w:pPr>
        <w:spacing w:after="40"/>
      </w:pPr>
    </w:p>
    <w:p>
      <w:pPr>
        <w:jc w:val="center"/>
      </w:pPr>
      <w:r>
        <w:drawing>
          <wp:inline xmlns:a="http://schemas.openxmlformats.org/drawingml/2006/main" xmlns:pic="http://schemas.openxmlformats.org/drawingml/2006/picture">
            <wp:extent cx="6035040" cy="2145520"/>
            <wp:docPr id="5" name="Picture 5"/>
            <wp:cNvGraphicFramePr>
              <a:graphicFrameLocks noChangeAspect="1"/>
            </wp:cNvGraphicFramePr>
            <a:graphic>
              <a:graphicData uri="http://schemas.openxmlformats.org/drawingml/2006/picture">
                <pic:pic>
                  <pic:nvPicPr>
                    <pic:cNvPr id="0" name="fig4_verification.png"/>
                    <pic:cNvPicPr/>
                  </pic:nvPicPr>
                  <pic:blipFill>
                    <a:blip r:embed="rId13"/>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4.2 Choice of the radial clustering</w:t>
      </w:r>
    </w:p>
    <w:p>
      <w:pPr>
        <w:spacing w:after="120"/>
        <w:jc w:val="both"/>
      </w:pPr>
      <w:r>
        <w:t>The sharp tip of the ellipse (radius of curvature 0.35a at the ends of the major axis) is the most demanding location. A mesh-direction study for the ellipse at φ = 30° (Table 3,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6" name="Picture 6"/>
            <wp:cNvGraphicFramePr>
              <a:graphicFrameLocks noChangeAspect="1"/>
            </wp:cNvGraphicFramePr>
            <a:graphic>
              <a:graphicData uri="http://schemas.openxmlformats.org/drawingml/2006/picture">
                <pic:pic>
                  <pic:nvPicPr>
                    <pic:cNvPr id="0" name="fig6a_mesh.png"/>
                    <pic:cNvPicPr/>
                  </pic:nvPicPr>
                  <pic:blipFill>
                    <a:blip r:embed="rId14"/>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3.</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4.3 Grid convergence of the production quantities</w:t>
      </w:r>
    </w:p>
    <w:p>
      <w:r>
        <w:rPr>
          <w:b/>
          <w:sz w:val="19"/>
        </w:rPr>
        <w:t>Table 4.</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4.1). The finite outer radius is therefore not a significant source of uncertainty for these observables.</w:t>
      </w:r>
    </w:p>
    <w:p>
      <w:pPr>
        <w:pStyle w:val="Heading1"/>
      </w:pPr>
      <w:r>
        <w:t>5. Results</w:t>
      </w:r>
    </w:p>
    <w:p>
      <w:pPr>
        <w:pStyle w:val="Heading2"/>
      </w:pPr>
      <w:r>
        <w:t>5.1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frozen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4.1).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2: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7" name="Picture 7"/>
            <wp:cNvGraphicFramePr>
              <a:graphicFrameLocks noChangeAspect="1"/>
            </wp:cNvGraphicFramePr>
            <a:graphic>
              <a:graphicData uri="http://schemas.openxmlformats.org/drawingml/2006/picture">
                <pic:pic>
                  <pic:nvPicPr>
                    <pic:cNvPr id="0" name="fig3_wall_profiles.png"/>
                    <pic:cNvPicPr/>
                  </pic:nvPicPr>
                  <pic:blipFill>
                    <a:blip r:embed="rId15"/>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5.2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frozen threshold is max(5u</w:t>
      </w:r>
      <w:r>
        <w:rPr>
          <w:vertAlign w:val="subscript"/>
        </w:rPr>
        <w:t>num</w:t>
      </w:r>
      <w:r>
        <w:t>, 2%) = 6.56%, and the modulation is therefore resolvable (T4). The ellipse peak is 1.37 times the circle peak on average; the orientation of the crystal changes the ellipse peak by a factor of about 1.37 between the most and the least favourable orientation.</w:t>
      </w:r>
    </w:p>
    <w:p>
      <w:pPr>
        <w:jc w:val="center"/>
      </w:pPr>
      <w:r>
        <w:drawing>
          <wp:inline xmlns:a="http://schemas.openxmlformats.org/drawingml/2006/main" xmlns:pic="http://schemas.openxmlformats.org/drawingml/2006/picture">
            <wp:extent cx="5943600" cy="2653809"/>
            <wp:docPr id="8" name="Picture 8"/>
            <wp:cNvGraphicFramePr>
              <a:graphicFrameLocks noChangeAspect="1"/>
            </wp:cNvGraphicFramePr>
            <a:graphic>
              <a:graphicData uri="http://schemas.openxmlformats.org/drawingml/2006/picture">
                <pic:pic>
                  <pic:nvPicPr>
                    <pic:cNvPr id="0" name="fig2_phi_sweep.png"/>
                    <pic:cNvPicPr/>
                  </pic:nvPicPr>
                  <pic:blipFill>
                    <a:blip r:embed="rId16"/>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the earlier internal analysis (periodic-pulse synthesis, rotation-tensor sign error, coarser wall mesh) compared with this work.</w:t>
      </w:r>
    </w:p>
    <w:p>
      <w:pPr>
        <w:spacing w:after="120"/>
        <w:jc w:val="both"/>
      </w:pPr>
      <w:r>
        <w:t>With isotropic stiffness, conductivity and expansion the ellipse is orientation-independent by symmetry and its peak is 1.494 MPa/K (extrapolated; 1.501 on grid M), i.e. 1.53 times the isotropic circle: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which a purely local response could not produce. A pulse-width test (t</w:t>
      </w:r>
      <w:r>
        <w:rPr>
          <w:vertAlign w:val="subscript"/>
        </w:rPr>
        <w:t>w</w:t>
      </w:r>
      <w:r>
        <w:t xml:space="preserve"> = 0.3–2.4 t</w:t>
      </w:r>
      <w:r>
        <w:rPr>
          <w:vertAlign w:val="subscript"/>
        </w:rPr>
        <w:t>th</w:t>
      </w:r>
      <w:r>
        <w:t>; Table 5,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5.</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 name="Picture 9"/>
            <wp:cNvGraphicFramePr>
              <a:graphicFrameLocks noChangeAspect="1"/>
            </wp:cNvGraphicFramePr>
            <a:graphic>
              <a:graphicData uri="http://schemas.openxmlformats.org/drawingml/2006/picture">
                <pic:pic>
                  <pic:nvPicPr>
                    <pic:cNvPr id="0" name="fig7_pulse_width.png"/>
                    <pic:cNvPicPr/>
                  </pic:nvPicPr>
                  <pic:blipFill>
                    <a:blip r:embed="rId17"/>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5.3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72% of the baseline, removing the stiffness anisotropy changes it to 157%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6.</w:t>
      </w:r>
      <w:r>
        <w:rPr>
          <w:sz w:val="19"/>
        </w:rPr>
        <w:t xml:space="preserve"> Mechanism ablations and expansion-set sensitivity for the ellipse (grid 96×48, φ = 0, 30, …, 150°).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10" name="Picture 10"/>
            <wp:cNvGraphicFramePr>
              <a:graphicFrameLocks noChangeAspect="1"/>
            </wp:cNvGraphicFramePr>
            <a:graphic>
              <a:graphicData uri="http://schemas.openxmlformats.org/drawingml/2006/picture">
                <pic:pic>
                  <pic:nvPicPr>
                    <pic:cNvPr id="0" name="fig6b_ablation.png"/>
                    <pic:cNvPicPr/>
                  </pic:nvPicPr>
                  <pic:blipFill>
                    <a:blip r:embed="rId18"/>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5.4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7, Fig. 8a). For a prescribed wall temperature the conduction law enters the wall stress of the isotropic circle only through the weak far-field term of Eq. (3); the anisotropic results are consistent with this. The scaling identity of Section 2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pre-registered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7.</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11" name="Picture 11"/>
            <wp:cNvGraphicFramePr>
              <a:graphicFrameLocks noChangeAspect="1"/>
            </wp:cNvGraphicFramePr>
            <a:graphic>
              <a:graphicData uri="http://schemas.openxmlformats.org/drawingml/2006/picture">
                <pic:pic>
                  <pic:nvPicPr>
                    <pic:cNvPr id="0" name="fig5_memory.png"/>
                    <pic:cNvPicPr/>
                  </pic:nvPicPr>
                  <pic:blipFill>
                    <a:blip r:embed="rId19"/>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frozen bound 5δ = 5.39e-03 (T3: WITHIN-BOUND); the peak stress changes by -0.001%. The cavity-wall temperature is Dirichlet-prescribed and shows no feedback by construction.</w:t>
      </w:r>
    </w:p>
    <w:p>
      <w:pPr>
        <w:pStyle w:val="Heading2"/>
      </w:pPr>
      <w:r>
        <w:t>5.5 Sensitivity to the expansion data</w:t>
      </w:r>
    </w:p>
    <w:p>
      <w:pPr>
        <w:spacing w:after="120"/>
        <w:jc w:val="both"/>
      </w:pPr>
      <w:r>
        <w:t>Stress per kelvin is proportional to the thermal-stress vector β = Cα. With the 298 K-like expansion set the mean ellipse peak is 0.063 of the baseline value (0.0737 MPa/K) while the orientation modulation is 29.9% (baseline 29.0%).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6. Discussion and limitations</w:t>
      </w:r>
    </w:p>
    <w:p>
      <w:pPr>
        <w:pStyle w:val="Heading2"/>
      </w:pPr>
      <w:r>
        <w:t>6.1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2) turns the pre-registered hypothesis of collapse in Λ into a statement about the size of two corrections (elastic inertia/echo, thermoelastic feedback); the numerical results quantify both.</w:t>
      </w:r>
    </w:p>
    <w:p>
      <w:pPr>
        <w:pStyle w:val="Heading2"/>
      </w:pPr>
      <w:r>
        <w:t>6.2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4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4; the preliminary internal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6.3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7.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frozen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Declarations</w:t>
      </w:r>
    </w:p>
    <w:p>
      <w:pPr>
        <w:spacing w:after="120"/>
        <w:jc w:val="both"/>
      </w:pPr>
      <w:r>
        <w:rPr>
          <w:b/>
        </w:rPr>
        <w:t>CRediT authorship contribution statement:</w:t>
      </w:r>
      <w:r>
        <w:t xml:space="preserve"> [to be completed by the authors].</w:t>
      </w:r>
    </w:p>
    <w:p>
      <w:pPr>
        <w:spacing w:after="120"/>
        <w:jc w:val="both"/>
      </w:pPr>
      <w:r>
        <w:rPr>
          <w:b/>
        </w:rPr>
        <w:t>Declaration of competing interest:</w:t>
      </w:r>
      <w:r>
        <w:t xml:space="preserve"> [to be completed by the authors].</w:t>
      </w:r>
    </w:p>
    <w:p>
      <w:pPr>
        <w:spacing w:after="120"/>
        <w:jc w:val="both"/>
      </w:pPr>
      <w:r>
        <w:rPr>
          <w:b/>
        </w:rPr>
        <w:t>Funding:</w:t>
      </w:r>
      <w:r>
        <w:t xml:space="preserve"> [to be completed by the authors].</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[The authors must deposit the package in a public repository with a licence and insert its DOI.]</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an AI agent (Arena.ai Agent Mode; the underlying models are provided by the service) to review and extend the numerical code and the verification suite, to run and analyse the simulations, and to draft the text and the figures. After using this tool the author(s) reviewed and edited the content as needed and take(s) full responsibility for the content of the publication.</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pStyle w:val="Heading1"/>
      </w:pPr>
      <w:r>
        <w:t>Appendix A. Nomenclature</w:t>
      </w:r>
    </w:p>
    <w:p>
      <w:r>
        <w:rPr>
          <w:b/>
          <w:sz w:val="19"/>
        </w:rPr>
        <w:t>Table 8.</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p>
        </w:tc>
        <w:tc>
          <w:tcPr>
            <w:tcW w:type="dxa" w:w="5616"/>
          </w:tcPr>
          <w:p>
            <w:r/>
            <w:r>
              <w:rPr>
                <w:sz w:val="17"/>
              </w:rPr>
              <w:t>orientation modulation (max − min)/mean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