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exploratory variant. The single-pulse response is obtained from a frequency-domain finite-difference solver by Bromwich inversion on a shifted contour, verified against exact and independent solutions (peak error 0.08% at the finest grid, second order). The peak wall stress is orientation-invariant to round-off: 0.854 MPa/K for the circle. The ellipse converts crystal orientation into a peak-stress modulation of 28.7% on the extrapolated sweep (29.9% on the production grid) with numerical uncertainty 1.3 percentage points; single-parameter ablations on the production grid attribute the modulation to competing expansion and stiffness anisotropy, conductivity anisotropy being minor. Thermal memory (hypothetical relaxation times to 20 ps) changes the circular-cavity wall-stress history by at most 6.4% (1.6% at 10 nm and larger) and the peak (dynamic and quasi-static variants) by at most 1.4% (1.0% among dynamic runs); the residual size dependence is a quasi-static collapse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[7], and hole-shape effects have been studied in perforated composite plates [6]; boundary-element methods treat holes in general anisotropic discs and planes [8,9]; coated elliptic holes in uniform heat flow have been analysed by complex-variable methods [48] and dual-phase-lag boundary-element formulations for anisotropic media have been developed [49]. The generalized-thermoelasticity studies [4,5,7]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[10] and its generalizations to a finite heat-wave speed are the framework for transient problems: the Lord–Shulman theory with one relaxation time [11] and its extension to anisotropic media with a uniqueness theorem [12]; dual-phase-lag formulations [13], and later classifications of generalized heat-conduction and thermoelastic-coupling models [14,23]. Monoclinic β-Ga₂O₃ is an ultra-wide-band-gap semiconductor whose elastic [15], thermal-conductivity [16] and thermal-expansion [17,18] tensors are all strongly anisotropic; its room-temperature elastic constants are well characterised [15] and its conductivity tensor has an off-diagonal component in the a–c plane [16], so that crystal orientation, cavity shape and heat-conduction law can interact. The device context and the growth of bulk single crystals of the material are reviewed in [50,51].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[10]);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[11,12])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[10]).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the two-relaxation-time kernel of Section 2.5 is positive-real for the same reason but is not derived from a free energy, which is why it is carried as an exploratory variant only. Theories with two relaxation times [24,25,26] and the reviews of hyperbolic and generalized conduction [14,23,27,28,31,32]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[45,46,47]).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[15]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that the earlier internal analysis carried and that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[33,35,36,37], the two-relaxation-time form is the two-term version of the multi-phase-lag kernels [34], and general presentations of the theories are given in [27,29,30].</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β·β/(ρc</w:t>
      </w:r>
      <w:r>
        <w:rPr>
          <w:vertAlign w:val="subscript"/>
        </w:rPr>
        <w:t>p</w:t>
      </w:r>
      <w:r>
        <w:t>C̄) = 1.078×10</w:t>
      </w:r>
      <w:r>
        <w:rPr>
          <w:vertAlign w:val="superscript"/>
        </w:rPr>
        <w:t>−3</w:t>
      </w:r>
      <w:r>
        <w:t>, where C̄ = C</w:t>
      </w:r>
      <w:r>
        <w:rPr>
          <w:vertAlign w:val="subscript"/>
        </w:rPr>
        <w:t>33</w:t>
      </w:r>
      <w:r>
        <w:t xml:space="preserve"> is the stiffness scale of the plane-strain block.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4165" cy="308305"/>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4165" cy="308305"/>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(ρ</w:t>
      </w:r>
      <w:r>
        <w:rPr>
          <w:vertAlign w:val="superscript"/>
        </w:rPr>
        <w:t>1</w:t>
      </w:r>
      <w:r>
        <w:t>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(MASTER_PROMPT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[15]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[16]</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[17]; at 298 K the synchrotron data [18]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[16]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[19];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[20])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pre-registered</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frozen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[38] and are reviewed in [39]):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[21,22].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(here with a mean wall temperature of 0.27 of the peak, which builds a steady temperature profile out to the outer boundary and raises the clamped-boundary stress), not the single-pulse response.</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xml:space="preserve"> for the baseline pulse width t</w:t>
      </w:r>
      <w:r>
        <w:rPr>
          <w:vertAlign w:val="subscript"/>
        </w:rPr>
        <w:t>w</w:t>
      </w:r>
      <w:r>
        <w:t xml:space="preserve"> = 1.2 t</w:t>
      </w:r>
      <w:r>
        <w:rPr>
          <w:vertAlign w:val="subscript"/>
        </w:rPr>
        <w:t>th</w:t>
      </w:r>
      <w:r>
        <w:t>, comfortably beyond the window 0 ≤ t ≤ 6 t</w:t>
      </w:r>
      <w:r>
        <w:rPr>
          <w:vertAlign w:val="subscript"/>
        </w:rPr>
        <w:t>th</w:t>
      </w:r>
      <w:r>
        <w:t xml:space="preserve"> of the quantities of interest. The bound is checked against the stored series of every production run, not only estimated: the reconstructed wall temperature deviates from the imposed Gaussian by at most 1.0e-10 anywhere in 0 ≤ t ≤ 6 t</w:t>
      </w:r>
      <w:r>
        <w:rPr>
          <w:vertAlign w:val="subscript"/>
        </w:rPr>
        <w:t>th</w:t>
      </w:r>
      <w:r>
        <w:t>; over the whole stored window 0 ≤ t ≤ 12 t</w:t>
      </w:r>
      <w:r>
        <w:rPr>
          <w:vertAlign w:val="subscript"/>
        </w:rPr>
        <w:t>th</w:t>
      </w:r>
      <w:r>
        <w:t xml:space="preserve"> the worst case for t</w:t>
      </w:r>
      <w:r>
        <w:rPr>
          <w:vertAlign w:val="subscript"/>
        </w:rPr>
        <w:t>w</w:t>
      </w:r>
      <w:r>
        <w:t xml:space="preserve"> = 1.2 is 3.2e-01, while the widest pulse used in the locality test (t</w:t>
      </w:r>
      <w:r>
        <w:rPr>
          <w:vertAlign w:val="subscript"/>
        </w:rPr>
        <w:t>w</w:t>
      </w:r>
      <w:r>
        <w:t xml:space="preserve"> = 2.4 t</w:t>
      </w:r>
      <w:r>
        <w:rPr>
          <w:vertAlign w:val="subscript"/>
        </w:rPr>
        <w:t>th</w:t>
      </w:r>
      <w:r>
        <w:t>) is the one case whose image term enters inside the stored window (3.2e-01 at t = 12 t</w:t>
      </w:r>
      <w:r>
        <w:rPr>
          <w:vertAlign w:val="subscript"/>
        </w:rPr>
        <w:t>th</w:t>
      </w:r>
      <w:r>
        <w:t>), so that test is read only for peak values, which lie well inside the reported window.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in which the mean wall temperature is 0.27 of the peak, a steady temperature profile reaches the outer boundary and the clamped boundary raises the stress. The two answers differ by more than the effects studied here, which is why the earlier internal analysis had to be recomputed.</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[40,41,42,43,44]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 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 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pre-registered detection criterion for the modulation is A</w:t>
      </w:r>
      <w:r>
        <w:rPr>
          <w:vertAlign w:val="subscript"/>
        </w:rPr>
        <w:t>φ</w:t>
      </w:r>
      <w:r>
        <w:t xml:space="preserve"> &gt; max(5u</w:t>
      </w:r>
      <w:r>
        <w:rPr>
          <w:vertAlign w:val="subscript"/>
        </w:rPr>
        <w:t>num</w:t>
      </w:r>
      <w:r>
        <w:t>, 2%). Following the extrapolation of Eq. (82) goes back to Richardson and Gaunt [52], and in the standard terminology of the verification literature [53,54],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help of an AI agent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(27 passed, 0 failed, 1 exploratory). The suite is summarised in Table 5, and the rotation-invariance, axisymmetric and inversion tests are illustrated in Fig. 2. One inherited absolute threshold is exceeded on a grid that is not used for any reported result: at 96×48 with χ = 2 the metric error is 5.028e-03 against the threshold 5e-03 (a 0.6% exceedance of a bound calibrated on that demonstration grid), while the same sequence converges at the expected second order and satisfies the threshold at the production grid; the coarse-grid value is reported in Table 5 rather than suppressed, and the convergence order is asserted as its own case (V0b).</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of the mapped grid (linear field)</w:t>
            </w:r>
          </w:p>
        </w:tc>
        <w:tc>
          <w:tcPr>
            <w:tcW w:type="dxa" w:w="2304"/>
          </w:tcPr>
          <w:p>
            <w:r/>
            <w:r>
              <w:rPr>
                <w:sz w:val="17"/>
              </w:rPr>
              <w:t>order ≥ 1.9 and ≤ 5×10</w:t>
            </w:r>
            <w:r>
              <w:rPr>
                <w:sz w:val="17"/>
                <w:vertAlign w:val="superscript"/>
              </w:rPr>
              <w:t>−3</w:t>
            </w:r>
            <w:r>
              <w:rPr>
                <w:sz w:val="17"/>
              </w:rPr>
              <w:t xml:space="preserve"> at 192×96</w:t>
            </w:r>
          </w:p>
        </w:tc>
        <w:tc>
          <w:tcPr>
            <w:tcW w:type="dxa" w:w="3744"/>
          </w:tcPr>
          <w:p>
            <w:r/>
            <w:r>
              <w:rPr>
                <w:sz w:val="17"/>
              </w:rPr>
              <w:t>production grid 192×96: ≤ 1.3e-03; observed order 1.96–2.00 on refinement (asserted separately as V0b); the inherited absolute threshold 5e-03 is exceeded by 0.6% at the demonstration grid 96×48 with χ = 2 (5.028e-03); that grid is not used for any reported result</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[53]: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frozen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frozen threshold is max(5u</w:t>
      </w:r>
      <w:r>
        <w:rPr>
          <w:vertAlign w:val="subscript"/>
        </w:rPr>
        <w:t>num</w:t>
      </w:r>
      <w:r>
        <w:t>, 2%) = 6.56%, and the modulation is therefore resolvable (T4). At matched grids the mean ellipse peak on grid M is 1.396 of the circle peak on the same grid (0.854 MPa/K), and the extremes of the 12-orientation sweep are 1.132 and 1.549 of it; comparing the two extrapolated sequences gives 1.373. The orientation of the crystal changes the ellipse peak by a factor of 1.369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the earlier internal analysis (periodic-pulse synthesis, rotation-tensor sign error, coarser wall mesh) compared with this work.</w:t>
      </w:r>
    </w:p>
    <w:p>
      <w:pPr>
        <w:spacing w:after="120"/>
        <w:jc w:val="both"/>
      </w:pPr>
      <w:r>
        <w:t>With isotropic stiffness, conductivity and expansion the ellipse is orientation-independent by symmetry and its peak is 1.494 MPa/K (extrapolated; 1.501 on grid M), 1.530 times the isotropic circle (both on grid 96×96):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(both on grid 96×96),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[18]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70% of the baseline, removing the stiffness anisotropy changes it to 152%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at six orientations φ = 0, 30, …, 150°. The unlabelled rows are on grid 96×96 (production); rows labelled (grid 96×48) are the pre-registered coarser set, kept for continuity. A variant is always compared with the baseline of the same grid.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30.1%</w:t>
            </w:r>
          </w:p>
        </w:tc>
        <w:tc>
          <w:tcPr>
            <w:tcW w:type="dxa" w:w="2160"/>
          </w:tcPr>
          <w:p>
            <w:r/>
            <w:r>
              <w:rPr>
                <w:sz w:val="17"/>
              </w:rPr>
              <w:t>1.1845</w:t>
            </w:r>
          </w:p>
        </w:tc>
        <w:tc>
          <w:tcPr>
            <w:tcW w:type="dxa" w:w="1728"/>
          </w:tcPr>
          <w:p>
            <w:r/>
            <w:r>
              <w:rPr>
                <w:sz w:val="17"/>
              </w:rPr>
              <w:t>1.000</w:t>
            </w:r>
          </w:p>
        </w:tc>
      </w:tr>
      <w:tr>
        <w:tc>
          <w:tcPr>
            <w:tcW w:type="dxa" w:w="3744"/>
          </w:tcPr>
          <w:p>
            <w:r/>
            <w:r>
              <w:rPr>
                <w:sz w:val="17"/>
              </w:rPr>
              <w:t>full anisotropy (baseline, grid 96×48)</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28.1%</w:t>
            </w:r>
          </w:p>
        </w:tc>
        <w:tc>
          <w:tcPr>
            <w:tcW w:type="dxa" w:w="2160"/>
          </w:tcPr>
          <w:p>
            <w:r/>
            <w:r>
              <w:rPr>
                <w:sz w:val="17"/>
              </w:rPr>
              <w:t>1.1746</w:t>
            </w:r>
          </w:p>
        </w:tc>
        <w:tc>
          <w:tcPr>
            <w:tcW w:type="dxa" w:w="1728"/>
          </w:tcPr>
          <w:p>
            <w:r/>
            <w:r>
              <w:rPr>
                <w:sz w:val="17"/>
              </w:rPr>
              <w:t>0.992</w:t>
            </w:r>
          </w:p>
        </w:tc>
      </w:tr>
      <w:tr>
        <w:tc>
          <w:tcPr>
            <w:tcW w:type="dxa" w:w="3744"/>
          </w:tcPr>
          <w:p>
            <w:r/>
            <w:r>
              <w:rPr>
                <w:sz w:val="17"/>
              </w:rPr>
              <w:t>isotropic conductivity (grid 96×48)</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1.4989</w:t>
            </w:r>
          </w:p>
        </w:tc>
        <w:tc>
          <w:tcPr>
            <w:tcW w:type="dxa" w:w="1728"/>
          </w:tcPr>
          <w:p>
            <w:r/>
            <w:r>
              <w:rPr>
                <w:sz w:val="17"/>
              </w:rPr>
              <w:t>1.266</w:t>
            </w:r>
          </w:p>
        </w:tc>
      </w:tr>
      <w:tr>
        <w:tc>
          <w:tcPr>
            <w:tcW w:type="dxa" w:w="3744"/>
          </w:tcPr>
          <w:p>
            <w:r/>
            <w:r>
              <w:rPr>
                <w:sz w:val="17"/>
              </w:rPr>
              <w:t>isotropic stiffness (grid 96×48)</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21.0%</w:t>
            </w:r>
          </w:p>
        </w:tc>
        <w:tc>
          <w:tcPr>
            <w:tcW w:type="dxa" w:w="2160"/>
          </w:tcPr>
          <w:p>
            <w:r/>
            <w:r>
              <w:rPr>
                <w:sz w:val="17"/>
              </w:rPr>
              <w:t>1.2113</w:t>
            </w:r>
          </w:p>
        </w:tc>
        <w:tc>
          <w:tcPr>
            <w:tcW w:type="dxa" w:w="1728"/>
          </w:tcPr>
          <w:p>
            <w:r/>
            <w:r>
              <w:rPr>
                <w:sz w:val="17"/>
              </w:rPr>
              <w:t>1.023</w:t>
            </w:r>
          </w:p>
        </w:tc>
      </w:tr>
      <w:tr>
        <w:tc>
          <w:tcPr>
            <w:tcW w:type="dxa" w:w="3744"/>
          </w:tcPr>
          <w:p>
            <w:r/>
            <w:r>
              <w:rPr>
                <w:sz w:val="17"/>
              </w:rPr>
              <w:t>isotropic expansion (mean α) (grid 96×48)</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[18]</w:t>
            </w:r>
          </w:p>
        </w:tc>
        <w:tc>
          <w:tcPr>
            <w:tcW w:type="dxa" w:w="1872"/>
          </w:tcPr>
          <w:p>
            <w:r/>
            <w:r>
              <w:rPr>
                <w:sz w:val="17"/>
              </w:rPr>
              <w:t>31.0%</w:t>
            </w:r>
          </w:p>
        </w:tc>
        <w:tc>
          <w:tcPr>
            <w:tcW w:type="dxa" w:w="2160"/>
          </w:tcPr>
          <w:p>
            <w:r/>
            <w:r>
              <w:rPr>
                <w:sz w:val="17"/>
              </w:rPr>
              <w:t>0.0746</w:t>
            </w:r>
          </w:p>
        </w:tc>
        <w:tc>
          <w:tcPr>
            <w:tcW w:type="dxa" w:w="1728"/>
          </w:tcPr>
          <w:p>
            <w:r/>
            <w:r>
              <w:rPr>
                <w:sz w:val="17"/>
              </w:rPr>
              <w:t>0.063</w:t>
            </w:r>
          </w:p>
        </w:tc>
      </w:tr>
      <w:tr>
        <w:tc>
          <w:tcPr>
            <w:tcW w:type="dxa" w:w="3744"/>
          </w:tcPr>
          <w:p>
            <w:r/>
            <w:r>
              <w:rPr>
                <w:sz w:val="17"/>
              </w:rPr>
              <w:t>expansion set of the 298 K-like data [18] (grid 96×48)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pre-registered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frozen bound 5δ = 5.39e-03 (T3: WITHIN-BOUND);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(variant and baseline both on grid 96×96 (production)) the mean ellipse peak is 0.063 of the baseline value (0.0746 MPa/K) while the orientation modulation is 31.0% (baseline 30.1%).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pre-registered hypothesis of collapse in Λ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[20];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[19], 560 used) and enters only the time scale; the thermal-expansion coefficients are uncertain by more than an order of magnitude at 298 K [17,18];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the preliminary internal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frozen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`CODE_FREEZE_v2_gate.json` (feab48880c3c1359 for the file itself)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Code state and re-checks.</w:t>
      </w:r>
      <w:r>
        <w:t xml:space="preserve"> The two archived manifests date from 2026-10-01; since they were taken, 6 of the 15 entries of `CODE_FREEZE_v2_gate.json` (the pipeline driver, the test runner, four experiment and analysis scripts and the two document builders) have been edited, so the digests recorded for them no longer describe the code. The pipeline was re-run end to end with the code as it now stands and compared with the archived results (`15_Audits/RERUN_COMPARISON.md`): every production run reproduces its archived quantity of interest to zero relative difference and only wall-clock timings differ. On 2026-10-03 the analysis layer was re-run over all 175 stored runs: every pre-existing quantity of `ANALYSIS_V2.json` came out identical (the only value that moves is the number of runs audited), the eight figures and the five archived CSV tables are byte-identical to the archived files, and one further CSV (the ablation set at the production grid) is added. A full production job re-solved in a different build — Python 3.11.2 with NumPy 2.4.6 instead of 3.13.14/2.3.5 — reproduces its stored peak wall stress to 2.7×10⁻¹⁶ relative, i.e. one unit in the last place; the reconstruction of the wall temperature stays within 1.0×10⁻¹⁰ of the imposed pulse over the reported window for every run. Two refreshed manifests record the current code: `CODE_FREEZE_submission_2026_10_03.json` (27 files, taken before this verification pass) and `CODE_FREEZE_submission_2026_10_03b.json` (6e742f7629a2f963, 27 files, all 27 byte-identical to the code as submitted); the second is the one to deposit with the data package, and the earlier manifests are kept unchanged as history.</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(175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builders (13_Manuscript) and the audit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builders)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to be deposited at [PUBLIC REPOSITORY/DOI TO BE INSERTED].</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an AI agent (Arena.ai Agent Mode; the underlying models are provided by the service) to review and extend the numerical code and the verification suite, to run and analyse the simulations, and to draft the text and the figures. After using this tool the author(s) reviewed and edited the content as needed and take(s) full responsibility for the content of the publication.</w:t>
      </w: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[7] Abbas, I., Marin, M., Hobiny, A., Vlase, S. Thermal Conductivity Study of an Orthotropic Medium Containing a Cylindrical Cavity. Symmetry, 14(11), 2387 (2022). https://doi.org/10.3390/sym14112387</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Biot, M.A. Thermoelasticity and Irreversible Thermodynamics. Journal of Applied Physics, 27(3), 240-253 (1956). https://doi.org/10.1063/1.1722351</w:t>
      </w:r>
    </w:p>
    <w:p>
      <w:pPr>
        <w:spacing w:after="40"/>
        <w:ind w:left="432" w:hanging="432"/>
      </w:pPr>
      <w:r>
        <w:rPr>
          <w:sz w:val="19"/>
        </w:rPr>
        <w:t>[11] Lord, H.W., Shulman, Y. A generalized dynamical theory of thermoelasticity. Journal of the Mechanics and Physics of Solids, 15(5), 299-309 (1967). https://doi.org/10.1016/0022-5096(67)90024-5</w:t>
      </w:r>
    </w:p>
    <w:p>
      <w:pPr>
        <w:spacing w:after="40"/>
        <w:ind w:left="432" w:hanging="432"/>
      </w:pPr>
      <w:r>
        <w:rPr>
          <w:sz w:val="19"/>
        </w:rPr>
        <w:t>[12] Dhaliwal, R.S., Sherief, H.H. Generalized thermoelasticity for anisotropic media. Quarterly of Applied Mathematics, 38(1), 1-8 (1980). https://doi.org/10.1090/qam/575828</w:t>
      </w:r>
    </w:p>
    <w:p>
      <w:pPr>
        <w:spacing w:after="40"/>
        <w:ind w:left="432" w:hanging="432"/>
      </w:pPr>
      <w:r>
        <w:rPr>
          <w:sz w:val="19"/>
        </w:rPr>
        <w:t>[13] Tzou, D.Y. A Unified Field Approach for Heat Conduction From Macro- to Micro-Scales. Journal of Heat Transfer, 117(1), 8-16 (1995). https://doi.org/10.1115/1.2822329</w:t>
      </w:r>
    </w:p>
    <w:p>
      <w:pPr>
        <w:spacing w:after="40"/>
        <w:ind w:left="432" w:hanging="432"/>
      </w:pPr>
      <w:r>
        <w:rPr>
          <w:sz w:val="19"/>
        </w:rPr>
        <w:t>[14] Chandrasekharaiah, D.S. Hyperbolic Thermoelasticity: A Review of Recent Literature. Applied Mechanics Reviews, 51(12), 705-729 (1998). https://doi.org/10.1115/1.3098984</w:t>
      </w:r>
    </w:p>
    <w:p>
      <w:pPr>
        <w:spacing w:after="40"/>
        <w:ind w:left="432" w:hanging="432"/>
      </w:pPr>
      <w:r>
        <w:rPr>
          <w:sz w:val="19"/>
        </w:rPr>
        <w:t>[15] Adachi, K., Ogi, H., Takeuchi, N., Nakamura, N., Watanabe, H., Ito, T., et al. Unusual elasticity of monoclinic β-Ga2O3. Journal of Applied Physics, 124(8), 085102 (2018). https://doi.org/10.1063/1.5047017</w:t>
      </w:r>
    </w:p>
    <w:p>
      <w:pPr>
        <w:spacing w:after="40"/>
        <w:ind w:left="432" w:hanging="432"/>
      </w:pPr>
      <w:r>
        <w:rPr>
          <w:sz w:val="19"/>
        </w:rPr>
        <w:t>[16]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[17] Orlandi, F., Mezzadri, F., Calestani, G., Boschi, F., Fornari, R. Thermal expansion coefficients of β-Ga2O3 single crystals. Applied Physics Express, 8(11), 111101 (2015). https://doi.org/10.7567/apex.8.111101</w:t>
      </w:r>
    </w:p>
    <w:p>
      <w:pPr>
        <w:spacing w:after="40"/>
        <w:ind w:left="432" w:hanging="432"/>
      </w:pPr>
      <w:r>
        <w:rPr>
          <w:sz w:val="19"/>
        </w:rPr>
        <w:t>[18]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[19]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[20]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[21] Durbin, F. Numerical Inversion of Laplace Transforms: An Efficient Improvement to Dubner and Abate's Method. The Computer Journal, 17(4), 371-376 (1974). https://doi.org/10.1093/comjnl/17.4.371</w:t>
      </w:r>
    </w:p>
    <w:p>
      <w:pPr>
        <w:spacing w:after="40"/>
        <w:ind w:left="432" w:hanging="432"/>
      </w:pPr>
      <w:r>
        <w:rPr>
          <w:sz w:val="19"/>
        </w:rPr>
        <w:t>[22] Crump, K.S. Numerical Inversion of Laplace Transforms Using a Fourier Series Approximation. Journal of the ACM, 23(1), 89-96 (1976). https://doi.org/10.1145/321921.321931</w:t>
      </w:r>
    </w:p>
    <w:p>
      <w:pPr>
        <w:spacing w:after="40"/>
        <w:ind w:left="432" w:hanging="432"/>
      </w:pPr>
      <w:r>
        <w:rPr>
          <w:sz w:val="19"/>
        </w:rPr>
        <w:t>[23] Huang, Y., Yan, L., Wu, H., Yu, Y. New insights on generalized heat conduction and thermoelastic coupling models. Applied Mathematics and Mechanics, 46(8), 1533-1550 (2025). https://doi.org/10.1007/s10483-025-3280-7</w:t>
      </w:r>
    </w:p>
    <w:p>
      <w:pPr>
        <w:spacing w:after="40"/>
        <w:ind w:left="432" w:hanging="432"/>
      </w:pPr>
      <w:r>
        <w:rPr>
          <w:sz w:val="19"/>
        </w:rPr>
        <w:t>[24] Green, A.E., Lindsay, K.A. Thermoelasticity. Journal of Elasticity, 2(1), 1-7 (1972). https://doi.org/10.1007/BF00045689</w:t>
      </w:r>
    </w:p>
    <w:p>
      <w:pPr>
        <w:spacing w:after="40"/>
        <w:ind w:left="432" w:hanging="432"/>
      </w:pPr>
      <w:r>
        <w:rPr>
          <w:sz w:val="19"/>
        </w:rPr>
        <w:t>[25] Green, A.E., Naghdi, P.M. Thermoelasticity without energy dissipation. Journal of Elasticity, 31(3), 189-208 (1993). https://doi.org/10.1007/BF00044969</w:t>
      </w:r>
    </w:p>
    <w:p>
      <w:pPr>
        <w:spacing w:after="40"/>
        <w:ind w:left="432" w:hanging="432"/>
      </w:pPr>
      <w:r>
        <w:rPr>
          <w:sz w:val="19"/>
        </w:rPr>
        <w:t>[26] Hetnarski, R.B., Ignaczak, J. GENERALIZED THERMOELASTICITY: CLOSED-FORM SOLUTIONS. Journal of Thermal Stresses, 16(4), 473-498 (1993). https://doi.org/10.1080/01495739308946241</w:t>
      </w:r>
    </w:p>
    <w:p>
      <w:pPr>
        <w:spacing w:after="40"/>
        <w:ind w:left="432" w:hanging="432"/>
      </w:pPr>
      <w:r>
        <w:rPr>
          <w:sz w:val="19"/>
        </w:rPr>
        <w:t>[27] Ignaczak, J., Ostoja-Starzewski, M. Thermoelasticity with Finite Wave Speeds. Oxford University Press (2009). https://doi.org/10.1093/acprof:oso/9780199541645.001.0001</w:t>
      </w:r>
    </w:p>
    <w:p>
      <w:pPr>
        <w:spacing w:after="40"/>
        <w:ind w:left="432" w:hanging="432"/>
      </w:pPr>
      <w:r>
        <w:rPr>
          <w:sz w:val="19"/>
        </w:rPr>
        <w:t>[28] Straughan, B. Heat Waves. Springer, Applied Mathematical Sciences (2011). https://doi.org/10.1007/978-1-4614-0493-4</w:t>
      </w:r>
    </w:p>
    <w:p>
      <w:pPr>
        <w:spacing w:after="40"/>
        <w:ind w:left="432" w:hanging="432"/>
      </w:pPr>
      <w:r>
        <w:rPr>
          <w:sz w:val="19"/>
        </w:rPr>
        <w:t>[29] Hetnarski, R.B., Eslami, M.R. Thermal Stresses—Advanced Theory and Applications. Springer, Solid Mechanics and Its Applications (2019). https://doi.org/10.1007/978-3-030-10436-8</w:t>
      </w:r>
    </w:p>
    <w:p>
      <w:pPr>
        <w:spacing w:after="40"/>
        <w:ind w:left="432" w:hanging="432"/>
      </w:pPr>
      <w:r>
        <w:rPr>
          <w:sz w:val="19"/>
        </w:rPr>
        <w:t>[30] Eslami, M.R., Hetnarski, R.B., Ignaczak, J., Noda, N., Sumi, N., Tanigawa, Y. Theory of Elasticity and Thermal Stresses. Springer, Solid Mechanics and Its Applications (2013). https://doi.org/10.1007/978-94-007-6356-2</w:t>
      </w:r>
    </w:p>
    <w:p>
      <w:pPr>
        <w:spacing w:after="40"/>
        <w:ind w:left="432" w:hanging="432"/>
      </w:pPr>
      <w:r>
        <w:rPr>
          <w:sz w:val="19"/>
        </w:rPr>
        <w:t>[31] Chandrasekharaiah, D.S. Thermoelasticity with Second Sound: A Review. Applied Mechanics Reviews, 39(3), 355-376 (1986). https://doi.org/10.1115/1.3143705</w:t>
      </w:r>
    </w:p>
    <w:p>
      <w:pPr>
        <w:spacing w:after="40"/>
        <w:ind w:left="432" w:hanging="432"/>
      </w:pPr>
      <w:r>
        <w:rPr>
          <w:sz w:val="19"/>
        </w:rPr>
        <w:t>[32] Joseph, D.D., Preziosi, L. Heat waves. Reviews of Modern Physics, 61(1), 41-73 (1989). https://doi.org/10.1103/RevModPhys.61.41</w:t>
      </w:r>
    </w:p>
    <w:p>
      <w:pPr>
        <w:spacing w:after="40"/>
        <w:ind w:left="432" w:hanging="432"/>
      </w:pPr>
      <w:r>
        <w:rPr>
          <w:sz w:val="19"/>
        </w:rPr>
        <w:t>[33] Kaminski, W. Hyperbolic Heat Conduction Equation for Materials With a Nonhomogeneous Inner Structure. Journal of Heat Transfer, 112(3), 555-560 (1990). https://doi.org/10.1115/1.2910422</w:t>
      </w:r>
    </w:p>
    <w:p>
      <w:pPr>
        <w:spacing w:after="40"/>
        <w:ind w:left="432" w:hanging="432"/>
      </w:pPr>
      <w:r>
        <w:rPr>
          <w:sz w:val="19"/>
        </w:rPr>
        <w:t>[34] Roy Choudhuri, S.K. On A Thermoelastic Three-Phase-Lag Model. Journal of Thermal Stresses, 30(3), 231-238 (2007). https://doi.org/10.1080/01495730601130919</w:t>
      </w:r>
    </w:p>
    <w:p>
      <w:pPr>
        <w:spacing w:after="40"/>
        <w:ind w:left="432" w:hanging="432"/>
      </w:pPr>
      <w:r>
        <w:rPr>
          <w:sz w:val="19"/>
        </w:rPr>
        <w:t>[35] Chen, G. Ballistic-Diffusive Heat-Conduction Equations. Physical Review Letters, 86(11), 2297-2300 (2001). https://doi.org/10.1103/PhysRevLett.86.2297</w:t>
      </w:r>
    </w:p>
    <w:p>
      <w:pPr>
        <w:spacing w:after="40"/>
        <w:ind w:left="432" w:hanging="432"/>
      </w:pPr>
      <w:r>
        <w:rPr>
          <w:sz w:val="19"/>
        </w:rPr>
        <w:t>[36] Majumdar, A. Microscale Heat Conduction in Dielectric Thin Films. Journal of Heat Transfer, 115(1), 7-16 (1993). https://doi.org/10.1115/1.2910673</w:t>
      </w:r>
    </w:p>
    <w:p>
      <w:pPr>
        <w:spacing w:after="40"/>
        <w:ind w:left="432" w:hanging="432"/>
      </w:pPr>
      <w:r>
        <w:rPr>
          <w:sz w:val="19"/>
        </w:rPr>
        <w:t>[37] Tzou, D.Y. Macro- to Microscale Heat Transfer. Wiley (2014). https://doi.org/10.1002/9781118818275</w:t>
      </w:r>
    </w:p>
    <w:p>
      <w:pPr>
        <w:spacing w:after="40"/>
        <w:ind w:left="432" w:hanging="432"/>
      </w:pPr>
      <w:r>
        <w:rPr>
          <w:sz w:val="19"/>
        </w:rPr>
        <w:t>[38] Prevost, J.H., Tao, D. Finite Element Analysis of Dynamic Coupled Thermoelasticity Problems With Relaxation Times. Journal of Applied Mechanics, 50(4), 817-822 (1983). https://doi.org/10.1115/1.3167151</w:t>
      </w:r>
    </w:p>
    <w:p>
      <w:pPr>
        <w:spacing w:after="40"/>
        <w:ind w:left="432" w:hanging="432"/>
      </w:pPr>
      <w:r>
        <w:rPr>
          <w:sz w:val="19"/>
        </w:rPr>
        <w:t>[39]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[40] Davies, B., Martin, B. Numerical inversion of the laplace transform: a survey and comparison of methods. Journal of Computational Physics, 33(1), 1-32 (1979). https://doi.org/10.1016/0021-9991(79)90025-1</w:t>
      </w:r>
    </w:p>
    <w:p>
      <w:pPr>
        <w:spacing w:after="40"/>
        <w:ind w:left="432" w:hanging="432"/>
      </w:pPr>
      <w:r>
        <w:rPr>
          <w:sz w:val="19"/>
        </w:rPr>
        <w:t>[41] Weeks, W.T. Numerical Inversion of Laplace Transforms Using Laguerre Functions. Journal of the ACM, 13(3), 419-429 (1966). https://doi.org/10.1145/321341.321351</w:t>
      </w:r>
    </w:p>
    <w:p>
      <w:pPr>
        <w:spacing w:after="40"/>
        <w:ind w:left="432" w:hanging="432"/>
      </w:pPr>
      <w:r>
        <w:rPr>
          <w:sz w:val="19"/>
        </w:rPr>
        <w:t>[42] Talbot, A. The Accurate Numerical Inversion of Laplace Transforms. IMA Journal of Applied Mathematics, 23(1), 97-120 (1979). https://doi.org/10.1093/imamat/23.1.97</w:t>
      </w:r>
    </w:p>
    <w:p>
      <w:pPr>
        <w:spacing w:after="40"/>
        <w:ind w:left="432" w:hanging="432"/>
      </w:pPr>
      <w:r>
        <w:rPr>
          <w:sz w:val="19"/>
        </w:rPr>
        <w:t>[43] Abate, J., Whitt, W. A Unified Framework for Numerically Inverting Laplace Transforms. INFORMS Journal on Computing, 18(4), 408-421 (2006). https://doi.org/10.1287/ijoc.1050.0137</w:t>
      </w:r>
    </w:p>
    <w:p>
      <w:pPr>
        <w:spacing w:after="40"/>
        <w:ind w:left="432" w:hanging="432"/>
      </w:pPr>
      <w:r>
        <w:rPr>
          <w:sz w:val="19"/>
        </w:rPr>
        <w:t>[44]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[45] Ting, T.T.C. Anisotropic Elasticity. Oxford University Press (1996). https://doi.org/10.1093/oso/9780195074475.001.0001</w:t>
      </w:r>
    </w:p>
    <w:p>
      <w:pPr>
        <w:spacing w:after="40"/>
        <w:ind w:left="432" w:hanging="432"/>
      </w:pPr>
      <w:r>
        <w:rPr>
          <w:sz w:val="19"/>
        </w:rPr>
        <w:t>[46] Hwu, C. Anisotropic Elastic Plates. Springer (2010). https://doi.org/10.1007/978-1-4419-5915-7</w:t>
      </w:r>
    </w:p>
    <w:p>
      <w:pPr>
        <w:spacing w:after="40"/>
        <w:ind w:left="432" w:hanging="432"/>
      </w:pPr>
      <w:r>
        <w:rPr>
          <w:sz w:val="19"/>
        </w:rPr>
        <w:t>[47] Stroh, A.N. Dislocations and Cracks in Anisotropic Elasticity. Philosophical Magazine, 3(30), 625-646 (1958). https://doi.org/10.1080/14786435808565804</w:t>
      </w:r>
    </w:p>
    <w:p>
      <w:pPr>
        <w:spacing w:after="40"/>
        <w:ind w:left="432" w:hanging="432"/>
      </w:pPr>
      <w:r>
        <w:rPr>
          <w:sz w:val="19"/>
        </w:rPr>
        <w:t>[48]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[49]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[50] Pearton, S.J., Yang, J., Cary, P.H., Ren, F., Kim, J., Tadjer, M.J., et al. A review of Ga2O3 materials, processing, and devices. Applied Physics Reviews, 5(1), 011301 (2018). https://doi.org/10.1063/1.5006941</w:t>
      </w:r>
    </w:p>
    <w:p>
      <w:pPr>
        <w:spacing w:after="40"/>
        <w:ind w:left="432" w:hanging="432"/>
      </w:pPr>
      <w:r>
        <w:rPr>
          <w:sz w:val="19"/>
        </w:rPr>
        <w:t>[51] Galazka, Z. Growth of bulk β-Ga2O3 single crystals by the Czochralski method. Journal of Applied Physics, 131(3), 031103 (2022). https://doi.org/10.1063/5.0076962</w:t>
      </w:r>
    </w:p>
    <w:p>
      <w:pPr>
        <w:spacing w:after="40"/>
        <w:ind w:left="432" w:hanging="432"/>
      </w:pPr>
      <w:r>
        <w:rPr>
          <w:sz w:val="19"/>
        </w:rPr>
        <w:t>[52] Richardson, L.F., Gaunt, J.A. VIII. The deferred approach to the limit. Philosophical Transactions of the Royal Society of London Series A, 226, 299-361 (1927). https://doi.org/10.1098/rsta.1927.0008</w:t>
      </w:r>
    </w:p>
    <w:p>
      <w:pPr>
        <w:spacing w:after="40"/>
        <w:ind w:left="432" w:hanging="432"/>
      </w:pPr>
      <w:r>
        <w:rPr>
          <w:sz w:val="19"/>
        </w:rPr>
        <w:t>[53] Oberkampf, W.L., Roy, C.J. Verification and Validation in Scientific Computing. Cambridge University Press (2010). https://doi.org/10.1017/CBO9780511760396</w:t>
      </w:r>
    </w:p>
    <w:p>
      <w:pPr>
        <w:spacing w:after="40"/>
        <w:ind w:left="432" w:hanging="432"/>
      </w:pPr>
      <w:r>
        <w:rPr>
          <w:sz w:val="19"/>
        </w:rPr>
        <w:t>[54] Pelletier, D., Roache, P.J. Verification and Validation of Computational Heat Transfer. In Handbook of Numerical Heat Transfer, 417-442 (2000). https://doi.org/10.1002/9780470172599.ch13</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