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an exploratory variant. The response of a quiescent medium to one pulse is obtained from a frequency-domain finite-difference solver by Bromwich inversion on a shifted contour and verified against exact and independent solutions (peak error 0.08% at the finest grid, second order). The peak wall stress of the circle is orientation-invariant to round-off and equals 0.854 MPa/K. The ellipse converts crystal orientation into a peak-stress modulation of 28.7% on the extrapolated sweep (29.9% on the production grid), numerical uncertainty 1.3 percentage points; ablations attribute it to competing expansion and stiffness anisotropy, conductivity anisotropy being minor. Thermal memory (hypothetical relaxation times to 20 ps) changes the circular-cavity wall-stress history by at most 6.4% (1.6% at 10 nm and larger) and the peak by at most 1.4%; the residual size dependence is a quasi-static collapse in the memory number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that the earlier internal analysis carried and that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β·β/(ρc</w:t>
      </w:r>
      <w:r>
        <w:rPr>
          <w:vertAlign w:val="subscript"/>
        </w:rPr>
        <w:t>p</w:t>
      </w:r>
      <w:r>
        <w:t>C̄) = 1.078×10</w:t>
      </w:r>
      <w:r>
        <w:rPr>
          <w:vertAlign w:val="superscript"/>
        </w:rPr>
        <w:t>−3</w:t>
      </w:r>
      <w:r>
        <w:t>, where C̄ = C</w:t>
      </w:r>
      <w:r>
        <w:rPr>
          <w:vertAlign w:val="subscript"/>
        </w:rPr>
        <w:t>33</w:t>
      </w:r>
      <w:r>
        <w:t xml:space="preserve"> is the stiffness scale of the plane-strain block.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4165" cy="308305"/>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4165" cy="308305"/>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(ρ</w:t>
      </w:r>
      <w:r>
        <w:rPr>
          <w:vertAlign w:val="superscript"/>
        </w:rPr>
        <w:t>1</w:t>
      </w:r>
      <w:r>
        <w:t>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(MASTER_PROMPT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pre-registered</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frozen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(here with a mean wall temperature of 0.27 of the peak, which builds a steady temperature profile out to the outer boundary and raises the clamped-boundary stress), not the single-pulse response.</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comfortably beyond the window 0 ≤ t ≤ 6 t</w:t>
      </w:r>
      <w:r>
        <w:rPr>
          <w:vertAlign w:val="subscript"/>
        </w:rPr>
        <w:t>th</w:t>
      </w:r>
      <w:r>
        <w:t xml:space="preserve"> of the quantities of interest.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in which the mean wall temperature is 0.27 of the peak, a steady temperature profile reaches the outer boundary and the clamped boundary raises the stress. The two answers differ by more than the effects studied here, which is why the earlier internal analysis had to be recomputed.</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pre-registered detection criterion for the modulation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help of an AI agent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(26 passed, 1 failed, 1 exploratory; the failure is discussed below). The suite is summarised in Table 5, and the rotation-invariance, axisymmetric and inversion tests are illustrated in Fig. 2.</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(linear field)</w:t>
            </w:r>
          </w:p>
        </w:tc>
        <w:tc>
          <w:tcPr>
            <w:tcW w:type="dxa" w:w="2304"/>
          </w:tcPr>
          <w:p>
            <w:r/>
            <w:r>
              <w:rPr>
                <w:sz w:val="17"/>
              </w:rPr>
              <w:t>≤ 5×10</w:t>
            </w:r>
            <w:r>
              <w:rPr>
                <w:sz w:val="17"/>
                <w:vertAlign w:val="superscript"/>
              </w:rPr>
              <w:t>−3</w:t>
            </w:r>
          </w:p>
        </w:tc>
        <w:tc>
          <w:tcPr>
            <w:tcW w:type="dxa" w:w="3744"/>
          </w:tcPr>
          <w:p>
            <w:r/>
            <w:r>
              <w:rPr>
                <w:sz w:val="17"/>
              </w:rPr>
              <w:t>production grids ≤ 3.6e-03; the handoff-style 96×48 grid with χ = 2 gives 5.03×10</w:t>
            </w:r>
            <w:r>
              <w:rPr>
                <w:sz w:val="17"/>
                <w:vertAlign w:val="superscript"/>
              </w:rPr>
              <w:t>−3</w:t>
            </w:r>
            <w:r>
              <w:rPr>
                <w:sz w:val="17"/>
              </w:rPr>
              <w:t xml:space="preserve"> (reported failure of this criterion, angular-resolution dominated)</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frozen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frozen threshold is max(5u</w:t>
      </w:r>
      <w:r>
        <w:rPr>
          <w:vertAlign w:val="subscript"/>
        </w:rPr>
        <w:t>num</w:t>
      </w:r>
      <w:r>
        <w:t>, 2%) = 6.56%, and the modulation is therefore resolvable (T4). The ellipse peak is 1.37 times the circle peak on average; the orientation of the crystal changes the ellipse peak by a factor of about 1.37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the earlier internal analysis (periodic-pulse synthesis, rotation-tensor sign error, coarser wall mesh) compared with this work.</w:t>
      </w:r>
    </w:p>
    <w:p>
      <w:pPr>
        <w:spacing w:after="120"/>
        <w:jc w:val="both"/>
      </w:pPr>
      <w:r>
        <w:t>With isotropic stiffness, conductivity and expansion the ellipse is orientation-independent by symmetry and its peak is 1.494 MPa/K (extrapolated; 1.501 on grid M), i.e. 1.53 times the isotropic circle: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72% of the baseline, removing the stiffness anisotropy changes it to 157%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(grid 96×48, φ = 0, 30, …, 150°).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pre-registered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frozen bound 5δ = 5.39e-03 (T3: WITHIN-BOUND);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the mean ellipse peak is 0.063 of the baseline value (0.0737 MPa/K) while the orientation modulation is 29.9% (baseline 29.0%).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pre-registered hypothesis of collapse in Λ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the preliminary internal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frozen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(150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an AI agent (Arena.ai Agent Mode; the underlying models are provided by the service) to review and extend the numerical code and the verification suite, to run and analyse the simulations, and to draft the text and the figures. After using this tool the author(s) reviewed and edited the content as needed and take(s) full responsibility for the content of the publication.</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