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an exploratory variant. The response of a quiescent medium to one pulse is obtained from a frequency-domain finite-difference solver by Bromwich inversion on a shifted contour and verified against exact and independent solutions (peak error 0.08% at the finest grid, second order). The peak wall stress of the circle is orientation-invariant to round-off and equals 0.854 MPa/K. The ellipse converts crystal orientation into a peak-stress modulation of 28.7% on the extrapolated sweep (29.9% on the production grid), numerical uncertainty 1.3 percentage points; ablations attribute it to competing expansion and stiffness anisotropy, conductivity anisotropy being minor. Thermal memory (hypothetical relaxation times to 20 ps) changes the circular-cavity wall-stress history by at most 6.4% (1.6% at 10 nm and larger) and the peak by at most 1.4%; the residual size dependence is a quasi-static collapse in the memory number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dual-phase-lag formulations [13], and later classifications of generalized heat-conduction and thermoelastic-coupling models [14,23].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Whether this interaction is large enough to matter, and which observable is sensitive to it, is the question addressed here.</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2.1).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6).</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model, Section 3 the method, Section 4 the verification, Section 5 the results, and Section 6 the discussion, the limitations and the scope of what can be claimed from them.</w:t>
      </w:r>
    </w:p>
    <w:p>
      <w:pPr>
        <w:pStyle w:val="Heading1"/>
      </w:pPr>
      <w:r>
        <w:t>2. Model and parameters</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4.1).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2.4.</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β·β/(ρc</w:t>
      </w:r>
      <w:r>
        <w:rPr>
          <w:vertAlign w:val="subscript"/>
        </w:rPr>
        <w:t>p</w:t>
      </w:r>
      <w:r>
        <w:t>C̄) = 1.078×10</w:t>
      </w:r>
      <w:r>
        <w:rPr>
          <w:vertAlign w:val="superscript"/>
        </w:rPr>
        <w:t>−3</w:t>
      </w:r>
      <w:r>
        <w:t>, where C̄ = C</w:t>
      </w:r>
      <w:r>
        <w:rPr>
          <w:vertAlign w:val="subscript"/>
        </w:rPr>
        <w:t>33</w:t>
      </w:r>
      <w:r>
        <w:t xml:space="preserve"> is the stiffness scale of the plane-strain block.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p>
      <w:pPr>
        <w:pStyle w:val="Heading2"/>
      </w:pPr>
      <w:r>
        <w:t>2.3 Material parameters</w:t>
      </w:r>
    </w:p>
    <w:p>
      <w:pPr>
        <w:spacing w:after="120"/>
        <w:jc w:val="both"/>
      </w:pPr>
      <w:r>
        <w:t>The parameters of the study, their values and their status (literature, assumed, hypothetical or design) are collected in Table 1.</w:t>
      </w:r>
    </w:p>
    <w:p>
      <w:r>
        <w:rPr>
          <w:b/>
          <w:sz w:val="19"/>
        </w:rPr>
        <w:t>Table 1.</w:t>
      </w:r>
      <w:r>
        <w:rPr>
          <w:sz w:val="19"/>
        </w:rPr>
        <w:t xml:space="preserve"> Parameters of the study and their status (MASTER_PROMPT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pre-registered</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6)</w:t>
            </w:r>
          </w:p>
        </w:tc>
      </w:tr>
    </w:tbl>
    <w:p>
      <w:pPr>
        <w:spacing w:after="40"/>
      </w:pPr>
    </w:p>
    <w:p>
      <w:pPr>
        <w:pStyle w:val="Heading2"/>
      </w:pPr>
      <w:r>
        <w:t>2.4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2"/>
      </w:pPr>
      <w:r>
        <w:t>2.5 Two analytical results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363296"/>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4937760" cy="363296"/>
                          </a:xfrm>
                          <a:prstGeom prst="rect"/>
                        </pic:spPr>
                      </pic:pic>
                    </a:graphicData>
                  </a:graphic>
                </wp:inline>
              </w:drawing>
            </w:r>
          </w:p>
        </w:tc>
        <w:tc>
          <w:tcPr>
            <w:tcW w:type="dxa" w:w="1152"/>
          </w:tcPr>
          <w:p>
            <w:pPr>
              <w:jc w:val="right"/>
            </w:pPr>
            <w:r>
              <w:t>(2)</w:t>
            </w:r>
          </w:p>
        </w:tc>
      </w:tr>
    </w:tbl>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4) and as the basis of the interpretation in Section 5.</w:t>
      </w:r>
    </w:p>
    <w:p>
      <w:pPr>
        <w:pStyle w:val="Heading1"/>
      </w:pPr>
      <w:r>
        <w:t>3. Numerical method</w:t>
      </w:r>
    </w:p>
    <w:p>
      <w:pPr>
        <w:pStyle w:val="Heading2"/>
      </w:pPr>
      <w:r>
        <w:t>3.1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3.2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3829202" cy="443026"/>
                          </a:xfrm>
                          <a:prstGeom prst="rect"/>
                        </pic:spPr>
                      </pic:pic>
                    </a:graphicData>
                  </a:graphic>
                </wp:inline>
              </w:drawing>
            </w:r>
          </w:p>
        </w:tc>
        <w:tc>
          <w:tcPr>
            <w:tcW w:type="dxa" w:w="1152"/>
          </w:tcPr>
          <w:p>
            <w:pPr>
              <w:jc w:val="right"/>
            </w:pPr>
            <w:r>
              <w:t>(3)</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(here with a mean wall temperature of 0.27 of the peak, which builds a steady temperature profile out to the outer boundary and raises the clamped-boundary stress), not the single-pulse response.</w:t>
      </w:r>
    </w:p>
    <w:p>
      <w:pPr>
        <w:pStyle w:val="Heading2"/>
      </w:pPr>
      <w:r>
        <w:t>3.3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4.2).</w:t>
      </w:r>
    </w:p>
    <w:p>
      <w:pPr>
        <w:spacing w:after="120"/>
        <w:jc w:val="both"/>
      </w:pPr>
      <w:r>
        <w:t>Software and AI assistance (Methods disclosure): the finite-difference solver of the preliminary analysis was reviewed, corrected where noted, extended and verified with the help of an AI agent (Section 4 lists the tests; code, tests and raw data are in the data package). All numbers in this paper are produced by the analysis scripts from stored raw outputs.</w:t>
      </w:r>
    </w:p>
    <w:p>
      <w:pPr>
        <w:pStyle w:val="Heading1"/>
      </w:pPr>
      <w:r>
        <w:t>4.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(26 passed, 1 failed, 1 exploratory; the failure is discussed below). The suite is summarised in Table 2, and the rotation-invariance, axisymmetric and inversion tests are illustrated in Fig. 2.</w:t>
      </w:r>
    </w:p>
    <w:p>
      <w:pPr>
        <w:pStyle w:val="Heading2"/>
      </w:pPr>
      <w:r>
        <w:t>4.1 Component and reference tests</w:t>
      </w:r>
    </w:p>
    <w:p>
      <w:r>
        <w:rPr>
          <w:b/>
          <w:sz w:val="19"/>
        </w:rPr>
        <w:t>Table 2.</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(linear field)</w:t>
            </w:r>
          </w:p>
        </w:tc>
        <w:tc>
          <w:tcPr>
            <w:tcW w:type="dxa" w:w="2304"/>
          </w:tcPr>
          <w:p>
            <w:r/>
            <w:r>
              <w:rPr>
                <w:sz w:val="17"/>
              </w:rPr>
              <w:t>≤ 5×10</w:t>
            </w:r>
            <w:r>
              <w:rPr>
                <w:sz w:val="17"/>
                <w:vertAlign w:val="superscript"/>
              </w:rPr>
              <w:t>−3</w:t>
            </w:r>
          </w:p>
        </w:tc>
        <w:tc>
          <w:tcPr>
            <w:tcW w:type="dxa" w:w="3744"/>
          </w:tcPr>
          <w:p>
            <w:r/>
            <w:r>
              <w:rPr>
                <w:sz w:val="17"/>
              </w:rPr>
              <w:t>production grids ≤ 3.6e-03; the handoff-style 96×48 grid with χ = 2 gives 5.03×10</w:t>
            </w:r>
            <w:r>
              <w:rPr>
                <w:sz w:val="17"/>
                <w:vertAlign w:val="superscript"/>
              </w:rPr>
              <w:t>−3</w:t>
            </w:r>
            <w:r>
              <w:rPr>
                <w:sz w:val="17"/>
              </w:rPr>
              <w:t xml:space="preserve"> (reported failure of this criterion, angular-resolution dominated)</w:t>
            </w:r>
          </w:p>
        </w:tc>
      </w:tr>
    </w:tbl>
    <w:p>
      <w:pPr>
        <w:spacing w:after="40"/>
      </w:pPr>
    </w:p>
    <w:p>
      <w:pPr>
        <w:jc w:val="center"/>
      </w:pPr>
      <w:r>
        <w:drawing>
          <wp:inline xmlns:a="http://schemas.openxmlformats.org/drawingml/2006/main" xmlns:pic="http://schemas.openxmlformats.org/drawingml/2006/picture">
            <wp:extent cx="6035040" cy="2145520"/>
            <wp:docPr id="5" name="Picture 5"/>
            <wp:cNvGraphicFramePr>
              <a:graphicFrameLocks noChangeAspect="1"/>
            </wp:cNvGraphicFramePr>
            <a:graphic>
              <a:graphicData uri="http://schemas.openxmlformats.org/drawingml/2006/picture">
                <pic:pic>
                  <pic:nvPicPr>
                    <pic:cNvPr id="0" name="fig4_verification.png"/>
                    <pic:cNvPicPr/>
                  </pic:nvPicPr>
                  <pic:blipFill>
                    <a:blip r:embed="rId13"/>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4.2 Choice of the radial clustering</w:t>
      </w:r>
    </w:p>
    <w:p>
      <w:pPr>
        <w:spacing w:after="120"/>
        <w:jc w:val="both"/>
      </w:pPr>
      <w:r>
        <w:t>The sharp tip of the ellipse (radius of curvature 0.35a at the ends of the major axis) is the most demanding location. A mesh-direction study for the ellipse at φ = 30° (Table 3,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6" name="Picture 6"/>
            <wp:cNvGraphicFramePr>
              <a:graphicFrameLocks noChangeAspect="1"/>
            </wp:cNvGraphicFramePr>
            <a:graphic>
              <a:graphicData uri="http://schemas.openxmlformats.org/drawingml/2006/picture">
                <pic:pic>
                  <pic:nvPicPr>
                    <pic:cNvPr id="0" name="fig6a_mesh.png"/>
                    <pic:cNvPicPr/>
                  </pic:nvPicPr>
                  <pic:blipFill>
                    <a:blip r:embed="rId14"/>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3.</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4.3 Grid convergence of the production quantities</w:t>
      </w:r>
    </w:p>
    <w:p>
      <w:r>
        <w:rPr>
          <w:b/>
          <w:sz w:val="19"/>
        </w:rPr>
        <w:t>Table 4.</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4.1). The finite outer radius is therefore not a significant source of uncertainty for these observables.</w:t>
      </w:r>
    </w:p>
    <w:p>
      <w:pPr>
        <w:pStyle w:val="Heading1"/>
      </w:pPr>
      <w:r>
        <w:t>5. Results</w:t>
      </w:r>
    </w:p>
    <w:p>
      <w:pPr>
        <w:pStyle w:val="Heading2"/>
      </w:pPr>
      <w:r>
        <w:t>5.1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frozen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4.1).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2: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7" name="Picture 7"/>
            <wp:cNvGraphicFramePr>
              <a:graphicFrameLocks noChangeAspect="1"/>
            </wp:cNvGraphicFramePr>
            <a:graphic>
              <a:graphicData uri="http://schemas.openxmlformats.org/drawingml/2006/picture">
                <pic:pic>
                  <pic:nvPicPr>
                    <pic:cNvPr id="0" name="fig3_wall_profiles.png"/>
                    <pic:cNvPicPr/>
                  </pic:nvPicPr>
                  <pic:blipFill>
                    <a:blip r:embed="rId15"/>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5.2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frozen threshold is max(5u</w:t>
      </w:r>
      <w:r>
        <w:rPr>
          <w:vertAlign w:val="subscript"/>
        </w:rPr>
        <w:t>num</w:t>
      </w:r>
      <w:r>
        <w:t>, 2%) = 6.56%, and the modulation is therefore resolvable (T4). The ellipse peak is 1.37 times the circle peak on average; the orientation of the crystal changes the ellipse peak by a factor of about 1.37 between the most and the least favourable orientation.</w:t>
      </w:r>
    </w:p>
    <w:p>
      <w:pPr>
        <w:jc w:val="center"/>
      </w:pPr>
      <w:r>
        <w:drawing>
          <wp:inline xmlns:a="http://schemas.openxmlformats.org/drawingml/2006/main" xmlns:pic="http://schemas.openxmlformats.org/drawingml/2006/picture">
            <wp:extent cx="5943600" cy="2653809"/>
            <wp:docPr id="8" name="Picture 8"/>
            <wp:cNvGraphicFramePr>
              <a:graphicFrameLocks noChangeAspect="1"/>
            </wp:cNvGraphicFramePr>
            <a:graphic>
              <a:graphicData uri="http://schemas.openxmlformats.org/drawingml/2006/picture">
                <pic:pic>
                  <pic:nvPicPr>
                    <pic:cNvPr id="0" name="fig2_phi_sweep.png"/>
                    <pic:cNvPicPr/>
                  </pic:nvPicPr>
                  <pic:blipFill>
                    <a:blip r:embed="rId16"/>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the earlier internal analysis (periodic-pulse synthesis, rotation-tensor sign error, coarser wall mesh) compared with this work.</w:t>
      </w:r>
    </w:p>
    <w:p>
      <w:pPr>
        <w:spacing w:after="120"/>
        <w:jc w:val="both"/>
      </w:pPr>
      <w:r>
        <w:t>With isotropic stiffness, conductivity and expansion the ellipse is orientation-independent by symmetry and its peak is 1.494 MPa/K (extrapolated; 1.501 on grid M), i.e. 1.53 times the isotropic circle: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which a purely local response could not produce. A pulse-width test (t</w:t>
      </w:r>
      <w:r>
        <w:rPr>
          <w:vertAlign w:val="subscript"/>
        </w:rPr>
        <w:t>w</w:t>
      </w:r>
      <w:r>
        <w:t xml:space="preserve"> = 0.3–2.4 t</w:t>
      </w:r>
      <w:r>
        <w:rPr>
          <w:vertAlign w:val="subscript"/>
        </w:rPr>
        <w:t>th</w:t>
      </w:r>
      <w:r>
        <w:t>; Table 5,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5.</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 name="Picture 9"/>
            <wp:cNvGraphicFramePr>
              <a:graphicFrameLocks noChangeAspect="1"/>
            </wp:cNvGraphicFramePr>
            <a:graphic>
              <a:graphicData uri="http://schemas.openxmlformats.org/drawingml/2006/picture">
                <pic:pic>
                  <pic:nvPicPr>
                    <pic:cNvPr id="0" name="fig7_pulse_width.png"/>
                    <pic:cNvPicPr/>
                  </pic:nvPicPr>
                  <pic:blipFill>
                    <a:blip r:embed="rId17"/>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5.3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6, Fig. 7),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72% of the baseline, removing the stiffness anisotropy changes it to 157%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6.</w:t>
      </w:r>
      <w:r>
        <w:rPr>
          <w:sz w:val="19"/>
        </w:rPr>
        <w:t xml:space="preserve"> Mechanism ablations and expansion-set sensitivity for the ellipse (grid 96×48, φ = 0, 30, …, 150°).</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10" name="Picture 10"/>
            <wp:cNvGraphicFramePr>
              <a:graphicFrameLocks noChangeAspect="1"/>
            </wp:cNvGraphicFramePr>
            <a:graphic>
              <a:graphicData uri="http://schemas.openxmlformats.org/drawingml/2006/picture">
                <pic:pic>
                  <pic:nvPicPr>
                    <pic:cNvPr id="0" name="fig6b_ablation.png"/>
                    <pic:cNvPicPr/>
                  </pic:nvPicPr>
                  <pic:blipFill>
                    <a:blip r:embed="rId18"/>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5.4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7, Fig. 8a). The two-relaxation-time kernel (MCV3 in Table 7) is an exploratory variant and is not used in any of the statements below. For a prescribed wall temperature the conduction law enters the wall stress of the isotropic circle only through the weak far-field term of Eq. (2); the anisotropic results are consistent with this. The scaling identity of Section 2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pre-registered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7.</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11" name="Picture 11"/>
            <wp:cNvGraphicFramePr>
              <a:graphicFrameLocks noChangeAspect="1"/>
            </wp:cNvGraphicFramePr>
            <a:graphic>
              <a:graphicData uri="http://schemas.openxmlformats.org/drawingml/2006/picture">
                <pic:pic>
                  <pic:nvPicPr>
                    <pic:cNvPr id="0" name="fig5_memory.png"/>
                    <pic:cNvPicPr/>
                  </pic:nvPicPr>
                  <pic:blipFill>
                    <a:blip r:embed="rId19"/>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frozen bound 5δ = 5.39e-03 (T3: WITHIN-BOUND); the peak stress changes by -0.001%. The cavity-wall temperature is Dirichlet-prescribed and shows no feedback by construction.</w:t>
      </w:r>
    </w:p>
    <w:p>
      <w:pPr>
        <w:pStyle w:val="Heading2"/>
      </w:pPr>
      <w:r>
        <w:t>5.5 Sensitivity to the expansion data</w:t>
      </w:r>
    </w:p>
    <w:p>
      <w:pPr>
        <w:spacing w:after="120"/>
        <w:jc w:val="both"/>
      </w:pPr>
      <w:r>
        <w:t>Stress per kelvin is proportional to the thermal-stress vector β = Cα. With the 298 K-like expansion set the mean ellipse peak is 0.063 of the baseline value (0.0737 MPa/K) while the orientation modulation is 29.9% (baseline 29.0%).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6. Discussion and limitations</w:t>
      </w:r>
    </w:p>
    <w:p>
      <w:pPr>
        <w:pStyle w:val="Heading2"/>
      </w:pPr>
      <w:r>
        <w:t>6.1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5.5.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2) turns the pre-registered hypothesis of collapse in Λ into a statement about the size of two corrections (elastic inertia/echo, thermoelastic feedback); the numerical results quantify both.</w:t>
      </w:r>
    </w:p>
    <w:p>
      <w:pPr>
        <w:pStyle w:val="Heading2"/>
      </w:pPr>
      <w:r>
        <w:t>6.2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4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4; the preliminary internal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6.3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7.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frozen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an AI agent (Arena.ai Agent Mode; the underlying models are provided by the service) to review and extend the numerical code and the verification suite, to run and analyse the simulations, and to draft the text and the figures. After using this tool the author(s) reviewed and edited the content as needed and take(s) full responsibility for the content of the publication.</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pStyle w:val="Heading1"/>
      </w:pPr>
      <w:r>
        <w:t>Appendix A. Nomenclature</w:t>
      </w:r>
    </w:p>
    <w:p>
      <w:pPr>
        <w:spacing w:after="120"/>
        <w:jc w:val="both"/>
      </w:pPr>
      <w:r>
        <w:t>The symbols used in this paper are listed in Table 8.</w:t>
      </w:r>
    </w:p>
    <w:p>
      <w:r>
        <w:rPr>
          <w:b/>
          <w:sz w:val="19"/>
        </w:rPr>
        <w:t>Table 8.</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p>
        </w:tc>
        <w:tc>
          <w:tcPr>
            <w:tcW w:type="dxa" w:w="5616"/>
          </w:tcPr>
          <w:p>
            <w:r/>
            <w:r>
              <w:rPr>
                <w:sz w:val="17"/>
              </w:rPr>
              <w:t>orientation modulation (max − min)/mean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w:t>
            </w:r>
          </w:p>
        </w:tc>
        <w:tc>
          <w:tcPr>
            <w:tcW w:type="dxa" w:w="5616"/>
          </w:tcPr>
          <w:p>
            <w:r/>
            <w:r>
              <w:rPr>
                <w:sz w:val="17"/>
              </w:rPr>
              <w:t>radial integral of θ in Eq. (2)</w:t>
            </w:r>
          </w:p>
        </w:tc>
        <w:tc>
          <w:tcPr>
            <w:tcW w:type="dxa" w:w="1872"/>
          </w:tcPr>
          <w:p>
            <w:r/>
            <w:r>
              <w:rPr>
                <w:sz w:val="17"/>
              </w:rPr>
              <w:t>K m²</w:t>
            </w:r>
          </w:p>
        </w:tc>
      </w:tr>
      <w:tr>
        <w:tc>
          <w:tcPr>
            <w:tcW w:type="dxa" w:w="1872"/>
          </w:tcPr>
          <w:p>
            <w:r/>
            <w:r>
              <w:rPr>
                <w:sz w:val="17"/>
              </w:rPr>
              <w:t>λ, μ, m, γ</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w:t>
            </w:r>
          </w:p>
        </w:tc>
        <w:tc>
          <w:tcPr>
            <w:tcW w:type="dxa" w:w="1872"/>
          </w:tcPr>
          <w:p>
            <w:r/>
            <w:r>
              <w:rPr>
                <w:sz w:val="17"/>
              </w:rPr>
              <w:t>Pa, Pa, Pa, Pa/K</w:t>
            </w:r>
          </w:p>
        </w:tc>
      </w:tr>
      <w:tr>
        <w:tc>
          <w:tcPr>
            <w:tcW w:type="dxa" w:w="1872"/>
          </w:tcPr>
          <w:p>
            <w:r/>
            <w:r>
              <w:rPr>
                <w:sz w:val="17"/>
              </w:rPr>
              <w:t>C̄ = C</w:t>
            </w:r>
            <w:r>
              <w:rPr>
                <w:sz w:val="17"/>
                <w:vertAlign w:val="subscript"/>
              </w:rPr>
              <w:t>33</w:t>
            </w:r>
          </w:p>
        </w:tc>
        <w:tc>
          <w:tcPr>
            <w:tcW w:type="dxa" w:w="5616"/>
          </w:tcPr>
          <w:p>
            <w:r/>
            <w:r>
              <w:rPr>
                <w:sz w:val="17"/>
              </w:rPr>
              <w:t>stiffness scale of the feedback number δ</w:t>
            </w:r>
          </w:p>
        </w:tc>
        <w:tc>
          <w:tcPr>
            <w:tcW w:type="dxa" w:w="1872"/>
          </w:tcPr>
          <w:p>
            <w:r/>
            <w:r>
              <w:rPr>
                <w:sz w:val="17"/>
              </w:rPr>
              <w:t>Pa</w:t>
            </w:r>
          </w:p>
        </w:tc>
      </w:tr>
      <w:tr>
        <w:tc>
          <w:tcPr>
            <w:tcW w:type="dxa" w:w="1872"/>
          </w:tcPr>
          <w:p>
            <w:r/>
            <w:r>
              <w:rPr>
                <w:sz w:val="17"/>
              </w:rPr>
              <w:t>g(s)</w:t>
            </w:r>
          </w:p>
        </w:tc>
        <w:tc>
          <w:tcPr>
            <w:tcW w:type="dxa" w:w="5616"/>
          </w:tcPr>
          <w:p>
            <w:r/>
            <w:r>
              <w:rPr>
                <w:sz w:val="17"/>
              </w:rPr>
              <w:t>conduction kernel: 1 (Fourier); 1/(1 + sτ) (CV); two-term (MCV3, exploratory)</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