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exploratory variant. The single-pulse response is obtained from a frequency-domain finite-difference solver by Bromwich inversion on a shifted contour, verified against exact and independent solutions (peak error 0.08% at the finest grid, second order). The peak wall stress is orientation-invariant to round-off: 0.854 MPa/K for the circle. The ellipse converts crystal orientation into a peak-stress modulation of 28.7% on the extrapolated sweep (29.9% on the production grid) with numerical uncertainty 1.3 percentage points; single-parameter ablations on the production grid attribute the modulation to competing expansion and stiffness anisotropy, conductivity anisotropy being minor. Thermal memory (hypothetical relaxation times to 20 ps) changes the circular-cavity wall-stress history by at most 6.4% (1.6% at 10 nm and larger) and the peak (dynamic and quasi-static variants) by at most 1.4% (1.0% among dynamic runs); the residual size dependence is a quasi-static collapse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[6], and hole-shape effects have been studied in perforated composite plates [7]; boundary-element methods treat holes in general anisotropic discs and planes [8,9]; coated elliptic holes in uniform heat flow have been analysed by complex-variable methods [10] and dual-phase-lag boundary-element formulations for anisotropic media have been developed [11]. The generalised-thermoelasticity studies [4,5,6]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[12] and its generalisations to a finite heat-wave speed are the framework for transient problems: the Lord–Shulman theory with one relaxation time [13] and its extension to anisotropic media with a uniqueness theorem [14]; the general theory of heat conduction with a memory kernel and finite wave speeds is due to Gurtin and Pipkin [15]; dual-phase-lag formulations [16], and later classifications of generalised heat-conduction and thermoelastic-coupling models [17,18]. Monoclinic β-Ga₂O₃ is an ultra-wide-band-gap semiconductor whose elastic [19], thermal-conductivity [20] and thermal-expansion [21,22] tensors are all strongly anisotropic; its room-temperature elastic constants are well characterised [19] and its conductivity tensor has an off-diagonal component in the a–c plane [20], so that crystal orientation, cavity shape and heat-conduction law can interact. The device context and the growth of bulk single crystals of the material are reviewed in [23,24].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[12]);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[13,14])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spacing w:after="120"/>
        <w:jc w:val="both"/>
      </w:pPr>
      <w:r>
        <w:t>The class is the kinematic plane strain: the fields are independent of x_2 and u_2 = 0. For a monoclinic crystal with the unique axis normal to the plane the out-of-plane shear stresses σ₁₂ and σ₂₃ vanish identically for every in-plane strain, so no relaxation step is needed to make the constraint admissible and σ₂₂ enters as a reaction, not as a boundary condition. The distinction is stated because the alternative convention — generalised plane strain, σ₂₂ = 0 — is not equivalent here: it would change the plane-strain block Q by 13.7% and the thermal-stress vector β by 37.2% at the parameters of Table 4, so the class is stated explicitly and the solver is built on the constraint, not on the stress.</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[12]).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[15], a restriction stated there for a memory kernel rather than for a single relaxation time; the two-relaxation-time kernel of Section 2.5 is positive-real for the same reason but is not derived from a free energy, which is why it is carried as an exploratory variant only. Theories with two relaxation times [25,26,27] and the reviews of hyperbolic and generalised conduction [17,18,28,29,30,31]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[32,33,34]).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[19]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carried by a superseded version of this analysis, which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[35,36,37,38], the two-relaxation-time form is the two-term version of the multi-phase-lag kernels [39], and general presentations of the theories are given in [28,40,41].</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w:t>
      </w:r>
      <w:r>
        <w:rPr>
          <w:vertAlign w:val="superscript"/>
        </w:rPr>
        <w:t>2</w:t>
      </w:r>
      <w:r>
        <w:t>/(ρc</w:t>
      </w:r>
      <w:r>
        <w:rPr>
          <w:vertAlign w:val="subscript"/>
        </w:rPr>
        <w:t>p</w:t>
      </w:r>
      <w:r>
        <w:t>C̄) = 1.078×10</w:t>
      </w:r>
      <w:r>
        <w:rPr>
          <w:vertAlign w:val="superscript"/>
        </w:rPr>
        <w:t>−3</w:t>
      </w:r>
      <w:r>
        <w:t>, where C̄ = C</w:t>
      </w:r>
      <w:r>
        <w:rPr>
          <w:vertAlign w:val="subscript"/>
        </w:rPr>
        <w:t>33</w:t>
      </w:r>
      <w:r>
        <w:t xml:space="preserve"> is the stiffness scale of the plane-strain block and the norm in 33 is formed from the in-plane triple (β₁₁, β₃₃, β₁₃) with the shear slot weighted by 2, the same triple that enters the thermal-stress scale γ_T of Section 3; the full tensor contraction β:β would give 1.717×10</w:t>
      </w:r>
      <w:r>
        <w:rPr>
          <w:vertAlign w:val="superscript"/>
        </w:rPr>
        <w:t>−3</w:t>
      </w:r>
      <w:r>
        <w:t>, a factor 1.59 larger, because it also counts the out-of-plane component β₂₂ that the plane-strain class never uses. The triple norm is the in-plane part of the tensor contraction and is therefore invariant under in-plane rotation of the crystal (relative spread 2e-15 over the 360-orientation lattice), so δ is a material constant of this model and not a directional statistic; it is still only an order-of-magnitude criterion for Section 3.4, and the convention is stated for that reason.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9347" cy="326441"/>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9347" cy="326441"/>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[19]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[20]</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[21]; at 298 K the synchrotron data [22]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[20]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[42];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[43])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fixed in the design note before the production runs</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where CV and F denote the Cattaneo–Vernotte (single-relaxation-time) and Fourier responses,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[44] and are reviewed in [45]):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[46,47].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whose mean wall temperature is t</w:t>
      </w:r>
      <w:r>
        <w:rPr>
          <w:vertAlign w:val="subscript"/>
        </w:rPr>
        <w:t>w</w:t>
      </w:r>
      <w:r>
        <w:t>√π/T = 0.106 of the peak for the parameters above; that mean drives a steady temperature profile out to the outer boundary and adds a static clamped-boundary stress, so the answer is not the single-pulse response this study asks about.</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xml:space="preserve"> for the baseline pulse width t</w:t>
      </w:r>
      <w:r>
        <w:rPr>
          <w:vertAlign w:val="subscript"/>
        </w:rPr>
        <w:t>w</w:t>
      </w:r>
      <w:r>
        <w:t xml:space="preserve"> = 1.2 t</w:t>
      </w:r>
      <w:r>
        <w:rPr>
          <w:vertAlign w:val="subscript"/>
        </w:rPr>
        <w:t>th</w:t>
      </w:r>
      <w:r>
        <w:t>, comfortably beyond the window 0 ≤ t ≤ 6 t</w:t>
      </w:r>
      <w:r>
        <w:rPr>
          <w:vertAlign w:val="subscript"/>
        </w:rPr>
        <w:t>th</w:t>
      </w:r>
      <w:r>
        <w:t xml:space="preserve"> of the quantities of interest. The bound is checked against the stored series of every production run, not only estimated: the reconstructed wall temperature deviates from the imposed Gaussian by at most 1.0e-10 anywhere in 0 ≤ t ≤ 6 t</w:t>
      </w:r>
      <w:r>
        <w:rPr>
          <w:vertAlign w:val="subscript"/>
        </w:rPr>
        <w:t>th</w:t>
      </w:r>
      <w:r>
        <w:t>; over the whole stored window 0 ≤ t ≤ 12 t</w:t>
      </w:r>
      <w:r>
        <w:rPr>
          <w:vertAlign w:val="subscript"/>
        </w:rPr>
        <w:t>th</w:t>
      </w:r>
      <w:r>
        <w:t xml:space="preserve"> the worst case for t</w:t>
      </w:r>
      <w:r>
        <w:rPr>
          <w:vertAlign w:val="subscript"/>
        </w:rPr>
        <w:t>w</w:t>
      </w:r>
      <w:r>
        <w:t xml:space="preserve"> = 1.2 is 3.2e-01, while the widest pulse used in the locality test (t</w:t>
      </w:r>
      <w:r>
        <w:rPr>
          <w:vertAlign w:val="subscript"/>
        </w:rPr>
        <w:t>w</w:t>
      </w:r>
      <w:r>
        <w:t xml:space="preserve"> = 2.4 t</w:t>
      </w:r>
      <w:r>
        <w:rPr>
          <w:vertAlign w:val="subscript"/>
        </w:rPr>
        <w:t>th</w:t>
      </w:r>
      <w:r>
        <w:t>) is the one case whose image term enters inside the stored window (3.2e-01 at t = 12 t</w:t>
      </w:r>
      <w:r>
        <w:rPr>
          <w:vertAlign w:val="subscript"/>
        </w:rPr>
        <w:t>th</w:t>
      </w:r>
      <w:r>
        <w:t>), so that test is read only for peak values, which lie well inside the reported window.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the imposed wall temperature is then not a single pulse but a train with a nonzero mean of t</w:t>
      </w:r>
      <w:r>
        <w:rPr>
          <w:vertAlign w:val="subscript"/>
        </w:rPr>
        <w:t>w</w:t>
      </w:r>
      <w:r>
        <w:t>√π/T = 0.106 of its peak, a steady temperature profile reaches the outer boundary, and the clamped boundary adds a static stress. The question posed in Section 1 is the response to one isolated pulse, which is why the inversion of Eq. (74) is used instead of a windowed Fourier synthesis of the sampled history.</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[48,49,50,51,52]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detection criterion for the modulation, fixed before the production runs, is A</w:t>
      </w:r>
      <w:r>
        <w:rPr>
          <w:vertAlign w:val="subscript"/>
        </w:rPr>
        <w:t>φ</w:t>
      </w:r>
      <w:r>
        <w:t xml:space="preserve"> &gt; max(5u</w:t>
      </w:r>
      <w:r>
        <w:rPr>
          <w:vertAlign w:val="subscript"/>
        </w:rPr>
        <w:t>num</w:t>
      </w:r>
      <w:r>
        <w:t>, 2%). Following the extrapolation of Eq. (82) goes back to Richardson and Gaunt [53], and in the standard terminology of the verification literature [54,55],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assistance of generative-AI coding tools; this is the research-process use referred to in the declaration before the references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(27 passed, 0 failed, 1 exploratory). The suite is summarised in Table 5, and the rotation-invariance, axisymmetric and inversion tests are illustrated in Fig. 2. One inherited absolute threshold is exceeded on a grid that is not used for any reported result: at 96×48 with χ = 2 the metric error is 5.028e-03 against the threshold 5e-03 (a 0.6% exceedance of a bound calibrated on that demonstration grid), while the same sequence converges at the expected second order and satisfies the threshold at the production grid; the coarse-grid value is reported in Table 5 rather than suppressed, and the convergence order is asserted as its own case (V0b).</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of the mapped grid (linear field)</w:t>
            </w:r>
          </w:p>
        </w:tc>
        <w:tc>
          <w:tcPr>
            <w:tcW w:type="dxa" w:w="2304"/>
          </w:tcPr>
          <w:p>
            <w:r/>
            <w:r>
              <w:rPr>
                <w:sz w:val="17"/>
              </w:rPr>
              <w:t>order ≥ 1.9 and ≤ 5×10</w:t>
            </w:r>
            <w:r>
              <w:rPr>
                <w:sz w:val="17"/>
                <w:vertAlign w:val="superscript"/>
              </w:rPr>
              <w:t>−3</w:t>
            </w:r>
            <w:r>
              <w:rPr>
                <w:sz w:val="17"/>
              </w:rPr>
              <w:t xml:space="preserve"> at 192×96</w:t>
            </w:r>
          </w:p>
        </w:tc>
        <w:tc>
          <w:tcPr>
            <w:tcW w:type="dxa" w:w="3744"/>
          </w:tcPr>
          <w:p>
            <w:r/>
            <w:r>
              <w:rPr>
                <w:sz w:val="17"/>
              </w:rPr>
              <w:t>production grid 192×96: ≤ 1.3e-03; observed order 1.96–2.00 on refinement (asserted separately as V0b); the inherited absolute threshold 5e-03 is exceeded by 0.6% at the demonstration grid 96×48 with χ = 2 (5.028e-03); that grid is not used for any reported result</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[54]: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detection threshold max(5u</w:t>
      </w:r>
      <w:r>
        <w:rPr>
          <w:vertAlign w:val="subscript"/>
        </w:rPr>
        <w:t>num</w:t>
      </w:r>
      <w:r>
        <w:t>, 2%) = 6.56%, and the modulation is therefore resolvable (T4). At matched grids the mean ellipse peak on grid M is 1.396 of the circle peak on the same grid (0.854 MPa/K), and the extremes of the 12-orientation sweep are 1.132 and 1.549 of it; comparing the two extrapolated sequences gives 1.373. The orientation of the crystal changes the ellipse peak by a factor of 1.369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a superseded version of the analysis (periodic-pulse synthesis, rotation-tensor sign error, coarser wall mesh) compared with this work, kept to show what the recomputation changed.</w:t>
      </w:r>
    </w:p>
    <w:p>
      <w:pPr>
        <w:spacing w:after="120"/>
        <w:jc w:val="both"/>
      </w:pPr>
      <w:r>
        <w:t>With isotropic stiffness, conductivity and expansion the ellipse is orientation-independent by symmetry and its peak is 1.494 MPa/K (extrapolated; 1.501 on grid M), 1.530 times the isotropic circle (both on grid 96×96):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(both on grid 96×96),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[22]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70% of the baseline, removing the stiffness anisotropy changes it to 152%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at six orientations φ = 0, 30, …, 150°. The unlabelled rows are on grid 96×96 (production); rows labelled (grid 96×48) are the coarser set retained from the earlier design, kept for continuity. A variant is always compared with the baseline of the same grid.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30.1%</w:t>
            </w:r>
          </w:p>
        </w:tc>
        <w:tc>
          <w:tcPr>
            <w:tcW w:type="dxa" w:w="2160"/>
          </w:tcPr>
          <w:p>
            <w:r/>
            <w:r>
              <w:rPr>
                <w:sz w:val="17"/>
              </w:rPr>
              <w:t>1.1845</w:t>
            </w:r>
          </w:p>
        </w:tc>
        <w:tc>
          <w:tcPr>
            <w:tcW w:type="dxa" w:w="1728"/>
          </w:tcPr>
          <w:p>
            <w:r/>
            <w:r>
              <w:rPr>
                <w:sz w:val="17"/>
              </w:rPr>
              <w:t>1.000</w:t>
            </w:r>
          </w:p>
        </w:tc>
      </w:tr>
      <w:tr>
        <w:tc>
          <w:tcPr>
            <w:tcW w:type="dxa" w:w="3744"/>
          </w:tcPr>
          <w:p>
            <w:r/>
            <w:r>
              <w:rPr>
                <w:sz w:val="17"/>
              </w:rPr>
              <w:t>full anisotropy (baseline, grid 96×48)</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28.1%</w:t>
            </w:r>
          </w:p>
        </w:tc>
        <w:tc>
          <w:tcPr>
            <w:tcW w:type="dxa" w:w="2160"/>
          </w:tcPr>
          <w:p>
            <w:r/>
            <w:r>
              <w:rPr>
                <w:sz w:val="17"/>
              </w:rPr>
              <w:t>1.1746</w:t>
            </w:r>
          </w:p>
        </w:tc>
        <w:tc>
          <w:tcPr>
            <w:tcW w:type="dxa" w:w="1728"/>
          </w:tcPr>
          <w:p>
            <w:r/>
            <w:r>
              <w:rPr>
                <w:sz w:val="17"/>
              </w:rPr>
              <w:t>0.992</w:t>
            </w:r>
          </w:p>
        </w:tc>
      </w:tr>
      <w:tr>
        <w:tc>
          <w:tcPr>
            <w:tcW w:type="dxa" w:w="3744"/>
          </w:tcPr>
          <w:p>
            <w:r/>
            <w:r>
              <w:rPr>
                <w:sz w:val="17"/>
              </w:rPr>
              <w:t>isotropic conductivity (grid 96×48)</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1.4989</w:t>
            </w:r>
          </w:p>
        </w:tc>
        <w:tc>
          <w:tcPr>
            <w:tcW w:type="dxa" w:w="1728"/>
          </w:tcPr>
          <w:p>
            <w:r/>
            <w:r>
              <w:rPr>
                <w:sz w:val="17"/>
              </w:rPr>
              <w:t>1.266</w:t>
            </w:r>
          </w:p>
        </w:tc>
      </w:tr>
      <w:tr>
        <w:tc>
          <w:tcPr>
            <w:tcW w:type="dxa" w:w="3744"/>
          </w:tcPr>
          <w:p>
            <w:r/>
            <w:r>
              <w:rPr>
                <w:sz w:val="17"/>
              </w:rPr>
              <w:t>isotropic stiffness (grid 96×48)</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21.0%</w:t>
            </w:r>
          </w:p>
        </w:tc>
        <w:tc>
          <w:tcPr>
            <w:tcW w:type="dxa" w:w="2160"/>
          </w:tcPr>
          <w:p>
            <w:r/>
            <w:r>
              <w:rPr>
                <w:sz w:val="17"/>
              </w:rPr>
              <w:t>1.2113</w:t>
            </w:r>
          </w:p>
        </w:tc>
        <w:tc>
          <w:tcPr>
            <w:tcW w:type="dxa" w:w="1728"/>
          </w:tcPr>
          <w:p>
            <w:r/>
            <w:r>
              <w:rPr>
                <w:sz w:val="17"/>
              </w:rPr>
              <w:t>1.023</w:t>
            </w:r>
          </w:p>
        </w:tc>
      </w:tr>
      <w:tr>
        <w:tc>
          <w:tcPr>
            <w:tcW w:type="dxa" w:w="3744"/>
          </w:tcPr>
          <w:p>
            <w:r/>
            <w:r>
              <w:rPr>
                <w:sz w:val="17"/>
              </w:rPr>
              <w:t>isotropic expansion (mean α) (grid 96×48)</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[22]</w:t>
            </w:r>
          </w:p>
        </w:tc>
        <w:tc>
          <w:tcPr>
            <w:tcW w:type="dxa" w:w="1872"/>
          </w:tcPr>
          <w:p>
            <w:r/>
            <w:r>
              <w:rPr>
                <w:sz w:val="17"/>
              </w:rPr>
              <w:t>31.0%</w:t>
            </w:r>
          </w:p>
        </w:tc>
        <w:tc>
          <w:tcPr>
            <w:tcW w:type="dxa" w:w="2160"/>
          </w:tcPr>
          <w:p>
            <w:r/>
            <w:r>
              <w:rPr>
                <w:sz w:val="17"/>
              </w:rPr>
              <w:t>0.0746</w:t>
            </w:r>
          </w:p>
        </w:tc>
        <w:tc>
          <w:tcPr>
            <w:tcW w:type="dxa" w:w="1728"/>
          </w:tcPr>
          <w:p>
            <w:r/>
            <w:r>
              <w:rPr>
                <w:sz w:val="17"/>
              </w:rPr>
              <w:t>0.063</w:t>
            </w:r>
          </w:p>
        </w:tc>
      </w:tr>
      <w:tr>
        <w:tc>
          <w:tcPr>
            <w:tcW w:type="dxa" w:w="3744"/>
          </w:tcPr>
          <w:p>
            <w:r/>
            <w:r>
              <w:rPr>
                <w:sz w:val="17"/>
              </w:rPr>
              <w:t>expansion set of the 298 K-like data [22] (grid 96×48)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criterion 5δ = 5.39e-03, which the measurement satisfies by a factor 8.7;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(variant and baseline both on grid 96×96 (production)) the mean ellipse peak is 0.063 of the baseline value (0.0746 MPa/K) while the orientation modulation is 31.0% (baseline 30.1%).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hypothesis of collapse in Λ, fixed before the runs,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[43];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[42], 560 used) and enters only the time scale; the thermal-expansion coefficients are uncertain by more than an order of magnitude at 298 K [21,22];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a superseded preliminary version of the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the archived manifest `CODE_FREEZE_v2_gate.json` (its own digest feab48880c3c1359)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Code state.</w:t>
      </w:r>
      <w:r>
        <w:t xml:space="preserve"> The two archived manifests date from 2026-10-01; since they were taken, 7 of the 15 entries of `CODE_FREEZE_v2_gate.json` (cg_bromwich.py, cg_pipeline.py, run_tests.py, analyze_v2.py, make_figures.py, production_matrix.py and run_production_v2.py) have been edited, so the digests recorded for them no longer describe the code. The pipeline was re-run end to end with the code as it now stands and compared with the archived results (`15_Audits/RERUN_COMPARISON.md`): every production run reproduces its archived quantity of interest to zero relative difference and only wall-clock timings differ. On 2026-10-03 the analysis layer was re-run over all 175 stored runs: every pre-existing quantity of `ANALYSIS_V2.json` came out identical (the only value that moves is the number of runs covered), the eight figures and the five archived CSV tables are byte-identical to the archived files, and one further CSV (the ablation set at the production grid) is added. A full production job re-solved in a different build — Python 3.11.2 with NumPy 2.4.6 instead of 3.13.14/2.3.5 — reproduces its stored peak wall stress to 2.7×10⁻¹⁶ relative, i.e. one unit in the last place; the reconstruction of the wall temperature stays within 1.0×10⁻¹⁰ of the imposed pulse over the reported window for every run. Two refreshed manifests record the current code: `CODE_FREEZE_submission_2026_10_03h.json` (27 files, taken before this verification pass) and `CODE_FREEZE_submission_2026_10_03i.json` (0ba1ca29975ffd70, 27 files, all 27 byte-identical to the code as submitted); the second is the one to deposit with the data package, and the earlier manifests are kept unchanged as history.</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(175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sources (13_Manuscript) and the verification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 scripts)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Acknowledgements</w:t>
      </w:r>
    </w:p>
    <w:p>
      <w:pPr>
        <w:spacing w:after="120"/>
        <w:jc w:val="both"/>
      </w:pPr>
      <w:r>
        <w:t>[AUTHOR INPUT REQUIRED: acknowledge any funding, technical help or computing facilities not already named in the Funding statement; omit this section if there is nothing to acknowledge.]</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whose contents are fixed by the SHA-256 code freeze `CODE_FREEZE_submission_2026_10_03i.json` described in Section 9.1. The package will be deposited in a public repository under the persistent identifier recorded at submission [PUBLIC REPOSITORY/DOI TO BE INSERTED].</w:t>
      </w:r>
    </w:p>
    <w:p>
      <w:pPr>
        <w:spacing w:after="120"/>
        <w:jc w:val="both"/>
      </w:pPr>
      <w:r>
        <w:rPr>
          <w:b/>
        </w:rPr>
        <w:t>Declaration of Generative AI and AI-assisted technologies in the writing process.</w:t>
      </w:r>
      <w:r>
        <w:t xml:space="preserve"> During the preparation of this work the author(s) used a generative-AI assistant (Arena.ai Agent Mode) in order to draft and revise the text and the figure captions, and to check the internal consistency of the manuscript, the calculation companion and the tables. After using this tool the author(s) reviewed and edited the content as needed and take(s) full responsibility for the content of the publication. The research-process use of the same class of tool - reviewing and extending the numerical code and the verification suite, and running the simulations - is recorded with the numerical-methods section, as the journal policy directs. No AI tool generated a physical result and no AI tool produced or selected any number reported here; no AI tool acted without the author(s)' review, and no AI tool is an author or is cited as a source.</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Abbas, I., Marin, M., Hobiny, A., Vlase, S. Thermal Conductivity Study of an Orthotropic Medium Containing a Cylindrical Cavity. Symmetry, 14(11), 2387 (2022). https://doi.org/10.3390/sym14112387</w:t>
      </w:r>
    </w:p>
    <w:p>
      <w:pPr>
        <w:spacing w:after="40"/>
        <w:ind w:left="432" w:hanging="432"/>
      </w:pPr>
      <w:r>
        <w:rPr>
          <w:sz w:val="19"/>
        </w:rPr>
        <w:t>[7]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[11]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[12] Biot, M.A. Thermoelasticity and Irreversible Thermodynamics. Journal of Applied Physics, 27(3), 240-253 (1956). https://doi.org/10.1063/1.1722351</w:t>
      </w:r>
    </w:p>
    <w:p>
      <w:pPr>
        <w:spacing w:after="40"/>
        <w:ind w:left="432" w:hanging="432"/>
      </w:pPr>
      <w:r>
        <w:rPr>
          <w:sz w:val="19"/>
        </w:rPr>
        <w:t>[13] Lord, H.W., Shulman, Y. A generalized dynamical theory of thermoelasticity. Journal of the Mechanics and Physics of Solids, 15(5), 299-309 (1967). https://doi.org/10.1016/0022-5096(67)90024-5</w:t>
      </w:r>
    </w:p>
    <w:p>
      <w:pPr>
        <w:spacing w:after="40"/>
        <w:ind w:left="432" w:hanging="432"/>
      </w:pPr>
      <w:r>
        <w:rPr>
          <w:sz w:val="19"/>
        </w:rPr>
        <w:t>[14] Dhaliwal, R.S., Sherief, H.H. Generalized thermoelasticity for anisotropic media. Quarterly of Applied Mathematics, 38(1), 1-8 (1980). https://doi.org/10.1090/qam/575828</w:t>
      </w:r>
    </w:p>
    <w:p>
      <w:pPr>
        <w:spacing w:after="40"/>
        <w:ind w:left="432" w:hanging="432"/>
      </w:pPr>
      <w:r>
        <w:rPr>
          <w:sz w:val="19"/>
        </w:rPr>
        <w:t>[15] Gurtin, M.E., Pipkin, A.C. A general theory of heat conduction with finite wave speeds. Archive for Rational Mechanics and Analysis, 31(2), 113-126 (1968). https://doi.org/10.1007/BF00281373</w:t>
      </w:r>
    </w:p>
    <w:p>
      <w:pPr>
        <w:spacing w:after="40"/>
        <w:ind w:left="432" w:hanging="432"/>
      </w:pPr>
      <w:r>
        <w:rPr>
          <w:sz w:val="19"/>
        </w:rPr>
        <w:t>[16] Tzou, D.Y. A Unified Field Approach for Heat Conduction From Macro- to Micro-Scales. Journal of Heat Transfer, 117(1), 8-16 (1995). https://doi.org/10.1115/1.2822329</w:t>
      </w:r>
    </w:p>
    <w:p>
      <w:pPr>
        <w:spacing w:after="40"/>
        <w:ind w:left="432" w:hanging="432"/>
      </w:pPr>
      <w:r>
        <w:rPr>
          <w:sz w:val="19"/>
        </w:rPr>
        <w:t>[17] Chandrasekharaiah, D.S. Hyperbolic Thermoelasticity: A Review of Recent Literature. Applied Mechanics Reviews, 51(12), 705-729 (1998). https://doi.org/10.1115/1.3098984</w:t>
      </w:r>
    </w:p>
    <w:p>
      <w:pPr>
        <w:spacing w:after="40"/>
        <w:ind w:left="432" w:hanging="432"/>
      </w:pPr>
      <w:r>
        <w:rPr>
          <w:sz w:val="19"/>
        </w:rPr>
        <w:t>[18] Huang, Y., Yan, L., Wu, H., Yu, Y. New insights on generalized heat conduction and thermoelastic coupling models. Applied Mathematics and Mechanics, 46(8), 1533-1550 (2025). https://doi.org/10.1007/s10483-025-3280-7</w:t>
      </w:r>
    </w:p>
    <w:p>
      <w:pPr>
        <w:spacing w:after="40"/>
        <w:ind w:left="432" w:hanging="432"/>
      </w:pPr>
      <w:r>
        <w:rPr>
          <w:sz w:val="19"/>
        </w:rPr>
        <w:t>[19] Adachi, K., Ogi, H., Takeuchi, N., Nakamura, N., Watanabe, H., Ito, T., et al. Unusual elasticity of monoclinic β-Ga2O3. Journal of Applied Physics, 124(8), 085102 (2018). https://doi.org/10.1063/1.5047017</w:t>
      </w:r>
    </w:p>
    <w:p>
      <w:pPr>
        <w:spacing w:after="40"/>
        <w:ind w:left="432" w:hanging="432"/>
      </w:pPr>
      <w:r>
        <w:rPr>
          <w:sz w:val="19"/>
        </w:rPr>
        <w:t>[20]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[21] Orlandi, F., Mezzadri, F., Calestani, G., Boschi, F., Fornari, R. Thermal expansion coefficients of β-Ga2O3 single crystals. Applied Physics Express, 8(11), 111101 (2015). https://doi.org/10.7567/apex.8.111101</w:t>
      </w:r>
    </w:p>
    <w:p>
      <w:pPr>
        <w:spacing w:after="40"/>
        <w:ind w:left="432" w:hanging="432"/>
      </w:pPr>
      <w:r>
        <w:rPr>
          <w:sz w:val="19"/>
        </w:rPr>
        <w:t>[22]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[23] Pearton, S.J., Yang, J., Cary, P.H., Ren, F., Kim, J., Tadjer, M.J., et al. A review of Ga2O3 materials, processing, and devices. Applied Physics Reviews, 5(1), 011301 (2018). https://doi.org/10.1063/1.5006941</w:t>
      </w:r>
    </w:p>
    <w:p>
      <w:pPr>
        <w:spacing w:after="40"/>
        <w:ind w:left="432" w:hanging="432"/>
      </w:pPr>
      <w:r>
        <w:rPr>
          <w:sz w:val="19"/>
        </w:rPr>
        <w:t>[24] Galazka, Z. Growth of bulk β-Ga2O3 single crystals by the Czochralski method. Journal of Applied Physics, 131(3), 031103 (2022). https://doi.org/10.1063/5.0076962</w:t>
      </w:r>
    </w:p>
    <w:p>
      <w:pPr>
        <w:spacing w:after="40"/>
        <w:ind w:left="432" w:hanging="432"/>
      </w:pPr>
      <w:r>
        <w:rPr>
          <w:sz w:val="19"/>
        </w:rPr>
        <w:t>[25] Green, A.E., Lindsay, K.A. Thermoelasticity. Journal of Elasticity, 2(1), 1-7 (1972). https://doi.org/10.1007/BF00045689</w:t>
      </w:r>
    </w:p>
    <w:p>
      <w:pPr>
        <w:spacing w:after="40"/>
        <w:ind w:left="432" w:hanging="432"/>
      </w:pPr>
      <w:r>
        <w:rPr>
          <w:sz w:val="19"/>
        </w:rPr>
        <w:t>[26] Green, A.E., Naghdi, P.M. Thermoelasticity without energy dissipation. Journal of Elasticity, 31(3), 189-208 (1993). https://doi.org/10.1007/BF00044969</w:t>
      </w:r>
    </w:p>
    <w:p>
      <w:pPr>
        <w:spacing w:after="40"/>
        <w:ind w:left="432" w:hanging="432"/>
      </w:pPr>
      <w:r>
        <w:rPr>
          <w:sz w:val="19"/>
        </w:rPr>
        <w:t>[27] Hetnarski, R.B., Ignaczak, J. GENERALIZED THERMOELASTICITY: CLOSED-FORM SOLUTIONS. Journal of Thermal Stresses, 16(4), 473-498 (1993). https://doi.org/10.1080/01495739308946241</w:t>
      </w:r>
    </w:p>
    <w:p>
      <w:pPr>
        <w:spacing w:after="40"/>
        <w:ind w:left="432" w:hanging="432"/>
      </w:pPr>
      <w:r>
        <w:rPr>
          <w:sz w:val="19"/>
        </w:rPr>
        <w:t>[28] Ignaczak, J., Ostoja-Starzewski, M. Thermoelasticity with Finite Wave Speeds. Oxford University Press (2009). https://doi.org/10.1093/acprof:oso/9780199541645.001.0001</w:t>
      </w:r>
    </w:p>
    <w:p>
      <w:pPr>
        <w:spacing w:after="40"/>
        <w:ind w:left="432" w:hanging="432"/>
      </w:pPr>
      <w:r>
        <w:rPr>
          <w:sz w:val="19"/>
        </w:rPr>
        <w:t>[29] Straughan, B. Heat Waves. Springer, Applied Mathematical Sciences (2011). https://doi.org/10.1007/978-1-4614-0493-4</w:t>
      </w:r>
    </w:p>
    <w:p>
      <w:pPr>
        <w:spacing w:after="40"/>
        <w:ind w:left="432" w:hanging="432"/>
      </w:pPr>
      <w:r>
        <w:rPr>
          <w:sz w:val="19"/>
        </w:rPr>
        <w:t>[30] Chandrasekharaiah, D.S. Thermoelasticity with Second Sound: A Review. Applied Mechanics Reviews, 39(3), 355-376 (1986). https://doi.org/10.1115/1.3143705</w:t>
      </w:r>
    </w:p>
    <w:p>
      <w:pPr>
        <w:spacing w:after="40"/>
        <w:ind w:left="432" w:hanging="432"/>
      </w:pPr>
      <w:r>
        <w:rPr>
          <w:sz w:val="19"/>
        </w:rPr>
        <w:t>[31] Joseph, D.D., Preziosi, L. Heat waves. Reviews of Modern Physics, 61(1), 41-73 (1989). https://doi.org/10.1103/RevModPhys.61.41</w:t>
      </w:r>
    </w:p>
    <w:p>
      <w:pPr>
        <w:spacing w:after="40"/>
        <w:ind w:left="432" w:hanging="432"/>
      </w:pPr>
      <w:r>
        <w:rPr>
          <w:sz w:val="19"/>
        </w:rPr>
        <w:t>[32] Ting, T.T.C. Anisotropic Elasticity. Oxford University Press (1996). https://doi.org/10.1093/oso/9780195074475.001.0001</w:t>
      </w:r>
    </w:p>
    <w:p>
      <w:pPr>
        <w:spacing w:after="40"/>
        <w:ind w:left="432" w:hanging="432"/>
      </w:pPr>
      <w:r>
        <w:rPr>
          <w:sz w:val="19"/>
        </w:rPr>
        <w:t>[33] Hwu, C. Anisotropic Elastic Plates. Springer (2010). https://doi.org/10.1007/978-1-4419-5915-7</w:t>
      </w:r>
    </w:p>
    <w:p>
      <w:pPr>
        <w:spacing w:after="40"/>
        <w:ind w:left="432" w:hanging="432"/>
      </w:pPr>
      <w:r>
        <w:rPr>
          <w:sz w:val="19"/>
        </w:rPr>
        <w:t>[34] Stroh, A.N. Dislocations and Cracks in Anisotropic Elasticity. Philosophical Magazine, 3(30), 625-646 (1958). https://doi.org/10.1080/14786435808565804</w:t>
      </w:r>
    </w:p>
    <w:p>
      <w:pPr>
        <w:spacing w:after="40"/>
        <w:ind w:left="432" w:hanging="432"/>
      </w:pPr>
      <w:r>
        <w:rPr>
          <w:sz w:val="19"/>
        </w:rPr>
        <w:t>[35] Kaminski, W. Hyperbolic Heat Conduction Equation for Materials With a Nonhomogeneous Inner Structure. Journal of Heat Transfer, 112(3), 555-560 (1990). https://doi.org/10.1115/1.2910422</w:t>
      </w:r>
    </w:p>
    <w:p>
      <w:pPr>
        <w:spacing w:after="40"/>
        <w:ind w:left="432" w:hanging="432"/>
      </w:pPr>
      <w:r>
        <w:rPr>
          <w:sz w:val="19"/>
        </w:rPr>
        <w:t>[36] Chen, G. Ballistic-Diffusive Heat-Conduction Equations. Physical Review Letters, 86(11), 2297-2300 (2001). https://doi.org/10.1103/PhysRevLett.86.2297</w:t>
      </w:r>
    </w:p>
    <w:p>
      <w:pPr>
        <w:spacing w:after="40"/>
        <w:ind w:left="432" w:hanging="432"/>
      </w:pPr>
      <w:r>
        <w:rPr>
          <w:sz w:val="19"/>
        </w:rPr>
        <w:t>[37] Majumdar, A. Microscale Heat Conduction in Dielectric Thin Films. Journal of Heat Transfer, 115(1), 7-16 (1993). https://doi.org/10.1115/1.2910673</w:t>
      </w:r>
    </w:p>
    <w:p>
      <w:pPr>
        <w:spacing w:after="40"/>
        <w:ind w:left="432" w:hanging="432"/>
      </w:pPr>
      <w:r>
        <w:rPr>
          <w:sz w:val="19"/>
        </w:rPr>
        <w:t>[38] Tzou, D.Y. Macro- to Microscale Heat Transfer. Wiley (2014). https://doi.org/10.1002/9781118818275</w:t>
      </w:r>
    </w:p>
    <w:p>
      <w:pPr>
        <w:spacing w:after="40"/>
        <w:ind w:left="432" w:hanging="432"/>
      </w:pPr>
      <w:r>
        <w:rPr>
          <w:sz w:val="19"/>
        </w:rPr>
        <w:t>[39] Roy Choudhuri, S.K. On A Thermoelastic Three-Phase-Lag Model. Journal of Thermal Stresses, 30(3), 231-238 (2007). https://doi.org/10.1080/01495730601130919</w:t>
      </w:r>
    </w:p>
    <w:p>
      <w:pPr>
        <w:spacing w:after="40"/>
        <w:ind w:left="432" w:hanging="432"/>
      </w:pPr>
      <w:r>
        <w:rPr>
          <w:sz w:val="19"/>
        </w:rPr>
        <w:t>[40] Hetnarski, R.B., Eslami, M.R. Thermal Stresses—Advanced Theory and Applications. Springer, Solid Mechanics and Its Applications (2019). https://doi.org/10.1007/978-3-030-10436-8</w:t>
      </w:r>
    </w:p>
    <w:p>
      <w:pPr>
        <w:spacing w:after="40"/>
        <w:ind w:left="432" w:hanging="432"/>
      </w:pPr>
      <w:r>
        <w:rPr>
          <w:sz w:val="19"/>
        </w:rPr>
        <w:t>[41] Eslami, M.R., Hetnarski, R.B., Ignaczak, J., Noda, N., Sumi, N., Tanigawa, Y. Theory of Elasticity and Thermal Stresses. Springer, Solid Mechanics and Its Applications (2013). https://doi.org/10.1007/978-94-007-6356-2</w:t>
      </w:r>
    </w:p>
    <w:p>
      <w:pPr>
        <w:spacing w:after="40"/>
        <w:ind w:left="432" w:hanging="432"/>
      </w:pPr>
      <w:r>
        <w:rPr>
          <w:sz w:val="19"/>
        </w:rPr>
        <w:t>[42]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[43]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[44] Prevost, J.H., Tao, D. Finite Element Analysis of Dynamic Coupled Thermoelasticity Problems With Relaxation Times. Journal of Applied Mechanics, 50(4), 817-822 (1983). https://doi.org/10.1115/1.3167151</w:t>
      </w:r>
    </w:p>
    <w:p>
      <w:pPr>
        <w:spacing w:after="40"/>
        <w:ind w:left="432" w:hanging="432"/>
      </w:pPr>
      <w:r>
        <w:rPr>
          <w:sz w:val="19"/>
        </w:rPr>
        <w:t>[45]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[46] Durbin, F. Numerical Inversion of Laplace Transforms: An Efficient Improvement to Dubner and Abate's Method. The Computer Journal, 17(4), 371-376 (1974). https://doi.org/10.1093/comjnl/17.4.371</w:t>
      </w:r>
    </w:p>
    <w:p>
      <w:pPr>
        <w:spacing w:after="40"/>
        <w:ind w:left="432" w:hanging="432"/>
      </w:pPr>
      <w:r>
        <w:rPr>
          <w:sz w:val="19"/>
        </w:rPr>
        <w:t>[47] Crump, K.S. Numerical Inversion of Laplace Transforms Using a Fourier Series Approximation. Journal of the ACM, 23(1), 89-96 (1976). https://doi.org/10.1145/321921.321931</w:t>
      </w:r>
    </w:p>
    <w:p>
      <w:pPr>
        <w:spacing w:after="40"/>
        <w:ind w:left="432" w:hanging="432"/>
      </w:pPr>
      <w:r>
        <w:rPr>
          <w:sz w:val="19"/>
        </w:rPr>
        <w:t>[48] Davies, B., Martin, B. Numerical inversion of the laplace transform: a survey and comparison of methods. Journal of Computational Physics, 33(1), 1-32 (1979). https://doi.org/10.1016/0021-9991(79)90025-1</w:t>
      </w:r>
    </w:p>
    <w:p>
      <w:pPr>
        <w:spacing w:after="40"/>
        <w:ind w:left="432" w:hanging="432"/>
      </w:pPr>
      <w:r>
        <w:rPr>
          <w:sz w:val="19"/>
        </w:rPr>
        <w:t>[49] Weeks, W.T. Numerical Inversion of Laplace Transforms Using Laguerre Functions. Journal of the ACM, 13(3), 419-429 (1966). https://doi.org/10.1145/321341.321351</w:t>
      </w:r>
    </w:p>
    <w:p>
      <w:pPr>
        <w:spacing w:after="40"/>
        <w:ind w:left="432" w:hanging="432"/>
      </w:pPr>
      <w:r>
        <w:rPr>
          <w:sz w:val="19"/>
        </w:rPr>
        <w:t>[50] Talbot, A. The Accurate Numerical Inversion of Laplace Transforms. IMA Journal of Applied Mathematics, 23(1), 97-120 (1979). https://doi.org/10.1093/imamat/23.1.97</w:t>
      </w:r>
    </w:p>
    <w:p>
      <w:pPr>
        <w:spacing w:after="40"/>
        <w:ind w:left="432" w:hanging="432"/>
      </w:pPr>
      <w:r>
        <w:rPr>
          <w:sz w:val="19"/>
        </w:rPr>
        <w:t>[51] Abate, J., Whitt, W. A Unified Framework for Numerically Inverting Laplace Transforms. INFORMS Journal on Computing, 18(4), 408-421 (2006). https://doi.org/10.1287/ijoc.1050.0137</w:t>
      </w:r>
    </w:p>
    <w:p>
      <w:pPr>
        <w:spacing w:after="40"/>
        <w:ind w:left="432" w:hanging="432"/>
      </w:pPr>
      <w:r>
        <w:rPr>
          <w:sz w:val="19"/>
        </w:rPr>
        <w:t>[52]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[53] Richardson, L.F., Gaunt, J.A. VIII. The deferred approach to the limit. Philosophical Transactions of the Royal Society of London Series A, 226, 299-361 (1927). https://doi.org/10.1098/rsta.1927.0008</w:t>
      </w:r>
    </w:p>
    <w:p>
      <w:pPr>
        <w:spacing w:after="40"/>
        <w:ind w:left="432" w:hanging="432"/>
      </w:pPr>
      <w:r>
        <w:rPr>
          <w:sz w:val="19"/>
        </w:rPr>
        <w:t>[54] Oberkampf, W.L., Roy, C.J. Verification and Validation in Scientific Computing. Cambridge University Press (2010). https://doi.org/10.1017/CBO9780511760396</w:t>
      </w:r>
    </w:p>
    <w:p>
      <w:pPr>
        <w:spacing w:after="40"/>
        <w:ind w:left="432" w:hanging="432"/>
      </w:pPr>
      <w:r>
        <w:rPr>
          <w:sz w:val="19"/>
        </w:rPr>
        <w:t>[55] Pelletier, D., Roache, P.J. Verification and Validation of Computational Heat Transfer. In Handbook of Numerical Heat Transfer, 417-442 (2000). https://doi.org/10.1002/9780470172599.ch13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