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exploratory variant. The single-pulse response is obtained from a frequency-domain finite-difference solver by Bromwich inversion on a shifted contour, verified against exact and independent solutions (peak error 0.08% at the finest grid, second order). The peak wall stress is orientation-invariant to round-off: 0.854 MPa/K for the circle. The ellipse converts crystal orientation into a peak-stress modulation of 28.7% on the extrapolated sweep (29.9% on the production grid) with numerical uncertainty 1.3 percentage points; single-parameter ablations on the production grid attribute the modulation to competing expansion and stiffness anisotropy, conductivity anisotropy being minor. Thermal memory (hypothetical relaxation times to 20 ps) changes the circular-cavity wall-stress history by at most 6.4% (1.6% at 10 nm and larger) and the peak (dynamic and quasi-static variants) by at most 1.4% (1.0% among dynamic runs); the residual size dependence is a quasi-static collapse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pStyle w:val="Heading2"/>
      </w:pPr>
      <w:r>
        <w:t>1.1 Cavities, thermal stress and crystal anisotropy</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[6], and hole-shape effects have been studied in perforated composite plates [7]; boundary-element methods treat holes in general anisotropic discs and planes [8,9]; coated elliptic holes in uniform heat flow have been analysed by complex-variable methods [10] and dual-phase-lag boundary-element formulations for anisotropic media have been developed [11]. The generalized-thermoelasticity studies [4,5,6]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pStyle w:val="Heading2"/>
      </w:pPr>
      <w:r>
        <w:t>1.2 Transient loading, thermal memory and non-Fourier conduction</w:t>
      </w:r>
    </w:p>
    <w:p>
      <w:pPr>
        <w:spacing w:after="120"/>
        <w:jc w:val="both"/>
      </w:pPr>
      <w:r>
        <w:t>Coupled thermoelasticity [12] and its generalizations to a finite heat-wave speed are the framework for transient problems: the Lord–Shulman theory with one relaxation time [13] and its extension to anisotropic media with a uniqueness theorem [14]; the general theory of heat conduction with a memory kernel and finite wave speeds is due to Gurtin and Pipkin [15]; dual-phase-lag formulations [16], and later classifications of generalized heat-conduction and thermoelastic-coupling models [17,18]. Monoclinic β-Ga₂O₃ is an ultra-wide-band-gap semiconductor whose elastic [19], thermal-conductivity [20] and thermal-expansion [21,22] tensors are all strongly anisotropic; its room-temperature elastic constants are well characterised [19] and its conductivity tensor has an off-diagonal component in the a–c plane [20], so that crystal orientation, cavity shape and heat-conduction law can interact. The device context and the growth of bulk single crystals of the material are reviewed in [23,24]. Whether this interaction is large enough to matter, and which observable is sensitive to it, is the question addressed here.</w:t>
      </w:r>
    </w:p>
    <w:p>
      <w:pPr>
        <w:pStyle w:val="Heading2"/>
      </w:pPr>
      <w:r>
        <w:t>1.3 Scope of the study and what is claimed</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2.5).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7).</w:t>
      </w:r>
    </w:p>
    <w:p>
      <w:pPr>
        <w:pStyle w:val="Heading2"/>
      </w:pPr>
      <w:r>
        <w:t>1.4 Contributions and structure of the paper</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governing equations and the constitutive framework, Section 3 the analytical results, Section 4 the numerical method, Section 5 the verification, Section 6 the results, and Section 7 the discussion, the limitations and the scope of what can be claimed from them. Section 8 concludes and Section 9 gives the code, the data package and the reproduction procedure.</w:t>
      </w:r>
    </w:p>
    <w:p>
      <w:pPr>
        <w:pStyle w:val="Heading1"/>
      </w:pPr>
      <w:r>
        <w:t>2. Governing equations and constitutive framework</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[12]);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5.1). Momentum balance and the heat equation with one relaxation time τ (Cattaneo–Vernotte flux law with energy balance, i.e. the Lord–Shulman equation [13,14])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2.9 and their discrete forms in Section 4.7.</w:t>
      </w:r>
    </w:p>
    <w:p>
      <w:pPr>
        <w:spacing w:after="120"/>
        <w:jc w:val="both"/>
      </w:pPr>
      <w:r>
        <w:t>The class is the kinematic plane strain: the fields are independent of x_2 and u_2 = 0. For a monoclinic crystal with the unique axis normal to the plane the out-of-plane shear stresses σ₁₂ and σ₂₃ vanish identically for every in-plane strain, so no relaxation step is needed to make the constraint admissible and σ₂₂ enters as a reaction, not as a boundary condition. The distinction is stated because the alternative convention — generalised plane strain, σ₂₂ = 0 — is not equivalent here: it would change the plane-strain block Q by 13.7% and the thermal-stress vector β by 37.2% at the parameters of Table 4, so the class is stated explicitly and the solver is built on the constraint, not on the stress.</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Kinematics, balance laws and the heat equation</w:t>
      </w:r>
    </w:p>
    <w:p>
      <w:pPr>
        <w:spacing w:after="120"/>
        <w:jc w:val="both"/>
      </w:pPr>
      <w:r>
        <w:t>The formulation is written in the laboratory frame; the crystal frame is introduced in Section 2.4 and the two frames coincide at rotation φ = 0. With displacement u = (u</w:t>
      </w:r>
      <w:r>
        <w:rPr>
          <w:vertAlign w:val="subscript"/>
        </w:rPr>
        <w:t>1</w:t>
      </w:r>
      <w:r>
        <w:t>, u</w:t>
      </w:r>
      <w:r>
        <w:rPr>
          <w:vertAlign w:val="subscript"/>
        </w:rPr>
        <w:t>3</w:t>
      </w:r>
      <w:r>
        <w:t>) and temperature rise θ = T − T</w:t>
      </w:r>
      <w:r>
        <w:rPr>
          <w:vertAlign w:val="subscript"/>
        </w:rPr>
        <w:t>0</w:t>
      </w:r>
      <w:r>
        <w:t>, the small-strain tensor in the plane has the three independent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72156" cy="251308"/>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2772156" cy="251308"/>
                          </a:xfrm>
                          <a:prstGeom prst="rect"/>
                        </pic:spPr>
                      </pic:pic>
                    </a:graphicData>
                  </a:graphic>
                </wp:inline>
              </w:drawing>
            </w:r>
          </w:p>
        </w:tc>
        <w:tc>
          <w:tcPr>
            <w:tcW w:type="dxa" w:w="1152"/>
          </w:tcPr>
          <w:p>
            <w:pPr>
              <w:jc w:val="right"/>
            </w:pPr>
            <w:r>
              <w:t>(2)</w:t>
            </w:r>
          </w:p>
        </w:tc>
      </w:tr>
    </w:tbl>
    <w:p>
      <w:pPr>
        <w:spacing w:after="120"/>
        <w:jc w:val="both"/>
      </w:pPr>
      <w:r>
        <w:t>written in Voigt form ϵ = (ϵ</w:t>
      </w:r>
      <w:r>
        <w:rPr>
          <w:vertAlign w:val="subscript"/>
        </w:rPr>
        <w:t>11</w:t>
      </w:r>
      <w:r>
        <w:t>, ϵ</w:t>
      </w:r>
      <w:r>
        <w:rPr>
          <w:vertAlign w:val="subscript"/>
        </w:rPr>
        <w:t>33</w:t>
      </w:r>
      <w:r>
        <w:t>, γ</w:t>
      </w:r>
      <w:r>
        <w:rPr>
          <w:vertAlign w:val="subscript"/>
        </w:rPr>
        <w:t>13</w:t>
      </w:r>
      <w:r>
        <w:t>) with the engineering shear γ</w:t>
      </w:r>
      <w:r>
        <w:rPr>
          <w:vertAlign w:val="subscript"/>
        </w:rPr>
        <w:t>13</w:t>
      </w:r>
      <w:r>
        <w:t xml:space="preserve"> = 2ϵ</w:t>
      </w:r>
      <w:r>
        <w:rPr>
          <w:vertAlign w:val="subscript"/>
        </w:rPr>
        <w:t>13</w:t>
      </w:r>
      <w:r>
        <w:t>, so that the stress–strain contraction σ:ϵ = σ</w:t>
      </w:r>
      <w:r>
        <w:rPr>
          <w:vertAlign w:val="subscript"/>
        </w:rPr>
        <w:t>11</w:t>
      </w:r>
      <w:r>
        <w:t>ϵ</w:t>
      </w:r>
      <w:r>
        <w:rPr>
          <w:vertAlign w:val="subscript"/>
        </w:rPr>
        <w:t>11</w:t>
      </w:r>
      <w:r>
        <w:t xml:space="preserve"> + σ</w:t>
      </w:r>
      <w:r>
        <w:rPr>
          <w:vertAlign w:val="subscript"/>
        </w:rPr>
        <w:t>33</w:t>
      </w:r>
      <w:r>
        <w:t>ϵ</w:t>
      </w:r>
      <w:r>
        <w:rPr>
          <w:vertAlign w:val="subscript"/>
        </w:rPr>
        <w:t>33</w:t>
      </w:r>
      <w:r>
        <w:t xml:space="preserve"> + σ</w:t>
      </w:r>
      <w:r>
        <w:rPr>
          <w:vertAlign w:val="subscript"/>
        </w:rPr>
        <w:t>13</w:t>
      </w:r>
      <w:r>
        <w:t>γ</w:t>
      </w:r>
      <w:r>
        <w:rPr>
          <w:vertAlign w:val="subscript"/>
        </w:rPr>
        <w:t>13</w:t>
      </w:r>
      <w:r>
        <w:t xml:space="preserve"> is the mechanical work per unit volume. The strain components satisfy the two-dimensional compatibility relation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253947" cy="329032"/>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1253947" cy="329032"/>
                          </a:xfrm>
                          <a:prstGeom prst="rect"/>
                        </pic:spPr>
                      </pic:pic>
                    </a:graphicData>
                  </a:graphic>
                </wp:inline>
              </w:drawing>
            </w:r>
          </w:p>
        </w:tc>
        <w:tc>
          <w:tcPr>
            <w:tcW w:type="dxa" w:w="1152"/>
          </w:tcPr>
          <w:p>
            <w:pPr>
              <w:jc w:val="right"/>
            </w:pPr>
            <w:r>
              <w:t>(3)</w:t>
            </w:r>
          </w:p>
        </w:tc>
      </w:tr>
    </w:tbl>
    <w:p>
      <w:pPr>
        <w:spacing w:after="120"/>
        <w:jc w:val="both"/>
      </w:pPr>
      <w:r>
        <w:t>which is what allows the displacement form used below. Balance of linear momentum and the first law, in the absence of body heating and internal heat sources, give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8257" cy="251308"/>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2518257" cy="251308"/>
                          </a:xfrm>
                          <a:prstGeom prst="rect"/>
                        </pic:spPr>
                      </pic:pic>
                    </a:graphicData>
                  </a:graphic>
                </wp:inline>
              </w:drawing>
            </w:r>
          </w:p>
        </w:tc>
        <w:tc>
          <w:tcPr>
            <w:tcW w:type="dxa" w:w="1152"/>
          </w:tcPr>
          <w:p>
            <w:pPr>
              <w:jc w:val="right"/>
            </w:pPr>
            <w:r>
              <w:t>(4)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16659" cy="261671"/>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1616659" cy="261671"/>
                          </a:xfrm>
                          <a:prstGeom prst="rect"/>
                        </pic:spPr>
                      </pic:pic>
                    </a:graphicData>
                  </a:graphic>
                </wp:inline>
              </w:drawing>
            </w:r>
          </w:p>
        </w:tc>
        <w:tc>
          <w:tcPr>
            <w:tcW w:type="dxa" w:w="1152"/>
          </w:tcPr>
          <w:p>
            <w:pPr>
              <w:jc w:val="right"/>
            </w:pPr>
            <w:r>
              <w:t>(5)</w:t>
            </w:r>
          </w:p>
        </w:tc>
      </w:tr>
    </w:tbl>
    <w:p>
      <w:pPr>
        <w:spacing w:after="120"/>
        <w:jc w:val="both"/>
      </w:pPr>
      <w:r>
        <w:t>where q is the heat-flux vector and the coupling term T</w:t>
      </w:r>
      <w:r>
        <w:rPr>
          <w:vertAlign w:val="subscript"/>
        </w:rPr>
        <w:t>0</w:t>
      </w:r>
      <w:r>
        <w:t>β:ϵ̇ is the rate at which mechanical work is converted into heat (the Thomson term of linear thermoelasticity [12]). With the Cattaneo–Vernotte flux law with a single relaxation time τ,</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160678" cy="24612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1160678" cy="246126"/>
                          </a:xfrm>
                          <a:prstGeom prst="rect"/>
                        </pic:spPr>
                      </pic:pic>
                    </a:graphicData>
                  </a:graphic>
                </wp:inline>
              </w:drawing>
            </w:r>
          </w:p>
        </w:tc>
        <w:tc>
          <w:tcPr>
            <w:tcW w:type="dxa" w:w="1152"/>
          </w:tcPr>
          <w:p>
            <w:pPr>
              <w:jc w:val="right"/>
            </w:pPr>
            <w:r>
              <w:t>(6)</w:t>
            </w:r>
          </w:p>
        </w:tc>
      </w:tr>
    </w:tbl>
    <w:p>
      <w:pPr>
        <w:spacing w:after="120"/>
        <w:jc w:val="both"/>
      </w:pPr>
      <w:r>
        <w:t>eliminating q between the flux law and the energy balance gives the heat equation that is discretised in Section 4,</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0848" cy="266852"/>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2520848" cy="266852"/>
                          </a:xfrm>
                          <a:prstGeom prst="rect"/>
                        </pic:spPr>
                      </pic:pic>
                    </a:graphicData>
                  </a:graphic>
                </wp:inline>
              </w:drawing>
            </w:r>
          </w:p>
        </w:tc>
        <w:tc>
          <w:tcPr>
            <w:tcW w:type="dxa" w:w="1152"/>
          </w:tcPr>
          <w:p>
            <w:pPr>
              <w:jc w:val="right"/>
            </w:pPr>
            <w:r>
              <w:t>(7)</w:t>
            </w:r>
          </w:p>
        </w:tc>
      </w:tr>
    </w:tbl>
    <w:p>
      <w:pPr>
        <w:spacing w:after="120"/>
        <w:jc w:val="both"/>
      </w:pPr>
      <w:r>
        <w:t>of which Eq. (1) of Section 2.1 is the compact form. The Fourier model is recovered at τ = 0. For τ &gt; 0 the law is hyperbolic: temperature disturbances propagate at the finite speed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67434" cy="303124"/>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1567434" cy="303124"/>
                          </a:xfrm>
                          <a:prstGeom prst="rect"/>
                        </pic:spPr>
                      </pic:pic>
                    </a:graphicData>
                  </a:graphic>
                </wp:inline>
              </w:drawing>
            </w:r>
          </w:p>
        </w:tc>
        <w:tc>
          <w:tcPr>
            <w:tcW w:type="dxa" w:w="1152"/>
          </w:tcPr>
          <w:p>
            <w:pPr>
              <w:jc w:val="right"/>
            </w:pPr>
            <w:r>
              <w:t>(8)</w:t>
            </w:r>
          </w:p>
        </w:tc>
      </w:tr>
    </w:tbl>
    <w:p>
      <w:pPr>
        <w:spacing w:after="120"/>
        <w:jc w:val="both"/>
      </w:pPr>
      <w:r>
        <w:t>For the parameters of Table 4, κ̄ = 3.959×10</w:t>
      </w:r>
      <w:r>
        <w:rPr>
          <w:vertAlign w:val="superscript"/>
        </w:rPr>
        <w:t>−6</w:t>
      </w:r>
      <w:r>
        <w:t xml:space="preserve"> m²/s, so that v</w:t>
      </w:r>
      <w:r>
        <w:rPr>
          <w:vertAlign w:val="subscript"/>
        </w:rPr>
        <w:t>T</w:t>
      </w:r>
      <w:r>
        <w:t xml:space="preserve"> = √(κ̄/τ) = 1990 m/s at τ = 1 ps and 445 m/s at τ = 20 ps, against the longitudinal wave speed c</w:t>
      </w:r>
      <w:r>
        <w:rPr>
          <w:vertAlign w:val="subscript"/>
        </w:rPr>
        <w:t>ref</w:t>
      </w:r>
      <w:r>
        <w:t xml:space="preserve"> = (C</w:t>
      </w:r>
      <w:r>
        <w:rPr>
          <w:vertAlign w:val="subscript"/>
        </w:rPr>
        <w:t>33</w:t>
      </w:r>
      <w:r>
        <w:t>/ρ)</w:t>
      </w:r>
      <w:r>
        <w:rPr>
          <w:vertAlign w:val="superscript"/>
        </w:rPr>
        <w:t>1/2</w:t>
      </w:r>
      <w:r>
        <w:t xml:space="preserve"> = 7686 m/s. The second law is satisfied in the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725424" cy="274625"/>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725424" cy="274625"/>
                          </a:xfrm>
                          <a:prstGeom prst="rect"/>
                        </pic:spPr>
                      </pic:pic>
                    </a:graphicData>
                  </a:graphic>
                </wp:inline>
              </w:drawing>
            </w:r>
          </w:p>
        </w:tc>
        <w:tc>
          <w:tcPr>
            <w:tcW w:type="dxa" w:w="1152"/>
          </w:tcPr>
          <w:p>
            <w:pPr>
              <w:jc w:val="right"/>
            </w:pPr>
            <w:r>
              <w:t>(9)</w:t>
            </w:r>
          </w:p>
        </w:tc>
      </w:tr>
    </w:tbl>
    <w:p>
      <w:pPr>
        <w:spacing w:after="120"/>
        <w:jc w:val="both"/>
      </w:pPr>
      <w:r>
        <w:t>which the Cattaneo–Vernotte law meets for every τ &gt; 0 because it is a positive-real (passive) kernel [15], a restriction stated there for a memory kernel rather than for a single relaxation time; the two-relaxation-time kernel of Section 2.5 is positive-real for the same reason but is not derived from a free energy, which is why it is carried as an exploratory variant only. Theories with two relaxation times [25,26,27] and the reviews of hyperbolic and generalized conduction [17,18,28,29,30,31] locate the single-relaxation-time law used here within that literature.</w:t>
      </w:r>
    </w:p>
    <w:p>
      <w:pPr>
        <w:pStyle w:val="Heading2"/>
      </w:pPr>
      <w:r>
        <w:t>2.3 Plane-strain reduction of the monoclinic law</w:t>
      </w:r>
    </w:p>
    <w:p>
      <w:pPr>
        <w:spacing w:after="120"/>
        <w:jc w:val="both"/>
      </w:pPr>
      <w:r>
        <w:t>Monoclinic β-Ga₂O₃ has point group 2/m with the twofold axis along the crystallographic b direction. With the b axis taken as x</w:t>
      </w:r>
      <w:r>
        <w:rPr>
          <w:vertAlign w:val="subscript"/>
        </w:rPr>
        <w:t>2</w:t>
      </w:r>
      <w:r>
        <w:t xml:space="preserve"> and Voigt indices 1 = 11, 2 = 22, 3 = 33, 4 = 23, 5 = 13, 6 = 12, the stiffness has thirteen independent constants and the form of Table 1; the four constants C</w:t>
      </w:r>
      <w:r>
        <w:rPr>
          <w:vertAlign w:val="subscript"/>
        </w:rPr>
        <w:t>15</w:t>
      </w:r>
      <w:r>
        <w:t>, C</w:t>
      </w:r>
      <w:r>
        <w:rPr>
          <w:vertAlign w:val="subscript"/>
        </w:rPr>
        <w:t>25</w:t>
      </w:r>
      <w:r>
        <w:t>, C</w:t>
      </w:r>
      <w:r>
        <w:rPr>
          <w:vertAlign w:val="subscript"/>
        </w:rPr>
        <w:t>35</w:t>
      </w:r>
      <w:r>
        <w:t xml:space="preserve"> and C</w:t>
      </w:r>
      <w:r>
        <w:rPr>
          <w:vertAlign w:val="subscript"/>
        </w:rPr>
        <w:t>46</w:t>
      </w:r>
      <w:r>
        <w:t xml:space="preserve"> are the monoclinic couplings, and the thermal expansion is diagonal in the crystal frame, α = (α</w:t>
      </w:r>
      <w:r>
        <w:rPr>
          <w:vertAlign w:val="subscript"/>
        </w:rPr>
        <w:t>a</w:t>
      </w:r>
      <w:r>
        <w:t>, α</w:t>
      </w:r>
      <w:r>
        <w:rPr>
          <w:vertAlign w:val="subscript"/>
        </w:rPr>
        <w:t>b</w:t>
      </w:r>
      <w:r>
        <w:t>, α</w:t>
      </w:r>
      <w:r>
        <w:rPr>
          <w:vertAlign w:val="subscript"/>
        </w:rPr>
        <w:t>c</w:t>
      </w:r>
      <w:r>
        <w:t>, 0, 0, 0), so that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71623" cy="463753"/>
                  <wp:docPr id="11" name="Picture 11"/>
                  <wp:cNvGraphicFramePr>
                    <a:graphicFrameLocks noChangeAspect="1"/>
                  </wp:cNvGraphicFramePr>
                  <a:graphic>
                    <a:graphicData uri="http://schemas.openxmlformats.org/drawingml/2006/picture">
                      <pic:pic>
                        <pic:nvPicPr>
                          <pic:cNvPr id="0" name="eq10.png"/>
                          <pic:cNvPicPr/>
                        </pic:nvPicPr>
                        <pic:blipFill>
                          <a:blip r:embed="rId19"/>
                          <a:stretch>
                            <a:fillRect/>
                          </a:stretch>
                        </pic:blipFill>
                        <pic:spPr>
                          <a:xfrm>
                            <a:off x="0" y="0"/>
                            <a:ext cx="2471623" cy="463753"/>
                          </a:xfrm>
                          <a:prstGeom prst="rect"/>
                        </pic:spPr>
                      </pic:pic>
                    </a:graphicData>
                  </a:graphic>
                </wp:inline>
              </w:drawing>
            </w:r>
          </w:p>
        </w:tc>
        <w:tc>
          <w:tcPr>
            <w:tcW w:type="dxa" w:w="1152"/>
          </w:tcPr>
          <w:p>
            <w:pPr>
              <w:jc w:val="right"/>
            </w:pPr>
            <w:r>
              <w:t>(10)</w:t>
            </w:r>
          </w:p>
        </w:tc>
      </w:tr>
    </w:tbl>
    <w:p>
      <w:pPr>
        <w:spacing w:after="120"/>
        <w:jc w:val="both"/>
      </w:pPr>
      <w:r>
        <w:t>with I = 1, …, 6 (Voigt conventions and the Stroh and Lekhnitskii formalisms for such media are described in [32,33,34]). Plane strain in the a–c plane imposes ϵ</w:t>
      </w:r>
      <w:r>
        <w:rPr>
          <w:vertAlign w:val="subscript"/>
        </w:rPr>
        <w:t>22</w:t>
      </w:r>
      <w:r>
        <w:t xml:space="preserve"> = ϵ</w:t>
      </w:r>
      <w:r>
        <w:rPr>
          <w:vertAlign w:val="subscript"/>
        </w:rPr>
        <w:t>23</w:t>
      </w:r>
      <w:r>
        <w:t xml:space="preserve"> = ϵ</w:t>
      </w:r>
      <w:r>
        <w:rPr>
          <w:vertAlign w:val="subscript"/>
        </w:rPr>
        <w:t>12</w:t>
      </w:r>
      <w:r>
        <w:t xml:space="preserve"> = 0, so the six-dimensional law collapses onto the three in-plane components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2" name="Picture 12"/>
                  <wp:cNvGraphicFramePr>
                    <a:graphicFrameLocks noChangeAspect="1"/>
                  </wp:cNvGraphicFramePr>
                  <a:graphic>
                    <a:graphicData uri="http://schemas.openxmlformats.org/drawingml/2006/picture">
                      <pic:pic>
                        <pic:nvPicPr>
                          <pic:cNvPr id="0" name="eq11.png"/>
                          <pic:cNvPicPr/>
                        </pic:nvPicPr>
                        <pic:blipFill>
                          <a:blip r:embed="rId20"/>
                          <a:stretch>
                            <a:fillRect/>
                          </a:stretch>
                        </pic:blipFill>
                        <pic:spPr>
                          <a:xfrm>
                            <a:off x="0" y="0"/>
                            <a:ext cx="2513076" cy="204672"/>
                          </a:xfrm>
                          <a:prstGeom prst="rect"/>
                        </pic:spPr>
                      </pic:pic>
                    </a:graphicData>
                  </a:graphic>
                </wp:inline>
              </w:drawing>
            </w:r>
          </w:p>
        </w:tc>
        <w:tc>
          <w:tcPr>
            <w:tcW w:type="dxa" w:w="1152"/>
          </w:tcPr>
          <w:p>
            <w:pPr>
              <w:jc w:val="right"/>
            </w:pPr>
            <w:r>
              <w:t>(11)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3" name="Picture 13"/>
                  <wp:cNvGraphicFramePr>
                    <a:graphicFrameLocks noChangeAspect="1"/>
                  </wp:cNvGraphicFramePr>
                  <a:graphic>
                    <a:graphicData uri="http://schemas.openxmlformats.org/drawingml/2006/picture">
                      <pic:pic>
                        <pic:nvPicPr>
                          <pic:cNvPr id="0" name="eq12.png"/>
                          <pic:cNvPicPr/>
                        </pic:nvPicPr>
                        <pic:blipFill>
                          <a:blip r:embed="rId21"/>
                          <a:stretch>
                            <a:fillRect/>
                          </a:stretch>
                        </pic:blipFill>
                        <pic:spPr>
                          <a:xfrm>
                            <a:off x="0" y="0"/>
                            <a:ext cx="2513076" cy="204672"/>
                          </a:xfrm>
                          <a:prstGeom prst="rect"/>
                        </pic:spPr>
                      </pic:pic>
                    </a:graphicData>
                  </a:graphic>
                </wp:inline>
              </w:drawing>
            </w:r>
          </w:p>
        </w:tc>
        <w:tc>
          <w:tcPr>
            <w:tcW w:type="dxa" w:w="1152"/>
          </w:tcPr>
          <w:p>
            <w:pPr>
              <w:jc w:val="right"/>
            </w:pPr>
            <w:r>
              <w:t>(12)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4" name="Picture 14"/>
                  <wp:cNvGraphicFramePr>
                    <a:graphicFrameLocks noChangeAspect="1"/>
                  </wp:cNvGraphicFramePr>
                  <a:graphic>
                    <a:graphicData uri="http://schemas.openxmlformats.org/drawingml/2006/picture">
                      <pic:pic>
                        <pic:nvPicPr>
                          <pic:cNvPr id="0" name="eq13.png"/>
                          <pic:cNvPicPr/>
                        </pic:nvPicPr>
                        <pic:blipFill>
                          <a:blip r:embed="rId22"/>
                          <a:stretch>
                            <a:fillRect/>
                          </a:stretch>
                        </pic:blipFill>
                        <pic:spPr>
                          <a:xfrm>
                            <a:off x="0" y="0"/>
                            <a:ext cx="2513076" cy="204672"/>
                          </a:xfrm>
                          <a:prstGeom prst="rect"/>
                        </pic:spPr>
                      </pic:pic>
                    </a:graphicData>
                  </a:graphic>
                </wp:inline>
              </w:drawing>
            </w:r>
          </w:p>
        </w:tc>
        <w:tc>
          <w:tcPr>
            <w:tcW w:type="dxa" w:w="1152"/>
          </w:tcPr>
          <w:p>
            <w:pPr>
              <w:jc w:val="right"/>
            </w:pPr>
            <w:r>
              <w:t>(13)</w:t>
            </w:r>
          </w:p>
        </w:tc>
      </w:tr>
    </w:tbl>
    <w:p>
      <w:pPr>
        <w:spacing w:after="120"/>
        <w:jc w:val="both"/>
      </w:pPr>
      <w:r>
        <w:t>i.e. σ = Qϵ − βθ with the 3×3 block Q of Table 2. The thermal-stress vector β = Σ</w:t>
      </w:r>
      <w:r>
        <w:rPr>
          <w:vertAlign w:val="subscript"/>
        </w:rPr>
        <w:t>J</w:t>
      </w:r>
      <w:r>
        <w:t xml:space="preserve"> C</w:t>
      </w:r>
      <w:r>
        <w:rPr>
          <w:vertAlign w:val="subscript"/>
        </w:rPr>
        <w:t>IJ</w:t>
      </w:r>
      <w:r>
        <w:t>α</w:t>
      </w:r>
      <w:r>
        <w:rPr>
          <w:vertAlign w:val="subscript"/>
        </w:rPr>
        <w:t>J</w:t>
      </w:r>
      <w:r>
        <w:t xml:space="preserve"> involves the b-axis expansion α</w:t>
      </w:r>
      <w:r>
        <w:rPr>
          <w:vertAlign w:val="subscript"/>
        </w:rPr>
        <w:t>b</w:t>
      </w:r>
      <w:r>
        <w:t xml:space="preserve"> through the constants C</w:t>
      </w:r>
      <w:r>
        <w:rPr>
          <w:vertAlign w:val="subscript"/>
        </w:rPr>
        <w:t>12</w:t>
      </w:r>
      <w:r>
        <w:t>, C</w:t>
      </w:r>
      <w:r>
        <w:rPr>
          <w:vertAlign w:val="subscript"/>
        </w:rPr>
        <w:t>23</w:t>
      </w:r>
      <w:r>
        <w:t>, C</w:t>
      </w:r>
      <w:r>
        <w:rPr>
          <w:vertAlign w:val="subscript"/>
        </w:rPr>
        <w:t>25</w:t>
      </w:r>
      <w:r>
        <w:t xml:space="preserve"> that couple the in-plane normal strains to ϵ</w:t>
      </w:r>
      <w:r>
        <w:rPr>
          <w:vertAlign w:val="subscript"/>
        </w:rPr>
        <w:t>22</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5" name="Picture 15"/>
                  <wp:cNvGraphicFramePr>
                    <a:graphicFrameLocks noChangeAspect="1"/>
                  </wp:cNvGraphicFramePr>
                  <a:graphic>
                    <a:graphicData uri="http://schemas.openxmlformats.org/drawingml/2006/picture">
                      <pic:pic>
                        <pic:nvPicPr>
                          <pic:cNvPr id="0" name="eq14.png"/>
                          <pic:cNvPicPr/>
                        </pic:nvPicPr>
                        <pic:blipFill>
                          <a:blip r:embed="rId23"/>
                          <a:stretch>
                            <a:fillRect/>
                          </a:stretch>
                        </pic:blipFill>
                        <pic:spPr>
                          <a:xfrm>
                            <a:off x="0" y="0"/>
                            <a:ext cx="2440533" cy="204672"/>
                          </a:xfrm>
                          <a:prstGeom prst="rect"/>
                        </pic:spPr>
                      </pic:pic>
                    </a:graphicData>
                  </a:graphic>
                </wp:inline>
              </w:drawing>
            </w:r>
          </w:p>
        </w:tc>
        <w:tc>
          <w:tcPr>
            <w:tcW w:type="dxa" w:w="1152"/>
          </w:tcPr>
          <w:p>
            <w:pPr>
              <w:jc w:val="right"/>
            </w:pPr>
            <w:r>
              <w:t>(14)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6" name="Picture 16"/>
                  <wp:cNvGraphicFramePr>
                    <a:graphicFrameLocks noChangeAspect="1"/>
                  </wp:cNvGraphicFramePr>
                  <a:graphic>
                    <a:graphicData uri="http://schemas.openxmlformats.org/drawingml/2006/picture">
                      <pic:pic>
                        <pic:nvPicPr>
                          <pic:cNvPr id="0" name="eq15.png"/>
                          <pic:cNvPicPr/>
                        </pic:nvPicPr>
                        <pic:blipFill>
                          <a:blip r:embed="rId24"/>
                          <a:stretch>
                            <a:fillRect/>
                          </a:stretch>
                        </pic:blipFill>
                        <pic:spPr>
                          <a:xfrm>
                            <a:off x="0" y="0"/>
                            <a:ext cx="2440533" cy="204672"/>
                          </a:xfrm>
                          <a:prstGeom prst="rect"/>
                        </pic:spPr>
                      </pic:pic>
                    </a:graphicData>
                  </a:graphic>
                </wp:inline>
              </w:drawing>
            </w:r>
          </w:p>
        </w:tc>
        <w:tc>
          <w:tcPr>
            <w:tcW w:type="dxa" w:w="1152"/>
          </w:tcPr>
          <w:p>
            <w:pPr>
              <w:jc w:val="right"/>
            </w:pPr>
            <w:r>
              <w:t>(15)</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7" name="Picture 17"/>
                  <wp:cNvGraphicFramePr>
                    <a:graphicFrameLocks noChangeAspect="1"/>
                  </wp:cNvGraphicFramePr>
                  <a:graphic>
                    <a:graphicData uri="http://schemas.openxmlformats.org/drawingml/2006/picture">
                      <pic:pic>
                        <pic:nvPicPr>
                          <pic:cNvPr id="0" name="eq16.png"/>
                          <pic:cNvPicPr/>
                        </pic:nvPicPr>
                        <pic:blipFill>
                          <a:blip r:embed="rId25"/>
                          <a:stretch>
                            <a:fillRect/>
                          </a:stretch>
                        </pic:blipFill>
                        <pic:spPr>
                          <a:xfrm>
                            <a:off x="0" y="0"/>
                            <a:ext cx="2440533" cy="204672"/>
                          </a:xfrm>
                          <a:prstGeom prst="rect"/>
                        </pic:spPr>
                      </pic:pic>
                    </a:graphicData>
                  </a:graphic>
                </wp:inline>
              </w:drawing>
            </w:r>
          </w:p>
        </w:tc>
        <w:tc>
          <w:tcPr>
            <w:tcW w:type="dxa" w:w="1152"/>
          </w:tcPr>
          <w:p>
            <w:pPr>
              <w:jc w:val="right"/>
            </w:pPr>
            <w:r>
              <w:t>(16)</w:t>
            </w:r>
          </w:p>
        </w:tc>
      </w:tr>
    </w:tbl>
    <w:p>
      <w:pPr>
        <w:spacing w:after="120"/>
        <w:jc w:val="both"/>
      </w:pPr>
      <w:r>
        <w:t>where α</w:t>
      </w:r>
      <w:r>
        <w:rPr>
          <w:vertAlign w:val="subscript"/>
        </w:rPr>
        <w:t>5</w:t>
      </w:r>
      <w:r>
        <w:t xml:space="preserve"> = 2ϵ</w:t>
      </w:r>
      <w:r>
        <w:rPr>
          <w:vertAlign w:val="subscript"/>
        </w:rPr>
        <w:t>13</w:t>
      </w:r>
      <w:r>
        <w:rPr>
          <w:vertAlign w:val="superscript"/>
        </w:rPr>
        <w:t>th</w:t>
      </w:r>
      <w:r>
        <w:t xml:space="preserve"> is the thermal shear, set to zero (a limitation of the available data, Section 7.2). With the parameters of Table 4 this gives β = (1.3093, 1.5796, 0.0018)×10</w:t>
      </w:r>
      <w:r>
        <w:rPr>
          <w:vertAlign w:val="superscript"/>
        </w:rPr>
        <w:t>6</w:t>
      </w:r>
      <w:r>
        <w:t xml:space="preserve"> Pa/K and ‖β‖ = 2.0517 MPa/K; the eigenvalues of Q are 88.51, 126.86 and 463.43 GPa, so the block is positive definite and the elastic problem is elliptic. The out-of-plane stress does not enter the equilibrium equations but is recovered afterwards from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3014"/>
                  <wp:docPr id="18" name="Picture 18"/>
                  <wp:cNvGraphicFramePr>
                    <a:graphicFrameLocks noChangeAspect="1"/>
                  </wp:cNvGraphicFramePr>
                  <a:graphic>
                    <a:graphicData uri="http://schemas.openxmlformats.org/drawingml/2006/picture">
                      <pic:pic>
                        <pic:nvPicPr>
                          <pic:cNvPr id="0" name="eq17.png"/>
                          <pic:cNvPicPr/>
                        </pic:nvPicPr>
                        <pic:blipFill>
                          <a:blip r:embed="rId26"/>
                          <a:stretch>
                            <a:fillRect/>
                          </a:stretch>
                        </pic:blipFill>
                        <pic:spPr>
                          <a:xfrm>
                            <a:off x="0" y="0"/>
                            <a:ext cx="4937760" cy="193014"/>
                          </a:xfrm>
                          <a:prstGeom prst="rect"/>
                        </pic:spPr>
                      </pic:pic>
                    </a:graphicData>
                  </a:graphic>
                </wp:inline>
              </w:drawing>
            </w:r>
          </w:p>
        </w:tc>
        <w:tc>
          <w:tcPr>
            <w:tcW w:type="dxa" w:w="1152"/>
          </w:tcPr>
          <w:p>
            <w:pPr>
              <w:jc w:val="right"/>
            </w:pPr>
            <w:r>
              <w:t>(17)</w:t>
            </w:r>
          </w:p>
        </w:tc>
      </w:tr>
    </w:tbl>
    <w:p>
      <w:pPr>
        <w:spacing w:after="120"/>
        <w:jc w:val="both"/>
      </w:pPr>
      <w:r>
        <w:t>and does no work because ϵ</w:t>
      </w:r>
      <w:r>
        <w:rPr>
          <w:vertAlign w:val="subscript"/>
        </w:rPr>
        <w:t>22</w:t>
      </w:r>
      <w:r>
        <w:t xml:space="preserve"> = 0 by construction. Table 2 collects the numerical values of the reduced block and of the thermal-stress vector.</w:t>
      </w:r>
    </w:p>
    <w:p>
      <w:r>
        <w:rPr>
          <w:b/>
          <w:sz w:val="19"/>
        </w:rPr>
        <w:t>Table 1.</w:t>
      </w:r>
      <w:r>
        <w:rPr>
          <w:sz w:val="19"/>
        </w:rPr>
        <w:t xml:space="preserve"> Independent stiffness constants of monoclinic β-Ga₂O₃ used in this study (GPa; literature values [19] transcribed and checked against the source).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92"/>
            <w:shd w:val="clear" w:color="auto" w:fill="E7E6E6"/>
          </w:tcPr>
          <w:p>
            <w:r/>
            <w:r>
              <w:rPr>
                <w:b/>
                <w:sz w:val="17"/>
              </w:rPr>
              <w:t>C</w:t>
            </w:r>
            <w:r>
              <w:rPr>
                <w:b/>
                <w:sz w:val="17"/>
                <w:vertAlign w:val="subscript"/>
              </w:rPr>
              <w:t>11</w:t>
            </w:r>
          </w:p>
        </w:tc>
        <w:tc>
          <w:tcPr>
            <w:tcW w:type="dxa" w:w="792"/>
            <w:shd w:val="clear" w:color="auto" w:fill="E7E6E6"/>
          </w:tcPr>
          <w:p>
            <w:r/>
            <w:r>
              <w:rPr>
                <w:b/>
                <w:sz w:val="17"/>
              </w:rPr>
              <w:t>C</w:t>
            </w:r>
            <w:r>
              <w:rPr>
                <w:b/>
                <w:sz w:val="17"/>
                <w:vertAlign w:val="subscript"/>
              </w:rPr>
              <w:t>22</w:t>
            </w:r>
          </w:p>
        </w:tc>
        <w:tc>
          <w:tcPr>
            <w:tcW w:type="dxa" w:w="792"/>
            <w:shd w:val="clear" w:color="auto" w:fill="E7E6E6"/>
          </w:tcPr>
          <w:p>
            <w:r/>
            <w:r>
              <w:rPr>
                <w:b/>
                <w:sz w:val="17"/>
              </w:rPr>
              <w:t>C</w:t>
            </w:r>
            <w:r>
              <w:rPr>
                <w:b/>
                <w:sz w:val="17"/>
                <w:vertAlign w:val="subscript"/>
              </w:rPr>
              <w:t>33</w:t>
            </w:r>
          </w:p>
        </w:tc>
        <w:tc>
          <w:tcPr>
            <w:tcW w:type="dxa" w:w="792"/>
            <w:shd w:val="clear" w:color="auto" w:fill="E7E6E6"/>
          </w:tcPr>
          <w:p>
            <w:r/>
            <w:r>
              <w:rPr>
                <w:b/>
                <w:sz w:val="17"/>
              </w:rPr>
              <w:t>C</w:t>
            </w:r>
            <w:r>
              <w:rPr>
                <w:b/>
                <w:sz w:val="17"/>
                <w:vertAlign w:val="subscript"/>
              </w:rPr>
              <w:t>44</w:t>
            </w:r>
          </w:p>
        </w:tc>
        <w:tc>
          <w:tcPr>
            <w:tcW w:type="dxa" w:w="792"/>
            <w:shd w:val="clear" w:color="auto" w:fill="E7E6E6"/>
          </w:tcPr>
          <w:p>
            <w:r/>
            <w:r>
              <w:rPr>
                <w:b/>
                <w:sz w:val="17"/>
              </w:rPr>
              <w:t>C</w:t>
            </w:r>
            <w:r>
              <w:rPr>
                <w:b/>
                <w:sz w:val="17"/>
                <w:vertAlign w:val="subscript"/>
              </w:rPr>
              <w:t>55</w:t>
            </w:r>
          </w:p>
        </w:tc>
        <w:tc>
          <w:tcPr>
            <w:tcW w:type="dxa" w:w="792"/>
            <w:shd w:val="clear" w:color="auto" w:fill="E7E6E6"/>
          </w:tcPr>
          <w:p>
            <w:r/>
            <w:r>
              <w:rPr>
                <w:b/>
                <w:sz w:val="17"/>
              </w:rPr>
              <w:t>C</w:t>
            </w:r>
            <w:r>
              <w:rPr>
                <w:b/>
                <w:sz w:val="17"/>
                <w:vertAlign w:val="subscript"/>
              </w:rPr>
              <w:t>66</w:t>
            </w:r>
          </w:p>
        </w:tc>
        <w:tc>
          <w:tcPr>
            <w:tcW w:type="dxa" w:w="792"/>
            <w:shd w:val="clear" w:color="auto" w:fill="E7E6E6"/>
          </w:tcPr>
          <w:p>
            <w:r/>
            <w:r>
              <w:rPr>
                <w:b/>
                <w:sz w:val="17"/>
              </w:rPr>
              <w:t>C</w:t>
            </w:r>
            <w:r>
              <w:rPr>
                <w:b/>
                <w:sz w:val="17"/>
                <w:vertAlign w:val="subscript"/>
              </w:rPr>
              <w:t>12</w:t>
            </w:r>
          </w:p>
        </w:tc>
        <w:tc>
          <w:tcPr>
            <w:tcW w:type="dxa" w:w="792"/>
            <w:shd w:val="clear" w:color="auto" w:fill="E7E6E6"/>
          </w:tcPr>
          <w:p>
            <w:r/>
            <w:r>
              <w:rPr>
                <w:b/>
                <w:sz w:val="17"/>
              </w:rPr>
              <w:t>C</w:t>
            </w:r>
            <w:r>
              <w:rPr>
                <w:b/>
                <w:sz w:val="17"/>
                <w:vertAlign w:val="subscript"/>
              </w:rPr>
              <w:t>13</w:t>
            </w:r>
          </w:p>
        </w:tc>
        <w:tc>
          <w:tcPr>
            <w:tcW w:type="dxa" w:w="792"/>
            <w:shd w:val="clear" w:color="auto" w:fill="E7E6E6"/>
          </w:tcPr>
          <w:p>
            <w:r/>
            <w:r>
              <w:rPr>
                <w:b/>
                <w:sz w:val="17"/>
              </w:rPr>
              <w:t>C</w:t>
            </w:r>
            <w:r>
              <w:rPr>
                <w:b/>
                <w:sz w:val="17"/>
                <w:vertAlign w:val="subscript"/>
              </w:rPr>
              <w:t>23</w:t>
            </w:r>
          </w:p>
        </w:tc>
        <w:tc>
          <w:tcPr>
            <w:tcW w:type="dxa" w:w="792"/>
            <w:shd w:val="clear" w:color="auto" w:fill="E7E6E6"/>
          </w:tcPr>
          <w:p>
            <w:r/>
            <w:r>
              <w:rPr>
                <w:b/>
                <w:sz w:val="17"/>
              </w:rPr>
              <w:t>C</w:t>
            </w:r>
            <w:r>
              <w:rPr>
                <w:b/>
                <w:sz w:val="17"/>
                <w:vertAlign w:val="subscript"/>
              </w:rPr>
              <w:t>15</w:t>
            </w:r>
          </w:p>
        </w:tc>
        <w:tc>
          <w:tcPr>
            <w:tcW w:type="dxa" w:w="792"/>
            <w:shd w:val="clear" w:color="auto" w:fill="E7E6E6"/>
          </w:tcPr>
          <w:p>
            <w:r/>
            <w:r>
              <w:rPr>
                <w:b/>
                <w:sz w:val="17"/>
              </w:rPr>
              <w:t>C</w:t>
            </w:r>
            <w:r>
              <w:rPr>
                <w:b/>
                <w:sz w:val="17"/>
                <w:vertAlign w:val="subscript"/>
              </w:rPr>
              <w:t>25</w:t>
            </w:r>
          </w:p>
        </w:tc>
        <w:tc>
          <w:tcPr>
            <w:tcW w:type="dxa" w:w="792"/>
            <w:shd w:val="clear" w:color="auto" w:fill="E7E6E6"/>
          </w:tcPr>
          <w:p>
            <w:r/>
            <w:r>
              <w:rPr>
                <w:b/>
                <w:sz w:val="17"/>
              </w:rPr>
              <w:t>C</w:t>
            </w:r>
            <w:r>
              <w:rPr>
                <w:b/>
                <w:sz w:val="17"/>
                <w:vertAlign w:val="subscript"/>
              </w:rPr>
              <w:t>35</w:t>
            </w:r>
          </w:p>
        </w:tc>
        <w:tc>
          <w:tcPr>
            <w:tcW w:type="dxa" w:w="792"/>
            <w:shd w:val="clear" w:color="auto" w:fill="E7E6E6"/>
          </w:tcPr>
          <w:p>
            <w:r/>
            <w:r>
              <w:rPr>
                <w:b/>
                <w:sz w:val="17"/>
              </w:rPr>
              <w:t>C</w:t>
            </w:r>
            <w:r>
              <w:rPr>
                <w:b/>
                <w:sz w:val="17"/>
                <w:vertAlign w:val="subscript"/>
              </w:rPr>
              <w:t>46</w:t>
            </w:r>
          </w:p>
        </w:tc>
      </w:tr>
      <w:tr>
        <w:tc>
          <w:tcPr>
            <w:tcW w:type="dxa" w:w="792"/>
          </w:tcPr>
          <w:p>
            <w:r/>
            <w:r>
              <w:rPr>
                <w:sz w:val="17"/>
              </w:rPr>
              <w:t>242.8</w:t>
            </w:r>
          </w:p>
        </w:tc>
        <w:tc>
          <w:tcPr>
            <w:tcW w:type="dxa" w:w="792"/>
          </w:tcPr>
          <w:p>
            <w:r/>
            <w:r>
              <w:rPr>
                <w:sz w:val="17"/>
              </w:rPr>
              <w:t>343.8</w:t>
            </w:r>
          </w:p>
        </w:tc>
        <w:tc>
          <w:tcPr>
            <w:tcW w:type="dxa" w:w="792"/>
          </w:tcPr>
          <w:p>
            <w:r/>
            <w:r>
              <w:rPr>
                <w:sz w:val="17"/>
              </w:rPr>
              <w:t>347.4</w:t>
            </w:r>
          </w:p>
        </w:tc>
        <w:tc>
          <w:tcPr>
            <w:tcW w:type="dxa" w:w="792"/>
          </w:tcPr>
          <w:p>
            <w:r/>
            <w:r>
              <w:rPr>
                <w:sz w:val="17"/>
              </w:rPr>
              <w:t>47.8</w:t>
            </w:r>
          </w:p>
        </w:tc>
        <w:tc>
          <w:tcPr>
            <w:tcW w:type="dxa" w:w="792"/>
          </w:tcPr>
          <w:p>
            <w:r/>
            <w:r>
              <w:rPr>
                <w:sz w:val="17"/>
              </w:rPr>
              <w:t>88.6</w:t>
            </w:r>
          </w:p>
        </w:tc>
        <w:tc>
          <w:tcPr>
            <w:tcW w:type="dxa" w:w="792"/>
          </w:tcPr>
          <w:p>
            <w:r/>
            <w:r>
              <w:rPr>
                <w:sz w:val="17"/>
              </w:rPr>
              <w:t>104.0</w:t>
            </w:r>
          </w:p>
        </w:tc>
        <w:tc>
          <w:tcPr>
            <w:tcW w:type="dxa" w:w="792"/>
          </w:tcPr>
          <w:p>
            <w:r/>
            <w:r>
              <w:rPr>
                <w:sz w:val="17"/>
              </w:rPr>
              <w:t>128.0</w:t>
            </w:r>
          </w:p>
        </w:tc>
        <w:tc>
          <w:tcPr>
            <w:tcW w:type="dxa" w:w="792"/>
          </w:tcPr>
          <w:p>
            <w:r/>
            <w:r>
              <w:rPr>
                <w:sz w:val="17"/>
              </w:rPr>
              <w:t>160.0</w:t>
            </w:r>
          </w:p>
        </w:tc>
        <w:tc>
          <w:tcPr>
            <w:tcW w:type="dxa" w:w="792"/>
          </w:tcPr>
          <w:p>
            <w:r/>
            <w:r>
              <w:rPr>
                <w:sz w:val="17"/>
              </w:rPr>
              <w:t>70.9</w:t>
            </w:r>
          </w:p>
        </w:tc>
        <w:tc>
          <w:tcPr>
            <w:tcW w:type="dxa" w:w="792"/>
          </w:tcPr>
          <w:p>
            <w:r/>
            <w:r>
              <w:rPr>
                <w:sz w:val="17"/>
              </w:rPr>
              <w:t>-1.62</w:t>
            </w:r>
          </w:p>
        </w:tc>
        <w:tc>
          <w:tcPr>
            <w:tcW w:type="dxa" w:w="792"/>
          </w:tcPr>
          <w:p>
            <w:r/>
            <w:r>
              <w:rPr>
                <w:sz w:val="17"/>
              </w:rPr>
              <w:t>0.36</w:t>
            </w:r>
          </w:p>
        </w:tc>
        <w:tc>
          <w:tcPr>
            <w:tcW w:type="dxa" w:w="792"/>
          </w:tcPr>
          <w:p>
            <w:r/>
            <w:r>
              <w:rPr>
                <w:sz w:val="17"/>
              </w:rPr>
              <w:t>0.97</w:t>
            </w:r>
          </w:p>
        </w:tc>
        <w:tc>
          <w:tcPr>
            <w:tcW w:type="dxa" w:w="792"/>
          </w:tcPr>
          <w:p>
            <w:r/>
            <w:r>
              <w:rPr>
                <w:sz w:val="17"/>
              </w:rPr>
              <w:t>5.59</w:t>
            </w:r>
          </w:p>
        </w:tc>
      </w:tr>
    </w:tbl>
    <w:p>
      <w:pPr>
        <w:spacing w:after="40"/>
      </w:pPr>
    </w:p>
    <w:p>
      <w:r>
        <w:rPr>
          <w:b/>
          <w:sz w:val="19"/>
        </w:rPr>
        <w:t>Table 2.</w:t>
      </w:r>
      <w:r>
        <w:rPr>
          <w:sz w:val="19"/>
        </w:rPr>
        <w:t xml:space="preserve"> Plane-strain stiffness block Q (GPa, Eq. (11)) and thermal-stress vector β (MPa/K, Eq. (14)) in the crystal frame, computed from Table 4.</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93"/>
            <w:shd w:val="clear" w:color="auto" w:fill="E7E6E6"/>
          </w:tcPr>
          <w:p>
            <w:r/>
            <w:r>
              <w:rPr>
                <w:b/>
                <w:sz w:val="17"/>
              </w:rPr>
              <w:t>Q</w:t>
            </w:r>
            <w:r>
              <w:rPr>
                <w:b/>
                <w:sz w:val="17"/>
                <w:vertAlign w:val="subscript"/>
              </w:rPr>
              <w:t>11</w:t>
            </w:r>
          </w:p>
        </w:tc>
        <w:tc>
          <w:tcPr>
            <w:tcW w:type="dxa" w:w="893"/>
            <w:shd w:val="clear" w:color="auto" w:fill="E7E6E6"/>
          </w:tcPr>
          <w:p>
            <w:r/>
            <w:r>
              <w:rPr>
                <w:b/>
                <w:sz w:val="17"/>
              </w:rPr>
              <w:t>Q</w:t>
            </w:r>
            <w:r>
              <w:rPr>
                <w:b/>
                <w:sz w:val="17"/>
                <w:vertAlign w:val="subscript"/>
              </w:rPr>
              <w:t>13</w:t>
            </w:r>
          </w:p>
        </w:tc>
        <w:tc>
          <w:tcPr>
            <w:tcW w:type="dxa" w:w="893"/>
            <w:shd w:val="clear" w:color="auto" w:fill="E7E6E6"/>
          </w:tcPr>
          <w:p>
            <w:r/>
            <w:r>
              <w:rPr>
                <w:b/>
                <w:sz w:val="17"/>
              </w:rPr>
              <w:t>Q</w:t>
            </w:r>
            <w:r>
              <w:rPr>
                <w:b/>
                <w:sz w:val="17"/>
                <w:vertAlign w:val="subscript"/>
              </w:rPr>
              <w:t>15</w:t>
            </w:r>
          </w:p>
        </w:tc>
        <w:tc>
          <w:tcPr>
            <w:tcW w:type="dxa" w:w="893"/>
            <w:shd w:val="clear" w:color="auto" w:fill="E7E6E6"/>
          </w:tcPr>
          <w:p>
            <w:r/>
            <w:r>
              <w:rPr>
                <w:b/>
                <w:sz w:val="17"/>
              </w:rPr>
              <w:t>Q</w:t>
            </w:r>
            <w:r>
              <w:rPr>
                <w:b/>
                <w:sz w:val="17"/>
                <w:vertAlign w:val="subscript"/>
              </w:rPr>
              <w:t>33</w:t>
            </w:r>
          </w:p>
        </w:tc>
        <w:tc>
          <w:tcPr>
            <w:tcW w:type="dxa" w:w="893"/>
            <w:shd w:val="clear" w:color="auto" w:fill="E7E6E6"/>
          </w:tcPr>
          <w:p>
            <w:r/>
            <w:r>
              <w:rPr>
                <w:b/>
                <w:sz w:val="17"/>
              </w:rPr>
              <w:t>Q</w:t>
            </w:r>
            <w:r>
              <w:rPr>
                <w:b/>
                <w:sz w:val="17"/>
                <w:vertAlign w:val="subscript"/>
              </w:rPr>
              <w:t>35</w:t>
            </w:r>
          </w:p>
        </w:tc>
        <w:tc>
          <w:tcPr>
            <w:tcW w:type="dxa" w:w="893"/>
            <w:shd w:val="clear" w:color="auto" w:fill="E7E6E6"/>
          </w:tcPr>
          <w:p>
            <w:r/>
            <w:r>
              <w:rPr>
                <w:b/>
                <w:sz w:val="17"/>
              </w:rPr>
              <w:t>Q</w:t>
            </w:r>
            <w:r>
              <w:rPr>
                <w:b/>
                <w:sz w:val="17"/>
                <w:vertAlign w:val="subscript"/>
              </w:rPr>
              <w:t>55</w:t>
            </w:r>
          </w:p>
        </w:tc>
        <w:tc>
          <w:tcPr>
            <w:tcW w:type="dxa" w:w="950"/>
            <w:shd w:val="clear" w:color="auto" w:fill="E7E6E6"/>
          </w:tcPr>
          <w:p>
            <w:r/>
            <w:r>
              <w:rPr>
                <w:b/>
                <w:sz w:val="17"/>
              </w:rPr>
              <w:t>β</w:t>
            </w:r>
            <w:r>
              <w:rPr>
                <w:b/>
                <w:sz w:val="17"/>
                <w:vertAlign w:val="subscript"/>
              </w:rPr>
              <w:t>1</w:t>
            </w:r>
          </w:p>
        </w:tc>
        <w:tc>
          <w:tcPr>
            <w:tcW w:type="dxa" w:w="950"/>
            <w:shd w:val="clear" w:color="auto" w:fill="E7E6E6"/>
          </w:tcPr>
          <w:p>
            <w:r/>
            <w:r>
              <w:rPr>
                <w:b/>
                <w:sz w:val="17"/>
              </w:rPr>
              <w:t>β</w:t>
            </w:r>
            <w:r>
              <w:rPr>
                <w:b/>
                <w:sz w:val="17"/>
                <w:vertAlign w:val="subscript"/>
              </w:rPr>
              <w:t>3</w:t>
            </w:r>
          </w:p>
        </w:tc>
        <w:tc>
          <w:tcPr>
            <w:tcW w:type="dxa" w:w="950"/>
            <w:shd w:val="clear" w:color="auto" w:fill="E7E6E6"/>
          </w:tcPr>
          <w:p>
            <w:r/>
            <w:r>
              <w:rPr>
                <w:b/>
                <w:sz w:val="17"/>
              </w:rPr>
              <w:t>β</w:t>
            </w:r>
            <w:r>
              <w:rPr>
                <w:b/>
                <w:sz w:val="17"/>
                <w:vertAlign w:val="subscript"/>
              </w:rPr>
              <w:t>5</w:t>
            </w:r>
          </w:p>
        </w:tc>
        <w:tc>
          <w:tcPr>
            <w:tcW w:type="dxa" w:w="950"/>
            <w:shd w:val="clear" w:color="auto" w:fill="E7E6E6"/>
          </w:tcPr>
          <w:p>
            <w:r/>
            <w:r>
              <w:rPr>
                <w:b/>
                <w:sz w:val="17"/>
              </w:rPr>
              <w:t>‖β‖</w:t>
            </w:r>
          </w:p>
        </w:tc>
      </w:tr>
      <w:tr>
        <w:tc>
          <w:tcPr>
            <w:tcW w:type="dxa" w:w="893"/>
          </w:tcPr>
          <w:p>
            <w:r/>
            <w:r>
              <w:rPr>
                <w:sz w:val="17"/>
              </w:rPr>
              <w:t>242.8</w:t>
            </w:r>
          </w:p>
        </w:tc>
        <w:tc>
          <w:tcPr>
            <w:tcW w:type="dxa" w:w="893"/>
          </w:tcPr>
          <w:p>
            <w:r/>
            <w:r>
              <w:rPr>
                <w:sz w:val="17"/>
              </w:rPr>
              <w:t>160.0</w:t>
            </w:r>
          </w:p>
        </w:tc>
        <w:tc>
          <w:tcPr>
            <w:tcW w:type="dxa" w:w="893"/>
          </w:tcPr>
          <w:p>
            <w:r/>
            <w:r>
              <w:rPr>
                <w:sz w:val="17"/>
              </w:rPr>
              <w:t>-1.62</w:t>
            </w:r>
          </w:p>
        </w:tc>
        <w:tc>
          <w:tcPr>
            <w:tcW w:type="dxa" w:w="893"/>
          </w:tcPr>
          <w:p>
            <w:r/>
            <w:r>
              <w:rPr>
                <w:sz w:val="17"/>
              </w:rPr>
              <w:t>347.4</w:t>
            </w:r>
          </w:p>
        </w:tc>
        <w:tc>
          <w:tcPr>
            <w:tcW w:type="dxa" w:w="893"/>
          </w:tcPr>
          <w:p>
            <w:r/>
            <w:r>
              <w:rPr>
                <w:sz w:val="17"/>
              </w:rPr>
              <w:t>0.97</w:t>
            </w:r>
          </w:p>
        </w:tc>
        <w:tc>
          <w:tcPr>
            <w:tcW w:type="dxa" w:w="893"/>
          </w:tcPr>
          <w:p>
            <w:r/>
            <w:r>
              <w:rPr>
                <w:sz w:val="17"/>
              </w:rPr>
              <w:t>88.6</w:t>
            </w:r>
          </w:p>
        </w:tc>
        <w:tc>
          <w:tcPr>
            <w:tcW w:type="dxa" w:w="950"/>
          </w:tcPr>
          <w:p>
            <w:r/>
            <w:r>
              <w:rPr>
                <w:sz w:val="17"/>
              </w:rPr>
              <w:t>1.3093</w:t>
            </w:r>
          </w:p>
        </w:tc>
        <w:tc>
          <w:tcPr>
            <w:tcW w:type="dxa" w:w="950"/>
          </w:tcPr>
          <w:p>
            <w:r/>
            <w:r>
              <w:rPr>
                <w:sz w:val="17"/>
              </w:rPr>
              <w:t>1.5796</w:t>
            </w:r>
          </w:p>
        </w:tc>
        <w:tc>
          <w:tcPr>
            <w:tcW w:type="dxa" w:w="950"/>
          </w:tcPr>
          <w:p>
            <w:r/>
            <w:r>
              <w:rPr>
                <w:sz w:val="17"/>
              </w:rPr>
              <w:t>0.0018</w:t>
            </w:r>
          </w:p>
        </w:tc>
        <w:tc>
          <w:tcPr>
            <w:tcW w:type="dxa" w:w="950"/>
          </w:tcPr>
          <w:p>
            <w:r/>
            <w:r>
              <w:rPr>
                <w:sz w:val="17"/>
              </w:rPr>
              <w:t>2.0517</w:t>
            </w:r>
          </w:p>
        </w:tc>
      </w:tr>
    </w:tbl>
    <w:p>
      <w:pPr>
        <w:spacing w:after="40"/>
      </w:pPr>
    </w:p>
    <w:p>
      <w:pPr>
        <w:pStyle w:val="Heading2"/>
      </w:pPr>
      <w:r>
        <w:t>2.4 Rotation of the crystal</w:t>
      </w:r>
    </w:p>
    <w:p>
      <w:pPr>
        <w:spacing w:after="120"/>
        <w:jc w:val="both"/>
      </w:pPr>
      <w:r>
        <w:t>Rotating the crystal about the b axis by φ (equivalently, rotating the loading frame by −φ) transforms the material tensors but not the cavity: the cavity geometry is fixed in the laboratory frame and the crystal is turned underneath it.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66441" cy="204672"/>
                  <wp:docPr id="19" name="Picture 19"/>
                  <wp:cNvGraphicFramePr>
                    <a:graphicFrameLocks noChangeAspect="1"/>
                  </wp:cNvGraphicFramePr>
                  <a:graphic>
                    <a:graphicData uri="http://schemas.openxmlformats.org/drawingml/2006/picture">
                      <pic:pic>
                        <pic:nvPicPr>
                          <pic:cNvPr id="0" name="eq18.png"/>
                          <pic:cNvPicPr/>
                        </pic:nvPicPr>
                        <pic:blipFill>
                          <a:blip r:embed="rId27"/>
                          <a:stretch>
                            <a:fillRect/>
                          </a:stretch>
                        </pic:blipFill>
                        <pic:spPr>
                          <a:xfrm>
                            <a:off x="0" y="0"/>
                            <a:ext cx="2466441" cy="204672"/>
                          </a:xfrm>
                          <a:prstGeom prst="rect"/>
                        </pic:spPr>
                      </pic:pic>
                    </a:graphicData>
                  </a:graphic>
                </wp:inline>
              </w:drawing>
            </w:r>
          </w:p>
        </w:tc>
        <w:tc>
          <w:tcPr>
            <w:tcW w:type="dxa" w:w="1152"/>
          </w:tcPr>
          <w:p>
            <w:pPr>
              <w:jc w:val="right"/>
            </w:pPr>
            <w:r>
              <w:t>(18)</w:t>
            </w:r>
          </w:p>
        </w:tc>
      </w:tr>
    </w:tbl>
    <w:p>
      <w:pPr>
        <w:spacing w:after="120"/>
        <w:jc w:val="both"/>
      </w:pPr>
      <w:r>
        <w:t>acting on in-plane vectors as v</w:t>
      </w:r>
      <w:r>
        <w:rPr>
          <w:vertAlign w:val="subscript"/>
        </w:rPr>
        <w:t>lab</w:t>
      </w:r>
      <w:r>
        <w:t xml:space="preserve"> = R v</w:t>
      </w:r>
      <w:r>
        <w:rPr>
          <w:vertAlign w:val="subscript"/>
        </w:rPr>
        <w:t>crys</w:t>
      </w:r>
      <w:r>
        <w:t>, the fourth-order stiffness, the conductivity and the in-plane expansion transform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02810" cy="264262"/>
                  <wp:docPr id="20" name="Picture 20"/>
                  <wp:cNvGraphicFramePr>
                    <a:graphicFrameLocks noChangeAspect="1"/>
                  </wp:cNvGraphicFramePr>
                  <a:graphic>
                    <a:graphicData uri="http://schemas.openxmlformats.org/drawingml/2006/picture">
                      <pic:pic>
                        <pic:nvPicPr>
                          <pic:cNvPr id="0" name="eq19.png"/>
                          <pic:cNvPicPr/>
                        </pic:nvPicPr>
                        <pic:blipFill>
                          <a:blip r:embed="rId28"/>
                          <a:stretch>
                            <a:fillRect/>
                          </a:stretch>
                        </pic:blipFill>
                        <pic:spPr>
                          <a:xfrm>
                            <a:off x="0" y="0"/>
                            <a:ext cx="4502810" cy="264262"/>
                          </a:xfrm>
                          <a:prstGeom prst="rect"/>
                        </pic:spPr>
                      </pic:pic>
                    </a:graphicData>
                  </a:graphic>
                </wp:inline>
              </w:drawing>
            </w:r>
          </w:p>
        </w:tc>
        <w:tc>
          <w:tcPr>
            <w:tcW w:type="dxa" w:w="1152"/>
          </w:tcPr>
          <w:p>
            <w:pPr>
              <w:jc w:val="right"/>
            </w:pPr>
            <w:r>
              <w:t>(19)</w:t>
            </w:r>
          </w:p>
        </w:tc>
      </w:tr>
    </w:tbl>
    <w:p>
      <w:pPr>
        <w:spacing w:after="120"/>
        <w:jc w:val="both"/>
      </w:pPr>
      <w:r>
        <w:t>and the rotated plane-strain block Q′ is read off from C′ by the same assembly rules as in Eq. (11),</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7960"/>
                  <wp:docPr id="21" name="Picture 21"/>
                  <wp:cNvGraphicFramePr>
                    <a:graphicFrameLocks noChangeAspect="1"/>
                  </wp:cNvGraphicFramePr>
                  <a:graphic>
                    <a:graphicData uri="http://schemas.openxmlformats.org/drawingml/2006/picture">
                      <pic:pic>
                        <pic:nvPicPr>
                          <pic:cNvPr id="0" name="eq20.png"/>
                          <pic:cNvPicPr/>
                        </pic:nvPicPr>
                        <pic:blipFill>
                          <a:blip r:embed="rId29"/>
                          <a:stretch>
                            <a:fillRect/>
                          </a:stretch>
                        </pic:blipFill>
                        <pic:spPr>
                          <a:xfrm>
                            <a:off x="0" y="0"/>
                            <a:ext cx="4937760" cy="197960"/>
                          </a:xfrm>
                          <a:prstGeom prst="rect"/>
                        </pic:spPr>
                      </pic:pic>
                    </a:graphicData>
                  </a:graphic>
                </wp:inline>
              </w:drawing>
            </w:r>
          </w:p>
        </w:tc>
        <w:tc>
          <w:tcPr>
            <w:tcW w:type="dxa" w:w="1152"/>
          </w:tcPr>
          <w:p>
            <w:pPr>
              <w:jc w:val="right"/>
            </w:pPr>
            <w:r>
              <w:t>(20)</w:t>
            </w:r>
          </w:p>
        </w:tc>
      </w:tr>
    </w:tbl>
    <w:p>
      <w:pPr>
        <w:spacing w:after="120"/>
        <w:jc w:val="both"/>
      </w:pPr>
      <w:r>
        <w:t>which is the operation verified in test U1 against an independent three-dimensional rank-four implementation (Section 5.1). The b-axis expansion is not touched by the rotation about b, but the constants that carry it into the plane are: the symmetric 2×2 block S = [[C</w:t>
      </w:r>
      <w:r>
        <w:rPr>
          <w:vertAlign w:val="subscript"/>
        </w:rPr>
        <w:t>12</w:t>
      </w:r>
      <w:r>
        <w:t>, C</w:t>
      </w:r>
      <w:r>
        <w:rPr>
          <w:vertAlign w:val="subscript"/>
        </w:rPr>
        <w:t>25</w:t>
      </w:r>
      <w:r>
        <w:t>], [C</w:t>
      </w:r>
      <w:r>
        <w:rPr>
          <w:vertAlign w:val="subscript"/>
        </w:rPr>
        <w:t>25</w:t>
      </w:r>
      <w:r>
        <w:t>, C</w:t>
      </w:r>
      <w:r>
        <w:rPr>
          <w:vertAlign w:val="subscript"/>
        </w:rPr>
        <w:t>23</w:t>
      </w:r>
      <w:r>
        <w:t>]] transforms as S′ = R S R</w:t>
      </w:r>
      <w:r>
        <w:rPr>
          <w:vertAlign w:val="superscript"/>
        </w:rPr>
        <w:t>T</w:t>
      </w:r>
      <w:r>
        <w:t>, i.e. with c = cos φ and s = sin φ,</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0944"/>
                  <wp:docPr id="22" name="Picture 22"/>
                  <wp:cNvGraphicFramePr>
                    <a:graphicFrameLocks noChangeAspect="1"/>
                  </wp:cNvGraphicFramePr>
                  <a:graphic>
                    <a:graphicData uri="http://schemas.openxmlformats.org/drawingml/2006/picture">
                      <pic:pic>
                        <pic:nvPicPr>
                          <pic:cNvPr id="0" name="eq21.png"/>
                          <pic:cNvPicPr/>
                        </pic:nvPicPr>
                        <pic:blipFill>
                          <a:blip r:embed="rId30"/>
                          <a:stretch>
                            <a:fillRect/>
                          </a:stretch>
                        </pic:blipFill>
                        <pic:spPr>
                          <a:xfrm>
                            <a:off x="0" y="0"/>
                            <a:ext cx="2046732" cy="240944"/>
                          </a:xfrm>
                          <a:prstGeom prst="rect"/>
                        </pic:spPr>
                      </pic:pic>
                    </a:graphicData>
                  </a:graphic>
                </wp:inline>
              </w:drawing>
            </w:r>
          </w:p>
        </w:tc>
        <w:tc>
          <w:tcPr>
            <w:tcW w:type="dxa" w:w="1152"/>
          </w:tcPr>
          <w:p>
            <w:pPr>
              <w:jc w:val="right"/>
            </w:pPr>
            <w:r>
              <w:t>(21)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3535"/>
                  <wp:docPr id="23" name="Picture 23"/>
                  <wp:cNvGraphicFramePr>
                    <a:graphicFrameLocks noChangeAspect="1"/>
                  </wp:cNvGraphicFramePr>
                  <a:graphic>
                    <a:graphicData uri="http://schemas.openxmlformats.org/drawingml/2006/picture">
                      <pic:pic>
                        <pic:nvPicPr>
                          <pic:cNvPr id="0" name="eq22.png"/>
                          <pic:cNvPicPr/>
                        </pic:nvPicPr>
                        <pic:blipFill>
                          <a:blip r:embed="rId31"/>
                          <a:stretch>
                            <a:fillRect/>
                          </a:stretch>
                        </pic:blipFill>
                        <pic:spPr>
                          <a:xfrm>
                            <a:off x="0" y="0"/>
                            <a:ext cx="2046732" cy="243535"/>
                          </a:xfrm>
                          <a:prstGeom prst="rect"/>
                        </pic:spPr>
                      </pic:pic>
                    </a:graphicData>
                  </a:graphic>
                </wp:inline>
              </w:drawing>
            </w:r>
          </w:p>
        </w:tc>
        <w:tc>
          <w:tcPr>
            <w:tcW w:type="dxa" w:w="1152"/>
          </w:tcPr>
          <w:p>
            <w:pPr>
              <w:jc w:val="right"/>
            </w:pPr>
            <w:r>
              <w:t>(22)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6538" cy="243535"/>
                  <wp:docPr id="24" name="Picture 24"/>
                  <wp:cNvGraphicFramePr>
                    <a:graphicFrameLocks noChangeAspect="1"/>
                  </wp:cNvGraphicFramePr>
                  <a:graphic>
                    <a:graphicData uri="http://schemas.openxmlformats.org/drawingml/2006/picture">
                      <pic:pic>
                        <pic:nvPicPr>
                          <pic:cNvPr id="0" name="eq23.png"/>
                          <pic:cNvPicPr/>
                        </pic:nvPicPr>
                        <pic:blipFill>
                          <a:blip r:embed="rId32"/>
                          <a:stretch>
                            <a:fillRect/>
                          </a:stretch>
                        </pic:blipFill>
                        <pic:spPr>
                          <a:xfrm>
                            <a:off x="0" y="0"/>
                            <a:ext cx="2326538" cy="243535"/>
                          </a:xfrm>
                          <a:prstGeom prst="rect"/>
                        </pic:spPr>
                      </pic:pic>
                    </a:graphicData>
                  </a:graphic>
                </wp:inline>
              </w:drawing>
            </w:r>
          </w:p>
        </w:tc>
        <w:tc>
          <w:tcPr>
            <w:tcW w:type="dxa" w:w="1152"/>
          </w:tcPr>
          <w:p>
            <w:pPr>
              <w:jc w:val="right"/>
            </w:pPr>
            <w:r>
              <w:t>(23)</w:t>
            </w:r>
          </w:p>
        </w:tc>
      </w:tr>
    </w:tbl>
    <w:p>
      <w:pPr>
        <w:spacing w:after="120"/>
        <w:jc w:val="both"/>
      </w:pPr>
      <w:r>
        <w:t>so that the thermal-stress vector in the laboratory frame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39541" cy="227990"/>
                  <wp:docPr id="25" name="Picture 25"/>
                  <wp:cNvGraphicFramePr>
                    <a:graphicFrameLocks noChangeAspect="1"/>
                  </wp:cNvGraphicFramePr>
                  <a:graphic>
                    <a:graphicData uri="http://schemas.openxmlformats.org/drawingml/2006/picture">
                      <pic:pic>
                        <pic:nvPicPr>
                          <pic:cNvPr id="0" name="eq24.png"/>
                          <pic:cNvPicPr/>
                        </pic:nvPicPr>
                        <pic:blipFill>
                          <a:blip r:embed="rId33"/>
                          <a:stretch>
                            <a:fillRect/>
                          </a:stretch>
                        </pic:blipFill>
                        <pic:spPr>
                          <a:xfrm>
                            <a:off x="0" y="0"/>
                            <a:ext cx="3339541" cy="227990"/>
                          </a:xfrm>
                          <a:prstGeom prst="rect"/>
                        </pic:spPr>
                      </pic:pic>
                    </a:graphicData>
                  </a:graphic>
                </wp:inline>
              </w:drawing>
            </w:r>
          </w:p>
        </w:tc>
        <w:tc>
          <w:tcPr>
            <w:tcW w:type="dxa" w:w="1152"/>
          </w:tcPr>
          <w:p>
            <w:pPr>
              <w:jc w:val="right"/>
            </w:pPr>
            <w:r>
              <w:t>(24)</w:t>
            </w:r>
          </w:p>
        </w:tc>
      </w:tr>
    </w:tbl>
    <w:p>
      <w:pPr>
        <w:spacing w:after="120"/>
        <w:jc w:val="both"/>
      </w:pPr>
      <w:r>
        <w:t>the factor 2 in the third slot being the engineering-shear convention. Two consequences are worth noting. First, the thermal shear β′</w:t>
      </w:r>
      <w:r>
        <w:rPr>
          <w:vertAlign w:val="subscript"/>
        </w:rPr>
        <w:t>5</w:t>
      </w:r>
      <w:r>
        <w:t xml:space="preserve"> does not vanish after rotation even though α</w:t>
      </w:r>
      <w:r>
        <w:rPr>
          <w:vertAlign w:val="subscript"/>
        </w:rPr>
        <w:t>5</w:t>
      </w:r>
      <w:r>
        <w:t xml:space="preserve"> = 0 in the crystal frame (Table 3): the rotated in-plane expansion acquires the off-diagonal component α′</w:t>
      </w:r>
      <w:r>
        <w:rPr>
          <w:vertAlign w:val="subscript"/>
        </w:rPr>
        <w:t>13</w:t>
      </w:r>
      <w:r>
        <w:t xml:space="preserve"> = (c² − s²)· 0 + cs(α</w:t>
      </w:r>
      <w:r>
        <w:rPr>
          <w:vertAlign w:val="subscript"/>
        </w:rPr>
        <w:t>c</w:t>
      </w:r>
      <w:r>
        <w:t xml:space="preserve"> − α</w:t>
      </w:r>
      <w:r>
        <w:rPr>
          <w:vertAlign w:val="subscript"/>
        </w:rPr>
        <w:t>a</w:t>
      </w:r>
      <w:r>
        <w:t>) ≠ 0 whenever α</w:t>
      </w:r>
      <w:r>
        <w:rPr>
          <w:vertAlign w:val="subscript"/>
        </w:rPr>
        <w:t>a</w:t>
      </w:r>
      <w:r>
        <w:t xml:space="preserve"> ≠ α</w:t>
      </w:r>
      <w:r>
        <w:rPr>
          <w:vertAlign w:val="subscript"/>
        </w:rPr>
        <w:t>c</w:t>
      </w:r>
      <w:r>
        <w:t>. Second, all three components of S′ enter through the cross term − 2cs C</w:t>
      </w:r>
      <w:r>
        <w:rPr>
          <w:vertAlign w:val="subscript"/>
        </w:rPr>
        <w:t>25</w:t>
      </w:r>
      <w:r>
        <w:t xml:space="preserve"> = -0.312 GPa at φ = 30°, and an error in the sign of that term is invisible at φ = 0 and φ = 90° (where cs = 0) but not at intermediate angles: this is precisely the defect carried by a superseded version of this analysis, which tests U1 and V3 now exclude (Section 5.1).</w:t>
      </w:r>
    </w:p>
    <w:p>
      <w:r>
        <w:rPr>
          <w:b/>
          <w:sz w:val="19"/>
        </w:rPr>
        <w:t>Table 3.</w:t>
      </w:r>
      <w:r>
        <w:rPr>
          <w:sz w:val="19"/>
        </w:rPr>
        <w:t xml:space="preserve"> Thermal-stress vector in the laboratory frame at four crystal rotations (computed from Table 4 with Eq. (24)).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E7E6E6"/>
          </w:tcPr>
          <w:p>
            <w:r/>
            <w:r>
              <w:rPr>
                <w:b/>
                <w:sz w:val="17"/>
              </w:rPr>
              <w:t>φ</w:t>
            </w:r>
          </w:p>
        </w:tc>
        <w:tc>
          <w:tcPr>
            <w:tcW w:type="dxa" w:w="1872"/>
            <w:shd w:val="clear" w:color="auto" w:fill="E7E6E6"/>
          </w:tcPr>
          <w:p>
            <w:r/>
            <w:r>
              <w:rPr>
                <w:b/>
                <w:sz w:val="17"/>
              </w:rPr>
              <w:t>β′</w:t>
            </w:r>
            <w:r>
              <w:rPr>
                <w:b/>
                <w:sz w:val="17"/>
                <w:vertAlign w:val="subscript"/>
              </w:rPr>
              <w:t>1</w:t>
            </w:r>
            <w:r>
              <w:rPr>
                <w:b/>
                <w:sz w:val="17"/>
              </w:rPr>
              <w:t xml:space="preserve"> (MPa/K)</w:t>
            </w:r>
          </w:p>
        </w:tc>
        <w:tc>
          <w:tcPr>
            <w:tcW w:type="dxa" w:w="1872"/>
            <w:shd w:val="clear" w:color="auto" w:fill="E7E6E6"/>
          </w:tcPr>
          <w:p>
            <w:r/>
            <w:r>
              <w:rPr>
                <w:b/>
                <w:sz w:val="17"/>
              </w:rPr>
              <w:t>β′</w:t>
            </w:r>
            <w:r>
              <w:rPr>
                <w:b/>
                <w:sz w:val="17"/>
                <w:vertAlign w:val="subscript"/>
              </w:rPr>
              <w:t>3</w:t>
            </w:r>
            <w:r>
              <w:rPr>
                <w:b/>
                <w:sz w:val="17"/>
              </w:rPr>
              <w:t xml:space="preserve"> (MPa/K)</w:t>
            </w:r>
          </w:p>
        </w:tc>
        <w:tc>
          <w:tcPr>
            <w:tcW w:type="dxa" w:w="1872"/>
            <w:shd w:val="clear" w:color="auto" w:fill="E7E6E6"/>
          </w:tcPr>
          <w:p>
            <w:r/>
            <w:r>
              <w:rPr>
                <w:b/>
                <w:sz w:val="17"/>
              </w:rPr>
              <w:t>β′</w:t>
            </w:r>
            <w:r>
              <w:rPr>
                <w:b/>
                <w:sz w:val="17"/>
                <w:vertAlign w:val="subscript"/>
              </w:rPr>
              <w:t>5</w:t>
            </w:r>
            <w:r>
              <w:rPr>
                <w:b/>
                <w:sz w:val="17"/>
              </w:rPr>
              <w:t xml:space="preserve"> (MPa/K)</w:t>
            </w:r>
          </w:p>
        </w:tc>
        <w:tc>
          <w:tcPr>
            <w:tcW w:type="dxa" w:w="1872"/>
            <w:shd w:val="clear" w:color="auto" w:fill="E7E6E6"/>
          </w:tcPr>
          <w:p>
            <w:r/>
            <w:r>
              <w:rPr>
                <w:b/>
                <w:sz w:val="17"/>
              </w:rPr>
              <w:t>‖β′‖ (MPa/K)</w:t>
            </w:r>
          </w:p>
        </w:tc>
      </w:tr>
      <w:tr>
        <w:tc>
          <w:tcPr>
            <w:tcW w:type="dxa" w:w="1008"/>
          </w:tcPr>
          <w:p>
            <w:r/>
            <w:r>
              <w:rPr>
                <w:sz w:val="17"/>
              </w:rPr>
              <w:t>0°</w:t>
            </w:r>
          </w:p>
        </w:tc>
        <w:tc>
          <w:tcPr>
            <w:tcW w:type="dxa" w:w="1872"/>
          </w:tcPr>
          <w:p>
            <w:r/>
            <w:r>
              <w:rPr>
                <w:sz w:val="17"/>
              </w:rPr>
              <w:t>+1.3093</w:t>
            </w:r>
          </w:p>
        </w:tc>
        <w:tc>
          <w:tcPr>
            <w:tcW w:type="dxa" w:w="1872"/>
          </w:tcPr>
          <w:p>
            <w:r/>
            <w:r>
              <w:rPr>
                <w:sz w:val="17"/>
              </w:rPr>
              <w:t>+1.5796</w:t>
            </w:r>
          </w:p>
        </w:tc>
        <w:tc>
          <w:tcPr>
            <w:tcW w:type="dxa" w:w="1872"/>
          </w:tcPr>
          <w:p>
            <w:r/>
            <w:r>
              <w:rPr>
                <w:sz w:val="17"/>
              </w:rPr>
              <w:t>+0.0018</w:t>
            </w:r>
          </w:p>
        </w:tc>
        <w:tc>
          <w:tcPr>
            <w:tcW w:type="dxa" w:w="1872"/>
          </w:tcPr>
          <w:p>
            <w:r/>
            <w:r>
              <w:rPr>
                <w:sz w:val="17"/>
              </w:rPr>
              <w:t>2.0517</w:t>
            </w:r>
          </w:p>
        </w:tc>
      </w:tr>
      <w:tr>
        <w:tc>
          <w:tcPr>
            <w:tcW w:type="dxa" w:w="1008"/>
          </w:tcPr>
          <w:p>
            <w:r/>
            <w:r>
              <w:rPr>
                <w:sz w:val="17"/>
              </w:rPr>
              <w:t>30°</w:t>
            </w:r>
          </w:p>
        </w:tc>
        <w:tc>
          <w:tcPr>
            <w:tcW w:type="dxa" w:w="1872"/>
          </w:tcPr>
          <w:p>
            <w:r/>
            <w:r>
              <w:rPr>
                <w:sz w:val="17"/>
              </w:rPr>
              <w:t>+1.3753</w:t>
            </w:r>
          </w:p>
        </w:tc>
        <w:tc>
          <w:tcPr>
            <w:tcW w:type="dxa" w:w="1872"/>
          </w:tcPr>
          <w:p>
            <w:r/>
            <w:r>
              <w:rPr>
                <w:sz w:val="17"/>
              </w:rPr>
              <w:t>+1.5136</w:t>
            </w:r>
          </w:p>
        </w:tc>
        <w:tc>
          <w:tcPr>
            <w:tcW w:type="dxa" w:w="1872"/>
          </w:tcPr>
          <w:p>
            <w:r/>
            <w:r>
              <w:rPr>
                <w:sz w:val="17"/>
              </w:rPr>
              <w:t>-0.1162</w:t>
            </w:r>
          </w:p>
        </w:tc>
        <w:tc>
          <w:tcPr>
            <w:tcW w:type="dxa" w:w="1872"/>
          </w:tcPr>
          <w:p>
            <w:r/>
            <w:r>
              <w:rPr>
                <w:sz w:val="17"/>
              </w:rPr>
              <w:t>2.0484</w:t>
            </w:r>
          </w:p>
        </w:tc>
      </w:tr>
      <w:tr>
        <w:tc>
          <w:tcPr>
            <w:tcW w:type="dxa" w:w="1008"/>
          </w:tcPr>
          <w:p>
            <w:r/>
            <w:r>
              <w:rPr>
                <w:sz w:val="17"/>
              </w:rPr>
              <w:t>45°</w:t>
            </w:r>
          </w:p>
        </w:tc>
        <w:tc>
          <w:tcPr>
            <w:tcW w:type="dxa" w:w="1872"/>
          </w:tcPr>
          <w:p>
            <w:r/>
            <w:r>
              <w:rPr>
                <w:sz w:val="17"/>
              </w:rPr>
              <w:t>+1.4427</w:t>
            </w:r>
          </w:p>
        </w:tc>
        <w:tc>
          <w:tcPr>
            <w:tcW w:type="dxa" w:w="1872"/>
          </w:tcPr>
          <w:p>
            <w:r/>
            <w:r>
              <w:rPr>
                <w:sz w:val="17"/>
              </w:rPr>
              <w:t>+1.4462</w:t>
            </w:r>
          </w:p>
        </w:tc>
        <w:tc>
          <w:tcPr>
            <w:tcW w:type="dxa" w:w="1872"/>
          </w:tcPr>
          <w:p>
            <w:r/>
            <w:r>
              <w:rPr>
                <w:sz w:val="17"/>
              </w:rPr>
              <w:t>-0.1352</w:t>
            </w:r>
          </w:p>
        </w:tc>
        <w:tc>
          <w:tcPr>
            <w:tcW w:type="dxa" w:w="1872"/>
          </w:tcPr>
          <w:p>
            <w:r/>
            <w:r>
              <w:rPr>
                <w:sz w:val="17"/>
              </w:rPr>
              <w:t>2.0472</w:t>
            </w:r>
          </w:p>
        </w:tc>
      </w:tr>
      <w:tr>
        <w:tc>
          <w:tcPr>
            <w:tcW w:type="dxa" w:w="1008"/>
          </w:tcPr>
          <w:p>
            <w:r/>
            <w:r>
              <w:rPr>
                <w:sz w:val="17"/>
              </w:rPr>
              <w:t>90°</w:t>
            </w:r>
          </w:p>
        </w:tc>
        <w:tc>
          <w:tcPr>
            <w:tcW w:type="dxa" w:w="1872"/>
          </w:tcPr>
          <w:p>
            <w:r/>
            <w:r>
              <w:rPr>
                <w:sz w:val="17"/>
              </w:rPr>
              <w:t>+1.5796</w:t>
            </w:r>
          </w:p>
        </w:tc>
        <w:tc>
          <w:tcPr>
            <w:tcW w:type="dxa" w:w="1872"/>
          </w:tcPr>
          <w:p>
            <w:r/>
            <w:r>
              <w:rPr>
                <w:sz w:val="17"/>
              </w:rPr>
              <w:t>+1.3093</w:t>
            </w:r>
          </w:p>
        </w:tc>
        <w:tc>
          <w:tcPr>
            <w:tcW w:type="dxa" w:w="1872"/>
          </w:tcPr>
          <w:p>
            <w:r/>
            <w:r>
              <w:rPr>
                <w:sz w:val="17"/>
              </w:rPr>
              <w:t>-0.0018</w:t>
            </w:r>
          </w:p>
        </w:tc>
        <w:tc>
          <w:tcPr>
            <w:tcW w:type="dxa" w:w="1872"/>
          </w:tcPr>
          <w:p>
            <w:r/>
            <w:r>
              <w:rPr>
                <w:sz w:val="17"/>
              </w:rPr>
              <w:t>2.0517</w:t>
            </w:r>
          </w:p>
        </w:tc>
      </w:tr>
    </w:tbl>
    <w:p>
      <w:pPr>
        <w:spacing w:after="40"/>
      </w:pPr>
    </w:p>
    <w:p>
      <w:pPr>
        <w:pStyle w:val="Heading2"/>
      </w:pPr>
      <w:r>
        <w:t>2.5 Conduction kernels in the Laplace domain</w:t>
      </w:r>
    </w:p>
    <w:p>
      <w:pPr>
        <w:spacing w:after="120"/>
        <w:jc w:val="both"/>
      </w:pPr>
      <w:r>
        <w:t>In the Laplace domain (variable s, Re s &gt; 0) all three conduction models used here are the same diffusion operator with a scalar, frequency-dependent conductivity factor, so that the heat equation reads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9129" cy="266852"/>
                  <wp:docPr id="26" name="Picture 26"/>
                  <wp:cNvGraphicFramePr>
                    <a:graphicFrameLocks noChangeAspect="1"/>
                  </wp:cNvGraphicFramePr>
                  <a:graphic>
                    <a:graphicData uri="http://schemas.openxmlformats.org/drawingml/2006/picture">
                      <pic:pic>
                        <pic:nvPicPr>
                          <pic:cNvPr id="0" name="eq25.png"/>
                          <pic:cNvPicPr/>
                        </pic:nvPicPr>
                        <pic:blipFill>
                          <a:blip r:embed="rId34"/>
                          <a:stretch>
                            <a:fillRect/>
                          </a:stretch>
                        </pic:blipFill>
                        <pic:spPr>
                          <a:xfrm>
                            <a:off x="0" y="0"/>
                            <a:ext cx="2329129" cy="266852"/>
                          </a:xfrm>
                          <a:prstGeom prst="rect"/>
                        </pic:spPr>
                      </pic:pic>
                    </a:graphicData>
                  </a:graphic>
                </wp:inline>
              </w:drawing>
            </w:r>
          </w:p>
        </w:tc>
        <w:tc>
          <w:tcPr>
            <w:tcW w:type="dxa" w:w="1152"/>
          </w:tcPr>
          <w:p>
            <w:pPr>
              <w:jc w:val="right"/>
            </w:pPr>
            <w:r>
              <w:t>(25)</w:t>
            </w:r>
          </w:p>
        </w:tc>
      </w:tr>
    </w:tbl>
    <w:p>
      <w:pPr>
        <w:spacing w:after="120"/>
        <w:jc w:val="both"/>
      </w:pPr>
      <w:r>
        <w:t>and the momentum equation is unchanged apart from the transform of the inertia term,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15642" cy="256489"/>
                  <wp:docPr id="27" name="Picture 27"/>
                  <wp:cNvGraphicFramePr>
                    <a:graphicFrameLocks noChangeAspect="1"/>
                  </wp:cNvGraphicFramePr>
                  <a:graphic>
                    <a:graphicData uri="http://schemas.openxmlformats.org/drawingml/2006/picture">
                      <pic:pic>
                        <pic:nvPicPr>
                          <pic:cNvPr id="0" name="eq26.png"/>
                          <pic:cNvPicPr/>
                        </pic:nvPicPr>
                        <pic:blipFill>
                          <a:blip r:embed="rId35"/>
                          <a:stretch>
                            <a:fillRect/>
                          </a:stretch>
                        </pic:blipFill>
                        <pic:spPr>
                          <a:xfrm>
                            <a:off x="0" y="0"/>
                            <a:ext cx="2015642" cy="256489"/>
                          </a:xfrm>
                          <a:prstGeom prst="rect"/>
                        </pic:spPr>
                      </pic:pic>
                    </a:graphicData>
                  </a:graphic>
                </wp:inline>
              </w:drawing>
            </w:r>
          </w:p>
        </w:tc>
        <w:tc>
          <w:tcPr>
            <w:tcW w:type="dxa" w:w="1152"/>
          </w:tcPr>
          <w:p>
            <w:pPr>
              <w:jc w:val="right"/>
            </w:pPr>
            <w:r>
              <w:t>(26)</w:t>
            </w:r>
          </w:p>
        </w:tc>
      </w:tr>
    </w:tbl>
    <w:p>
      <w:pPr>
        <w:spacing w:after="120"/>
        <w:jc w:val="both"/>
      </w:pPr>
      <w:r>
        <w:t>with the kernel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57323"/>
                  <wp:docPr id="28" name="Picture 28"/>
                  <wp:cNvGraphicFramePr>
                    <a:graphicFrameLocks noChangeAspect="1"/>
                  </wp:cNvGraphicFramePr>
                  <a:graphic>
                    <a:graphicData uri="http://schemas.openxmlformats.org/drawingml/2006/picture">
                      <pic:pic>
                        <pic:nvPicPr>
                          <pic:cNvPr id="0" name="eq27.png"/>
                          <pic:cNvPicPr/>
                        </pic:nvPicPr>
                        <pic:blipFill>
                          <a:blip r:embed="rId36"/>
                          <a:stretch>
                            <a:fillRect/>
                          </a:stretch>
                        </pic:blipFill>
                        <pic:spPr>
                          <a:xfrm>
                            <a:off x="0" y="0"/>
                            <a:ext cx="4937760" cy="157323"/>
                          </a:xfrm>
                          <a:prstGeom prst="rect"/>
                        </pic:spPr>
                      </pic:pic>
                    </a:graphicData>
                  </a:graphic>
                </wp:inline>
              </w:drawing>
            </w:r>
          </w:p>
        </w:tc>
        <w:tc>
          <w:tcPr>
            <w:tcW w:type="dxa" w:w="1152"/>
          </w:tcPr>
          <w:p>
            <w:pPr>
              <w:jc w:val="right"/>
            </w:pPr>
            <w:r>
              <w:t>(27)</w:t>
            </w:r>
          </w:p>
        </w:tc>
      </w:tr>
    </w:tbl>
    <w:p>
      <w:pPr>
        <w:spacing w:after="120"/>
        <w:jc w:val="both"/>
      </w:pPr>
      <w:r>
        <w:t>the last with τ</w:t>
      </w:r>
      <w:r>
        <w:rPr>
          <w:vertAlign w:val="subscript"/>
        </w:rPr>
        <w:t>a</w:t>
      </w:r>
      <w:r>
        <w:t xml:space="preserve"> = τ/2 and τ</w:t>
      </w:r>
      <w:r>
        <w:rPr>
          <w:vertAlign w:val="subscript"/>
        </w:rPr>
        <w:t>b</w:t>
      </w:r>
      <w:r>
        <w:t xml:space="preserve"> = 2τ, i.e. an effective relaxation time τ</w:t>
      </w:r>
      <w:r>
        <w:rPr>
          <w:vertAlign w:val="subscript"/>
        </w:rPr>
        <w:t>eff</w:t>
      </w:r>
      <w:r>
        <w:t xml:space="preserve"> = ½(τ</w:t>
      </w:r>
      <w:r>
        <w:rPr>
          <w:vertAlign w:val="subscript"/>
        </w:rPr>
        <w:t>a</w:t>
      </w:r>
      <w:r>
        <w:t xml:space="preserve"> + τ</w:t>
      </w:r>
      <w:r>
        <w:rPr>
          <w:vertAlign w:val="subscript"/>
        </w:rPr>
        <w:t>b</w:t>
      </w:r>
      <w:r>
        <w:t>) = 1.25τ. Both non-Fourier kernels are positive real, so the models are passive; the two-relaxation-time kernel is a sensitivity device for asking how much of the thermal-memory effect depends on the shape of the kernel, and it is labelled exploratory wherever it appears because it does not follow from a free-energy functional. In the Fourier limit sτ → 0 all three kernels tend to one, and the small-s expansion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90242" cy="227990"/>
                  <wp:docPr id="29" name="Picture 29"/>
                  <wp:cNvGraphicFramePr>
                    <a:graphicFrameLocks noChangeAspect="1"/>
                  </wp:cNvGraphicFramePr>
                  <a:graphic>
                    <a:graphicData uri="http://schemas.openxmlformats.org/drawingml/2006/picture">
                      <pic:pic>
                        <pic:nvPicPr>
                          <pic:cNvPr id="0" name="eq28.png"/>
                          <pic:cNvPicPr/>
                        </pic:nvPicPr>
                        <pic:blipFill>
                          <a:blip r:embed="rId37"/>
                          <a:stretch>
                            <a:fillRect/>
                          </a:stretch>
                        </pic:blipFill>
                        <pic:spPr>
                          <a:xfrm>
                            <a:off x="0" y="0"/>
                            <a:ext cx="1790242" cy="227990"/>
                          </a:xfrm>
                          <a:prstGeom prst="rect"/>
                        </pic:spPr>
                      </pic:pic>
                    </a:graphicData>
                  </a:graphic>
                </wp:inline>
              </w:drawing>
            </w:r>
          </w:p>
        </w:tc>
        <w:tc>
          <w:tcPr>
            <w:tcW w:type="dxa" w:w="1152"/>
          </w:tcPr>
          <w:p>
            <w:pPr>
              <w:jc w:val="right"/>
            </w:pPr>
            <w:r>
              <w:t>(28)</w:t>
            </w:r>
          </w:p>
        </w:tc>
      </w:tr>
    </w:tbl>
    <w:p>
      <w:pPr>
        <w:spacing w:after="120"/>
        <w:jc w:val="both"/>
      </w:pPr>
      <w:r>
        <w:t>shows that the leading effect of thermal memory is a frequency-dependent reduction of the effective conductivity; in the time domain the same statement is that the flux lags the gradient. The physical motivation for such laws comes from heat conduction at small scales [35,36,37,38], the two-relaxation-time form is the two-term version of the multi-phase-lag kernels [39], and general presentations of the theories are given in [28,40,41].</w:t>
      </w:r>
    </w:p>
    <w:p>
      <w:pPr>
        <w:pStyle w:val="Heading2"/>
      </w:pPr>
      <w:r>
        <w:t>2.6 Boundary and initial conditions</w:t>
      </w:r>
    </w:p>
    <w:p>
      <w:pPr>
        <w:spacing w:after="120"/>
        <w:jc w:val="both"/>
      </w:pPr>
      <w:r>
        <w:t>The cavity wall Γ</w:t>
      </w:r>
      <w:r>
        <w:rPr>
          <w:vertAlign w:val="subscript"/>
        </w:rPr>
        <w:t>c</w:t>
      </w:r>
      <w:r>
        <w:t xml:space="preserve"> is traction-free and held at a prescribed temperature; the outer boundary Γ</w:t>
      </w:r>
      <w:r>
        <w:rPr>
          <w:vertAlign w:val="subscript"/>
        </w:rPr>
        <w:t>R</w:t>
      </w:r>
      <w:r>
        <w:t xml:space="preserve"> at R = 80a is clamped and cold: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88258" cy="204672"/>
                  <wp:docPr id="30" name="Picture 30"/>
                  <wp:cNvGraphicFramePr>
                    <a:graphicFrameLocks noChangeAspect="1"/>
                  </wp:cNvGraphicFramePr>
                  <a:graphic>
                    <a:graphicData uri="http://schemas.openxmlformats.org/drawingml/2006/picture">
                      <pic:pic>
                        <pic:nvPicPr>
                          <pic:cNvPr id="0" name="eq29.png"/>
                          <pic:cNvPicPr/>
                        </pic:nvPicPr>
                        <pic:blipFill>
                          <a:blip r:embed="rId38"/>
                          <a:stretch>
                            <a:fillRect/>
                          </a:stretch>
                        </pic:blipFill>
                        <pic:spPr>
                          <a:xfrm>
                            <a:off x="0" y="0"/>
                            <a:ext cx="3588258" cy="204672"/>
                          </a:xfrm>
                          <a:prstGeom prst="rect"/>
                        </pic:spPr>
                      </pic:pic>
                    </a:graphicData>
                  </a:graphic>
                </wp:inline>
              </w:drawing>
            </w:r>
          </w:p>
        </w:tc>
        <w:tc>
          <w:tcPr>
            <w:tcW w:type="dxa" w:w="1152"/>
          </w:tcPr>
          <w:p>
            <w:pPr>
              <w:jc w:val="right"/>
            </w:pPr>
            <w:r>
              <w:t>(29)</w:t>
            </w:r>
          </w:p>
        </w:tc>
      </w:tr>
    </w:tbl>
    <w:p>
      <w:pPr>
        <w:spacing w:after="120"/>
        <w:jc w:val="both"/>
      </w:pPr>
      <w:r>
        <w:t>with the outward normal n of the cavity wall (pointing into the solid). The wall temperature is the Gaussian pulse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25037" cy="292760"/>
                  <wp:docPr id="31" name="Picture 31"/>
                  <wp:cNvGraphicFramePr>
                    <a:graphicFrameLocks noChangeAspect="1"/>
                  </wp:cNvGraphicFramePr>
                  <a:graphic>
                    <a:graphicData uri="http://schemas.openxmlformats.org/drawingml/2006/picture">
                      <pic:pic>
                        <pic:nvPicPr>
                          <pic:cNvPr id="0" name="eq30.png"/>
                          <pic:cNvPicPr/>
                        </pic:nvPicPr>
                        <pic:blipFill>
                          <a:blip r:embed="rId39"/>
                          <a:stretch>
                            <a:fillRect/>
                          </a:stretch>
                        </pic:blipFill>
                        <pic:spPr>
                          <a:xfrm>
                            <a:off x="0" y="0"/>
                            <a:ext cx="3425037" cy="292760"/>
                          </a:xfrm>
                          <a:prstGeom prst="rect"/>
                        </pic:spPr>
                      </pic:pic>
                    </a:graphicData>
                  </a:graphic>
                </wp:inline>
              </w:drawing>
            </w:r>
          </w:p>
        </w:tc>
        <w:tc>
          <w:tcPr>
            <w:tcW w:type="dxa" w:w="1152"/>
          </w:tcPr>
          <w:p>
            <w:pPr>
              <w:jc w:val="right"/>
            </w:pPr>
            <w:r>
              <w:t>(30)</w:t>
            </w:r>
          </w:p>
        </w:tc>
      </w:tr>
    </w:tbl>
    <w:p>
      <w:pPr>
        <w:spacing w:after="120"/>
        <w:jc w:val="both"/>
      </w:pPr>
      <w:r>
        <w:t>and the medium is quiescent before it: u = θ = 0 and ∂u/∂t = 0 for t &lt; 0. The response computed in Section 6 is therefore the response to a single pulse, not the periodic steady state of a pulse train; the distinction is quantitative, not cosmetic (Section 4.6). Because the wall temperature is a Dirichlet condition, the wall itself shows no thermoelastic feedback by construction, and the finite domain with a clamped outer boundary supports elastic echoes: the first return of the longitudinal wave to the wall occurs 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243632" cy="238354"/>
                  <wp:docPr id="32" name="Picture 32"/>
                  <wp:cNvGraphicFramePr>
                    <a:graphicFrameLocks noChangeAspect="1"/>
                  </wp:cNvGraphicFramePr>
                  <a:graphic>
                    <a:graphicData uri="http://schemas.openxmlformats.org/drawingml/2006/picture">
                      <pic:pic>
                        <pic:nvPicPr>
                          <pic:cNvPr id="0" name="eq31.png"/>
                          <pic:cNvPicPr/>
                        </pic:nvPicPr>
                        <pic:blipFill>
                          <a:blip r:embed="rId40"/>
                          <a:stretch>
                            <a:fillRect/>
                          </a:stretch>
                        </pic:blipFill>
                        <pic:spPr>
                          <a:xfrm>
                            <a:off x="0" y="0"/>
                            <a:ext cx="2243632" cy="238354"/>
                          </a:xfrm>
                          <a:prstGeom prst="rect"/>
                        </pic:spPr>
                      </pic:pic>
                    </a:graphicData>
                  </a:graphic>
                </wp:inline>
              </w:drawing>
            </w:r>
          </w:p>
        </w:tc>
        <w:tc>
          <w:tcPr>
            <w:tcW w:type="dxa" w:w="1152"/>
          </w:tcPr>
          <w:p>
            <w:pPr>
              <w:jc w:val="right"/>
            </w:pPr>
            <w:r>
              <w:t>(31)</w:t>
            </w:r>
          </w:p>
        </w:tc>
      </w:tr>
    </w:tbl>
    <w:p>
      <w:pPr>
        <w:spacing w:after="120"/>
        <w:jc w:val="both"/>
      </w:pPr>
      <w:r>
        <w:t>which is 8.14 t</w:t>
      </w:r>
      <w:r>
        <w:rPr>
          <w:vertAlign w:val="subscript"/>
        </w:rPr>
        <w:t>th</w:t>
      </w:r>
      <w:r>
        <w:t xml:space="preserve"> at a = 10 nm and 1.63 t</w:t>
      </w:r>
      <w:r>
        <w:rPr>
          <w:vertAlign w:val="subscript"/>
        </w:rPr>
        <w:t>th</w:t>
      </w:r>
      <w:r>
        <w:t xml:space="preserve"> at a = 50 nm; the quantity-of-interest window 0 ≤ t ≤ 6 t</w:t>
      </w:r>
      <w:r>
        <w:rPr>
          <w:vertAlign w:val="subscript"/>
        </w:rPr>
        <w:t>th</w:t>
      </w:r>
      <w:r>
        <w:t xml:space="preserve"> is echo-free for a ≤ 10 nm only (Section 7.2).</w:t>
      </w:r>
    </w:p>
    <w:p>
      <w:pPr>
        <w:pStyle w:val="Heading2"/>
      </w:pPr>
      <w:r>
        <w:t>2.7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w:t>
      </w:r>
      <w:r>
        <w:rPr>
          <w:vertAlign w:val="superscript"/>
        </w:rPr>
        <w:t>2</w:t>
      </w:r>
      <w:r>
        <w:t>/(ρc</w:t>
      </w:r>
      <w:r>
        <w:rPr>
          <w:vertAlign w:val="subscript"/>
        </w:rPr>
        <w:t>p</w:t>
      </w:r>
      <w:r>
        <w:t>C̄) = 1.078×10</w:t>
      </w:r>
      <w:r>
        <w:rPr>
          <w:vertAlign w:val="superscript"/>
        </w:rPr>
        <w:t>−3</w:t>
      </w:r>
      <w:r>
        <w:t>, where C̄ = C</w:t>
      </w:r>
      <w:r>
        <w:rPr>
          <w:vertAlign w:val="subscript"/>
        </w:rPr>
        <w:t>33</w:t>
      </w:r>
      <w:r>
        <w:t xml:space="preserve"> is the stiffness scale of the plane-strain block and the norm in 33 is formed from the in-plane triple (β₁₁, β₃₃, β₁₃) with the shear slot weighted by 2, the same triple that enters the thermal-stress scale γ_T of Section 3; the full tensor contraction β:β would give 1.717×10</w:t>
      </w:r>
      <w:r>
        <w:rPr>
          <w:vertAlign w:val="superscript"/>
        </w:rPr>
        <w:t>−3</w:t>
      </w:r>
      <w:r>
        <w:t>, a factor 1.59 larger, because it also counts the out-of-plane component β₂₂ that the plane-strain class never uses. The triple norm is the in-plane part of the tensor contraction and is therefore invariant under in-plane rotation of the crystal (relative spread 2e-15 over the 360-orientation lattice), so δ is a material constant of this model and not a directional statistic; it is still only an order-of-magnitude criterion for Section 3.4, and the convention is stated for that reason.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481937" cy="292760"/>
                  <wp:docPr id="33" name="Picture 33"/>
                  <wp:cNvGraphicFramePr>
                    <a:graphicFrameLocks noChangeAspect="1"/>
                  </wp:cNvGraphicFramePr>
                  <a:graphic>
                    <a:graphicData uri="http://schemas.openxmlformats.org/drawingml/2006/picture">
                      <pic:pic>
                        <pic:nvPicPr>
                          <pic:cNvPr id="0" name="eq32.png"/>
                          <pic:cNvPicPr/>
                        </pic:nvPicPr>
                        <pic:blipFill>
                          <a:blip r:embed="rId41"/>
                          <a:stretch>
                            <a:fillRect/>
                          </a:stretch>
                        </pic:blipFill>
                        <pic:spPr>
                          <a:xfrm>
                            <a:off x="0" y="0"/>
                            <a:ext cx="1481937" cy="292760"/>
                          </a:xfrm>
                          <a:prstGeom prst="rect"/>
                        </pic:spPr>
                      </pic:pic>
                    </a:graphicData>
                  </a:graphic>
                </wp:inline>
              </w:drawing>
            </w:r>
          </w:p>
        </w:tc>
        <w:tc>
          <w:tcPr>
            <w:tcW w:type="dxa" w:w="1152"/>
          </w:tcPr>
          <w:p>
            <w:pPr>
              <w:jc w:val="right"/>
            </w:pPr>
            <w:r>
              <w:t>(32)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49347" cy="326441"/>
                  <wp:docPr id="34" name="Picture 34"/>
                  <wp:cNvGraphicFramePr>
                    <a:graphicFrameLocks noChangeAspect="1"/>
                  </wp:cNvGraphicFramePr>
                  <a:graphic>
                    <a:graphicData uri="http://schemas.openxmlformats.org/drawingml/2006/picture">
                      <pic:pic>
                        <pic:nvPicPr>
                          <pic:cNvPr id="0" name="eq33.png"/>
                          <pic:cNvPicPr/>
                        </pic:nvPicPr>
                        <pic:blipFill>
                          <a:blip r:embed="rId42"/>
                          <a:stretch>
                            <a:fillRect/>
                          </a:stretch>
                        </pic:blipFill>
                        <pic:spPr>
                          <a:xfrm>
                            <a:off x="0" y="0"/>
                            <a:ext cx="2549347" cy="326441"/>
                          </a:xfrm>
                          <a:prstGeom prst="rect"/>
                        </pic:spPr>
                      </pic:pic>
                    </a:graphicData>
                  </a:graphic>
                </wp:inline>
              </w:drawing>
            </w:r>
          </w:p>
        </w:tc>
        <w:tc>
          <w:tcPr>
            <w:tcW w:type="dxa" w:w="1152"/>
          </w:tcPr>
          <w:p>
            <w:pPr>
              <w:jc w:val="right"/>
            </w:pPr>
            <w:r>
              <w:t>(33)</w:t>
            </w:r>
          </w:p>
        </w:tc>
      </w:tr>
    </w:tbl>
    <w:p>
      <w:pPr>
        <w:spacing w:after="120"/>
        <w:jc w:val="both"/>
      </w:pPr>
      <w:r>
        <w:t>with c</w:t>
      </w:r>
      <w:r>
        <w:rPr>
          <w:vertAlign w:val="subscript"/>
        </w:rPr>
        <w:t>ref</w:t>
      </w:r>
      <w:r>
        <w:t xml:space="preserve"> = (C</w:t>
      </w:r>
      <w:r>
        <w:rPr>
          <w:vertAlign w:val="subscript"/>
        </w:rPr>
        <w:t>33</w:t>
      </w:r>
      <w:r>
        <w:t>/ρ)</w:t>
      </w:r>
      <w:r>
        <w:rPr>
          <w:vertAlign w:val="superscript"/>
        </w:rPr>
        <w:t>1/2</w:t>
      </w:r>
      <w:r>
        <w:t xml:space="preserve"> = 7686 m/s and C̄ = C</w:t>
      </w:r>
      <w:r>
        <w:rPr>
          <w:vertAlign w:val="subscript"/>
        </w:rPr>
        <w:t>33</w:t>
      </w:r>
      <w:r>
        <w:t xml:space="preserve"> = 347.4 GPa. The three groups have direct physical readings: Λ compares the relaxation time with the time heat takes to diffuse across the cavity, ε compares the thermal diffusion speed κ̄/a with the elastic wave speed (it is the Mach number of diffusion), and δ measures the heat released by the mechanical deformation against the heat stored by the temperature rise, i.e. the strength of the thermoelastic feedback. Numerically κ̄ = 3.959×10</w:t>
      </w:r>
      <w:r>
        <w:rPr>
          <w:vertAlign w:val="superscript"/>
        </w:rPr>
        <w:t>−6</w:t>
      </w:r>
      <w:r>
        <w:t xml:space="preserve"> m²/s, δ = 1.078×10</w:t>
      </w:r>
      <w:r>
        <w:rPr>
          <w:vertAlign w:val="superscript"/>
        </w:rPr>
        <w:t>−3</w:t>
      </w:r>
      <w:r>
        <w:t xml:space="preserve"> and, at the reference size a = 10 nm, ε = 0.0515. The conductivity tensor has eigenvalues 11.72 and 14.50 W/(m K) with the off-diagonal component -0.992 W/(m K), so the conduction is anisotropic by a factor 1.24 and its principal axes are not aligned with the crystallographic a and c axes.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20775" cy="272034"/>
                  <wp:docPr id="35" name="Picture 35"/>
                  <wp:cNvGraphicFramePr>
                    <a:graphicFrameLocks noChangeAspect="1"/>
                  </wp:cNvGraphicFramePr>
                  <a:graphic>
                    <a:graphicData uri="http://schemas.openxmlformats.org/drawingml/2006/picture">
                      <pic:pic>
                        <pic:nvPicPr>
                          <pic:cNvPr id="0" name="eq34.png"/>
                          <pic:cNvPicPr/>
                        </pic:nvPicPr>
                        <pic:blipFill>
                          <a:blip r:embed="rId43"/>
                          <a:stretch>
                            <a:fillRect/>
                          </a:stretch>
                        </pic:blipFill>
                        <pic:spPr>
                          <a:xfrm>
                            <a:off x="0" y="0"/>
                            <a:ext cx="1020775" cy="272034"/>
                          </a:xfrm>
                          <a:prstGeom prst="rect"/>
                        </pic:spPr>
                      </pic:pic>
                    </a:graphicData>
                  </a:graphic>
                </wp:inline>
              </w:drawing>
            </w:r>
          </w:p>
        </w:tc>
        <w:tc>
          <w:tcPr>
            <w:tcW w:type="dxa" w:w="1152"/>
          </w:tcPr>
          <w:p>
            <w:pPr>
              <w:jc w:val="right"/>
            </w:pPr>
            <w:r>
              <w:t>(34)</w:t>
            </w:r>
          </w:p>
        </w:tc>
      </w:tr>
    </w:tbl>
    <w:p>
      <w:pPr>
        <w:spacing w:after="120"/>
        <w:jc w:val="both"/>
      </w:pPr>
      <w:r>
        <w:t>which expresses the second-sound speed of Eq. (8) in the dimensionless groups: at fixed ε the thermal wave slows as Λ</w:t>
      </w:r>
      <w:r>
        <w:rPr>
          <w:vertAlign w:val="superscript"/>
        </w:rPr>
        <w:t>−1/2</w:t>
      </w:r>
      <w:r>
        <w:t xml:space="preserve"> when the relaxation time is increased.</w:t>
      </w:r>
    </w:p>
    <w:p>
      <w:pPr>
        <w:pStyle w:val="Heading2"/>
      </w:pPr>
      <w:r>
        <w:t>2.8 Material parameters</w:t>
      </w:r>
    </w:p>
    <w:p>
      <w:pPr>
        <w:spacing w:after="120"/>
        <w:jc w:val="both"/>
      </w:pPr>
      <w:r>
        <w:t>The parameters of the study, their values and their status (literature, assumed, hypothetical or design) are collected in Table 4.</w:t>
      </w:r>
    </w:p>
    <w:p>
      <w:r>
        <w:rPr>
          <w:b/>
          <w:sz w:val="19"/>
        </w:rPr>
        <w:t>Table 4.</w:t>
      </w:r>
      <w:r>
        <w:rPr>
          <w:sz w:val="19"/>
        </w:rPr>
        <w:t xml:space="preserve"> Parameters of the study and their status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[19]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[20]</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[21]; at 298 K the synchrotron data [22]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[20]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[42];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[43])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fixed in the design note before the production runs</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7)</w:t>
            </w:r>
          </w:p>
        </w:tc>
      </w:tr>
    </w:tbl>
    <w:p>
      <w:pPr>
        <w:spacing w:after="40"/>
      </w:pPr>
    </w:p>
    <w:p>
      <w:pPr>
        <w:pStyle w:val="Heading2"/>
      </w:pPr>
      <w:r>
        <w:t>2.9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and 0 ≤ t ≤ 6 t</w:t>
      </w:r>
      <w:r>
        <w:rPr>
          <w:vertAlign w:val="subscript"/>
        </w:rPr>
        <w:t>th</w:t>
      </w:r>
      <w:r>
        <w:t xml:space="preserve"> for the same grid and the same inversion plan.</w:t>
      </w:r>
    </w:p>
    <w:p>
      <w:pPr>
        <w:pStyle w:val="Heading1"/>
      </w:pPr>
      <w:r>
        <w:t>3. Analytical results</w:t>
      </w:r>
    </w:p>
    <w:p>
      <w:pPr>
        <w:spacing w:after="120"/>
        <w:jc w:val="both"/>
      </w:pPr>
      <w:r>
        <w:t>Three analytical results are used to interpret the computations: a non-dimensionalisation that fixes which dimensionless groups the answer can depend on, a closed-form local-response solution for the circular cavity in an isotropic solid, and an order-of-magnitude bound on the thermoelastic feedback. None of them is a substitute for the computations; they say what the computations must show if the interpretation is right, and they provide two of the reference solutions of Section 5.</w:t>
      </w:r>
    </w:p>
    <w:p>
      <w:pPr>
        <w:pStyle w:val="Heading2"/>
      </w:pPr>
      <w:r>
        <w:t>3.1 Non-dimensionalisation</w:t>
      </w:r>
    </w:p>
    <w:p>
      <w:pPr>
        <w:spacing w:after="120"/>
        <w:jc w:val="both"/>
      </w:pPr>
      <w:r>
        <w:t>Let Θ be the amplitude of the wall pulse and choose the expansion scale α</w:t>
      </w:r>
      <w:r>
        <w:rPr>
          <w:vertAlign w:val="subscript"/>
        </w:rPr>
        <w:t>0</w:t>
      </w:r>
      <w:r>
        <w:t xml:space="preserve"> = ‖β‖/C̄, so that the natural stress scale is C̄α</w:t>
      </w:r>
      <w:r>
        <w:rPr>
          <w:vertAlign w:val="subscript"/>
        </w:rPr>
        <w:t>0</w:t>
      </w:r>
      <w:r>
        <w:t>Θ = ‖β‖Θ.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264456" cy="274625"/>
                  <wp:docPr id="36" name="Picture 36"/>
                  <wp:cNvGraphicFramePr>
                    <a:graphicFrameLocks noChangeAspect="1"/>
                  </wp:cNvGraphicFramePr>
                  <a:graphic>
                    <a:graphicData uri="http://schemas.openxmlformats.org/drawingml/2006/picture">
                      <pic:pic>
                        <pic:nvPicPr>
                          <pic:cNvPr id="0" name="eq35.png"/>
                          <pic:cNvPicPr/>
                        </pic:nvPicPr>
                        <pic:blipFill>
                          <a:blip r:embed="rId44"/>
                          <a:stretch>
                            <a:fillRect/>
                          </a:stretch>
                        </pic:blipFill>
                        <pic:spPr>
                          <a:xfrm>
                            <a:off x="0" y="0"/>
                            <a:ext cx="4264456" cy="274625"/>
                          </a:xfrm>
                          <a:prstGeom prst="rect"/>
                        </pic:spPr>
                      </pic:pic>
                    </a:graphicData>
                  </a:graphic>
                </wp:inline>
              </w:drawing>
            </w:r>
          </w:p>
        </w:tc>
        <w:tc>
          <w:tcPr>
            <w:tcW w:type="dxa" w:w="1152"/>
          </w:tcPr>
          <w:p>
            <w:pPr>
              <w:jc w:val="right"/>
            </w:pPr>
            <w:r>
              <w:t>(35)</w:t>
            </w:r>
          </w:p>
        </w:tc>
      </w:tr>
    </w:tbl>
    <w:p>
      <w:pPr>
        <w:spacing w:after="120"/>
        <w:jc w:val="both"/>
      </w:pPr>
      <w:r>
        <w:t>the strain is ϵ = α</w:t>
      </w:r>
      <w:r>
        <w:rPr>
          <w:vertAlign w:val="subscript"/>
        </w:rPr>
        <w:t>0</w:t>
      </w:r>
      <w:r>
        <w:t>Θϵ̂ with ϵ̂ = ½(∇̂û + ∇̂û</w:t>
      </w:r>
      <w:r>
        <w:rPr>
          <w:vertAlign w:val="superscript"/>
        </w:rPr>
        <w:t>T</w:t>
      </w:r>
      <w:r>
        <w:t>), the constitutive law keeps its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3124" cy="300533"/>
                  <wp:docPr id="37" name="Picture 37"/>
                  <wp:cNvGraphicFramePr>
                    <a:graphicFrameLocks noChangeAspect="1"/>
                  </wp:cNvGraphicFramePr>
                  <a:graphic>
                    <a:graphicData uri="http://schemas.openxmlformats.org/drawingml/2006/picture">
                      <pic:pic>
                        <pic:nvPicPr>
                          <pic:cNvPr id="0" name="eq36.png"/>
                          <pic:cNvPicPr/>
                        </pic:nvPicPr>
                        <pic:blipFill>
                          <a:blip r:embed="rId45"/>
                          <a:stretch>
                            <a:fillRect/>
                          </a:stretch>
                        </pic:blipFill>
                        <pic:spPr>
                          <a:xfrm>
                            <a:off x="0" y="0"/>
                            <a:ext cx="2443124" cy="300533"/>
                          </a:xfrm>
                          <a:prstGeom prst="rect"/>
                        </pic:spPr>
                      </pic:pic>
                    </a:graphicData>
                  </a:graphic>
                </wp:inline>
              </w:drawing>
            </w:r>
          </w:p>
        </w:tc>
        <w:tc>
          <w:tcPr>
            <w:tcW w:type="dxa" w:w="1152"/>
          </w:tcPr>
          <w:p>
            <w:pPr>
              <w:jc w:val="right"/>
            </w:pPr>
            <w:r>
              <w:t>(36)</w:t>
            </w:r>
          </w:p>
        </w:tc>
      </w:tr>
    </w:tbl>
    <w:p>
      <w:pPr>
        <w:spacing w:after="120"/>
        <w:jc w:val="both"/>
      </w:pPr>
      <w:r>
        <w:t>and the two field equations become, using κ̄ = √(det K)/(ρc</w:t>
      </w:r>
      <w:r>
        <w:rPr>
          <w:vertAlign w:val="subscript"/>
        </w:rPr>
        <w:t>p</w:t>
      </w:r>
      <w:r>
        <w:t>) and c</w:t>
      </w:r>
      <w:r>
        <w:rPr>
          <w:vertAlign w:val="subscript"/>
        </w:rPr>
        <w:t>ref</w:t>
      </w:r>
      <w:r>
        <w:t>² = C̄/ρ,</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810920" cy="269443"/>
                  <wp:docPr id="38" name="Picture 38"/>
                  <wp:cNvGraphicFramePr>
                    <a:graphicFrameLocks noChangeAspect="1"/>
                  </wp:cNvGraphicFramePr>
                  <a:graphic>
                    <a:graphicData uri="http://schemas.openxmlformats.org/drawingml/2006/picture">
                      <pic:pic>
                        <pic:nvPicPr>
                          <pic:cNvPr id="0" name="eq37.png"/>
                          <pic:cNvPicPr/>
                        </pic:nvPicPr>
                        <pic:blipFill>
                          <a:blip r:embed="rId46"/>
                          <a:stretch>
                            <a:fillRect/>
                          </a:stretch>
                        </pic:blipFill>
                        <pic:spPr>
                          <a:xfrm>
                            <a:off x="0" y="0"/>
                            <a:ext cx="810920" cy="269443"/>
                          </a:xfrm>
                          <a:prstGeom prst="rect"/>
                        </pic:spPr>
                      </pic:pic>
                    </a:graphicData>
                  </a:graphic>
                </wp:inline>
              </w:drawing>
            </w:r>
          </w:p>
        </w:tc>
        <w:tc>
          <w:tcPr>
            <w:tcW w:type="dxa" w:w="1152"/>
          </w:tcPr>
          <w:p>
            <w:pPr>
              <w:jc w:val="right"/>
            </w:pPr>
            <w:r>
              <w:t>(37)</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27579" cy="323850"/>
                  <wp:docPr id="39" name="Picture 39"/>
                  <wp:cNvGraphicFramePr>
                    <a:graphicFrameLocks noChangeAspect="1"/>
                  </wp:cNvGraphicFramePr>
                  <a:graphic>
                    <a:graphicData uri="http://schemas.openxmlformats.org/drawingml/2006/picture">
                      <pic:pic>
                        <pic:nvPicPr>
                          <pic:cNvPr id="0" name="eq38.png"/>
                          <pic:cNvPicPr/>
                        </pic:nvPicPr>
                        <pic:blipFill>
                          <a:blip r:embed="rId47"/>
                          <a:stretch>
                            <a:fillRect/>
                          </a:stretch>
                        </pic:blipFill>
                        <pic:spPr>
                          <a:xfrm>
                            <a:off x="0" y="0"/>
                            <a:ext cx="2427579" cy="323850"/>
                          </a:xfrm>
                          <a:prstGeom prst="rect"/>
                        </pic:spPr>
                      </pic:pic>
                    </a:graphicData>
                  </a:graphic>
                </wp:inline>
              </w:drawing>
            </w:r>
          </w:p>
        </w:tc>
        <w:tc>
          <w:tcPr>
            <w:tcW w:type="dxa" w:w="1152"/>
          </w:tcPr>
          <w:p>
            <w:pPr>
              <w:jc w:val="right"/>
            </w:pPr>
            <w:r>
              <w:t>(38)</w:t>
            </w:r>
          </w:p>
        </w:tc>
      </w:tr>
    </w:tbl>
    <w:p>
      <w:pPr>
        <w:spacing w:after="120"/>
        <w:jc w:val="both"/>
      </w:pPr>
      <w:r>
        <w:t>with Λ, ε and δ the groups of Eq. (33) and K̂ = K/√(det K). The dimensionless problem therefore depends on the cavity size a only through ε, and the stress per unit wall-temperature amplitude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00630" cy="246126"/>
                  <wp:docPr id="40" name="Picture 40"/>
                  <wp:cNvGraphicFramePr>
                    <a:graphicFrameLocks noChangeAspect="1"/>
                  </wp:cNvGraphicFramePr>
                  <a:graphic>
                    <a:graphicData uri="http://schemas.openxmlformats.org/drawingml/2006/picture">
                      <pic:pic>
                        <pic:nvPicPr>
                          <pic:cNvPr id="0" name="eq39.png"/>
                          <pic:cNvPicPr/>
                        </pic:nvPicPr>
                        <pic:blipFill>
                          <a:blip r:embed="rId48"/>
                          <a:stretch>
                            <a:fillRect/>
                          </a:stretch>
                        </pic:blipFill>
                        <pic:spPr>
                          <a:xfrm>
                            <a:off x="0" y="0"/>
                            <a:ext cx="2300630" cy="246126"/>
                          </a:xfrm>
                          <a:prstGeom prst="rect"/>
                        </pic:spPr>
                      </pic:pic>
                    </a:graphicData>
                  </a:graphic>
                </wp:inline>
              </w:drawing>
            </w:r>
          </w:p>
        </w:tc>
        <w:tc>
          <w:tcPr>
            <w:tcW w:type="dxa" w:w="1152"/>
          </w:tcPr>
          <w:p>
            <w:pPr>
              <w:jc w:val="right"/>
            </w:pPr>
            <w:r>
              <w:t>(39)</w:t>
            </w:r>
          </w:p>
        </w:tc>
      </w:tr>
    </w:tbl>
    <w:p>
      <w:pPr>
        <w:spacing w:after="120"/>
        <w:jc w:val="both"/>
      </w:pPr>
      <w:r>
        <w:t>so that ‖β‖ = 2.0517 MPa/K is the only material quantity that sets the absolute stress scale; every other material parameter enters through the dimensionless groups, the orientation φ and the shape χ. This is the sense in which the results below are relative statements: the dimensionless response σ̂ is what the computations determine, and the dimensional stress per kelvin is Eq. (39) multiplied by ‖β‖, whose uncertainty is discussed in Section 6.5.</w:t>
      </w:r>
    </w:p>
    <w:p>
      <w:pPr>
        <w:pStyle w:val="Heading2"/>
      </w:pPr>
      <w:r>
        <w:t>3.2 The collapse identity and its two corrections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t>Setting ε = 0 (quasi-static elasticity) and δ = 0 (no thermoelastic feedback) removes a from the problem entirely: the dimensionless temperature depends on Λ, the geometry and the pulse parameters alone, and the stress is a linear functional of the temperature. Consequently the thermal-memory deviation D of Eq. (80), which is a ratio of two stress histories computed with the same geometry and pulse, depends on Λ alone in that limit,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4020" cy="222809"/>
                  <wp:docPr id="41" name="Picture 41"/>
                  <wp:cNvGraphicFramePr>
                    <a:graphicFrameLocks noChangeAspect="1"/>
                  </wp:cNvGraphicFramePr>
                  <a:graphic>
                    <a:graphicData uri="http://schemas.openxmlformats.org/drawingml/2006/picture">
                      <pic:pic>
                        <pic:nvPicPr>
                          <pic:cNvPr id="0" name="eq40.png"/>
                          <pic:cNvPicPr/>
                        </pic:nvPicPr>
                        <pic:blipFill>
                          <a:blip r:embed="rId49"/>
                          <a:stretch>
                            <a:fillRect/>
                          </a:stretch>
                        </pic:blipFill>
                        <pic:spPr>
                          <a:xfrm>
                            <a:off x="0" y="0"/>
                            <a:ext cx="2754020" cy="222809"/>
                          </a:xfrm>
                          <a:prstGeom prst="rect"/>
                        </pic:spPr>
                      </pic:pic>
                    </a:graphicData>
                  </a:graphic>
                </wp:inline>
              </w:drawing>
            </w:r>
          </w:p>
        </w:tc>
        <w:tc>
          <w:tcPr>
            <w:tcW w:type="dxa" w:w="1152"/>
          </w:tcPr>
          <w:p>
            <w:pPr>
              <w:jc w:val="right"/>
            </w:pPr>
            <w:r>
              <w:t>(40)</w:t>
            </w:r>
          </w:p>
        </w:tc>
      </w:tr>
    </w:tbl>
    <w:p>
      <w:pPr>
        <w:spacing w:after="120"/>
        <w:jc w:val="both"/>
      </w:pPr>
      <w:r>
        <w:t>a statement we call the collapse identity. For the full model the identity can fail only through the two terms that were dropped, and the failure is expected to be small because both ε and δ are small: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63366" cy="238354"/>
                  <wp:docPr id="42" name="Picture 42"/>
                  <wp:cNvGraphicFramePr>
                    <a:graphicFrameLocks noChangeAspect="1"/>
                  </wp:cNvGraphicFramePr>
                  <a:graphic>
                    <a:graphicData uri="http://schemas.openxmlformats.org/drawingml/2006/picture">
                      <pic:pic>
                        <pic:nvPicPr>
                          <pic:cNvPr id="0" name="eq41.png"/>
                          <pic:cNvPicPr/>
                        </pic:nvPicPr>
                        <pic:blipFill>
                          <a:blip r:embed="rId50"/>
                          <a:stretch>
                            <a:fillRect/>
                          </a:stretch>
                        </pic:blipFill>
                        <pic:spPr>
                          <a:xfrm>
                            <a:off x="0" y="0"/>
                            <a:ext cx="3163366" cy="238354"/>
                          </a:xfrm>
                          <a:prstGeom prst="rect"/>
                        </pic:spPr>
                      </pic:pic>
                    </a:graphicData>
                  </a:graphic>
                </wp:inline>
              </w:drawing>
            </w:r>
          </w:p>
        </w:tc>
        <w:tc>
          <w:tcPr>
            <w:tcW w:type="dxa" w:w="1152"/>
          </w:tcPr>
          <w:p>
            <w:pPr>
              <w:jc w:val="right"/>
            </w:pPr>
            <w:r>
              <w:t>(41)</w:t>
            </w:r>
          </w:p>
        </w:tc>
      </w:tr>
    </w:tbl>
    <w:p>
      <w:pPr>
        <w:spacing w:after="120"/>
        <w:jc w:val="both"/>
      </w:pPr>
      <w:r>
        <w:t>the inertia correction entering as ε² because ε appears squared in Eq. (37). Two runs with the same α = τκ̄/a² but different a test Eq. (40) directly: their D values must agree to within the corrections of Eq. (41). The pair used below is (a = 10 nm, τ = 5 ps) and (a = 20 nm, τ = 20 ps), which have the same Λ = 0.198.</w:t>
      </w:r>
    </w:p>
    <w:p>
      <w:pPr>
        <w:pStyle w:val="Heading2"/>
      </w:pPr>
      <w:r>
        <w:t>3.3 Local response of the circular cavity in an isotropic solid</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p>
      <w:pPr>
        <w:spacing w:after="120"/>
        <w:jc w:val="both"/>
      </w:pPr>
      <w:r>
        <w:t>For an isotropic solid in quasi-static plane strain the circular cavity can be solved in closed form, and the solution shows why the wall stress is insensitive to the conduction law. With radial displacement u(r, t), Lamé constants λ, μ, m = λ + 2μ and γ</w:t>
      </w:r>
      <w:r>
        <w:rPr>
          <w:vertAlign w:val="subscript"/>
        </w:rPr>
        <w:t>T</w:t>
      </w:r>
      <w:r>
        <w:t xml:space="preserve"> = (3λ + 2μ)α, the strains are ϵ</w:t>
      </w:r>
      <w:r>
        <w:rPr>
          <w:vertAlign w:val="subscript"/>
        </w:rPr>
        <w:t>rr</w:t>
      </w:r>
      <w:r>
        <w:t xml:space="preserve"> = u′ and ϵ</w:t>
      </w:r>
      <w:r>
        <w:rPr>
          <w:vertAlign w:val="subscript"/>
        </w:rPr>
        <w:t>θθ</w:t>
      </w:r>
      <w:r>
        <w:t xml:space="preserve"> = u/r, the stresses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91865" cy="215036"/>
                  <wp:docPr id="43" name="Picture 43"/>
                  <wp:cNvGraphicFramePr>
                    <a:graphicFrameLocks noChangeAspect="1"/>
                  </wp:cNvGraphicFramePr>
                  <a:graphic>
                    <a:graphicData uri="http://schemas.openxmlformats.org/drawingml/2006/picture">
                      <pic:pic>
                        <pic:nvPicPr>
                          <pic:cNvPr id="0" name="eq42.png"/>
                          <pic:cNvPicPr/>
                        </pic:nvPicPr>
                        <pic:blipFill>
                          <a:blip r:embed="rId51"/>
                          <a:stretch>
                            <a:fillRect/>
                          </a:stretch>
                        </pic:blipFill>
                        <pic:spPr>
                          <a:xfrm>
                            <a:off x="0" y="0"/>
                            <a:ext cx="3191865" cy="215036"/>
                          </a:xfrm>
                          <a:prstGeom prst="rect"/>
                        </pic:spPr>
                      </pic:pic>
                    </a:graphicData>
                  </a:graphic>
                </wp:inline>
              </w:drawing>
            </w:r>
          </w:p>
        </w:tc>
        <w:tc>
          <w:tcPr>
            <w:tcW w:type="dxa" w:w="1152"/>
          </w:tcPr>
          <w:p>
            <w:pPr>
              <w:jc w:val="right"/>
            </w:pPr>
            <w:r>
              <w:t>(42)</w:t>
            </w:r>
          </w:p>
        </w:tc>
      </w:tr>
    </w:tbl>
    <w:p>
      <w:pPr>
        <w:spacing w:after="120"/>
        <w:jc w:val="both"/>
      </w:pPr>
      <w:r>
        <w:t>and radial equilibrium dσ</w:t>
      </w:r>
      <w:r>
        <w:rPr>
          <w:vertAlign w:val="subscript"/>
        </w:rPr>
        <w:t>rr</w:t>
      </w:r>
      <w:r>
        <w:t>/dr + (σ</w:t>
      </w:r>
      <w:r>
        <w:rPr>
          <w:vertAlign w:val="subscript"/>
        </w:rPr>
        <w:t>rr</w:t>
      </w:r>
      <w:r>
        <w:t xml:space="preserve"> − σ</w:t>
      </w:r>
      <w:r>
        <w:rPr>
          <w:vertAlign w:val="subscript"/>
        </w:rPr>
        <w:t>θθ</w:t>
      </w:r>
      <w:r>
        <w:t>)/r = 0 becomes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02761" cy="269443"/>
                  <wp:docPr id="44" name="Picture 44"/>
                  <wp:cNvGraphicFramePr>
                    <a:graphicFrameLocks noChangeAspect="1"/>
                  </wp:cNvGraphicFramePr>
                  <a:graphic>
                    <a:graphicData uri="http://schemas.openxmlformats.org/drawingml/2006/picture">
                      <pic:pic>
                        <pic:nvPicPr>
                          <pic:cNvPr id="0" name="eq43.png"/>
                          <pic:cNvPicPr/>
                        </pic:nvPicPr>
                        <pic:blipFill>
                          <a:blip r:embed="rId52"/>
                          <a:stretch>
                            <a:fillRect/>
                          </a:stretch>
                        </pic:blipFill>
                        <pic:spPr>
                          <a:xfrm>
                            <a:off x="0" y="0"/>
                            <a:ext cx="3502761" cy="269443"/>
                          </a:xfrm>
                          <a:prstGeom prst="rect"/>
                        </pic:spPr>
                      </pic:pic>
                    </a:graphicData>
                  </a:graphic>
                </wp:inline>
              </w:drawing>
            </w:r>
          </w:p>
        </w:tc>
        <w:tc>
          <w:tcPr>
            <w:tcW w:type="dxa" w:w="1152"/>
          </w:tcPr>
          <w:p>
            <w:pPr>
              <w:jc w:val="right"/>
            </w:pPr>
            <w:r>
              <w:t>(43)</w:t>
            </w:r>
          </w:p>
        </w:tc>
      </w:tr>
    </w:tbl>
    <w:p>
      <w:pPr>
        <w:spacing w:after="120"/>
        <w:jc w:val="both"/>
      </w:pPr>
      <w:r>
        <w:t>Integrating once, with g</w:t>
      </w:r>
      <w:r>
        <w:rPr>
          <w:vertAlign w:val="subscript"/>
        </w:rPr>
        <w:t>T</w:t>
      </w:r>
      <w:r>
        <w:t xml:space="preserve"> = γ</w:t>
      </w:r>
      <w:r>
        <w:rPr>
          <w:vertAlign w:val="subscript"/>
        </w:rPr>
        <w:t>T</w:t>
      </w:r>
      <w:r>
        <w:t>/m and G(r) = ∫</w:t>
      </w:r>
      <w:r>
        <w:rPr>
          <w:vertAlign w:val="subscript"/>
        </w:rPr>
        <w:t>a</w:t>
      </w:r>
      <w:r>
        <w:rPr>
          <w:vertAlign w:val="superscript"/>
        </w:rPr>
        <w:t>r</w:t>
      </w:r>
      <w:r>
        <w:t xml:space="preserve"> r′θ(r′, t) dr′,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92398" cy="259080"/>
                  <wp:docPr id="45" name="Picture 45"/>
                  <wp:cNvGraphicFramePr>
                    <a:graphicFrameLocks noChangeAspect="1"/>
                  </wp:cNvGraphicFramePr>
                  <a:graphic>
                    <a:graphicData uri="http://schemas.openxmlformats.org/drawingml/2006/picture">
                      <pic:pic>
                        <pic:nvPicPr>
                          <pic:cNvPr id="0" name="eq44.png"/>
                          <pic:cNvPicPr/>
                        </pic:nvPicPr>
                        <pic:blipFill>
                          <a:blip r:embed="rId53"/>
                          <a:stretch>
                            <a:fillRect/>
                          </a:stretch>
                        </pic:blipFill>
                        <pic:spPr>
                          <a:xfrm>
                            <a:off x="0" y="0"/>
                            <a:ext cx="3492398" cy="259080"/>
                          </a:xfrm>
                          <a:prstGeom prst="rect"/>
                        </pic:spPr>
                      </pic:pic>
                    </a:graphicData>
                  </a:graphic>
                </wp:inline>
              </w:drawing>
            </w:r>
          </w:p>
        </w:tc>
        <w:tc>
          <w:tcPr>
            <w:tcW w:type="dxa" w:w="1152"/>
          </w:tcPr>
          <w:p>
            <w:pPr>
              <w:jc w:val="right"/>
            </w:pPr>
            <w:r>
              <w:t>(44)</w:t>
            </w:r>
          </w:p>
        </w:tc>
      </w:tr>
    </w:tbl>
    <w:p>
      <w:pPr>
        <w:spacing w:after="120"/>
        <w:jc w:val="both"/>
      </w:pPr>
      <w:r>
        <w:t>where C</w:t>
      </w:r>
      <w:r>
        <w:rPr>
          <w:vertAlign w:val="subscript"/>
        </w:rPr>
        <w:t>1</w:t>
      </w:r>
      <w:r>
        <w:t xml:space="preserve"> and C</w:t>
      </w:r>
      <w:r>
        <w:rPr>
          <w:vertAlign w:val="subscript"/>
        </w:rPr>
        <w:t>2</w:t>
      </w:r>
      <w:r>
        <w:t xml:space="preserve"> are functions of time alone. Substituting Eq. (44) into the first of Eq. (42) gives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673705" cy="287579"/>
                  <wp:docPr id="46" name="Picture 46"/>
                  <wp:cNvGraphicFramePr>
                    <a:graphicFrameLocks noChangeAspect="1"/>
                  </wp:cNvGraphicFramePr>
                  <a:graphic>
                    <a:graphicData uri="http://schemas.openxmlformats.org/drawingml/2006/picture">
                      <pic:pic>
                        <pic:nvPicPr>
                          <pic:cNvPr id="0" name="eq45.png"/>
                          <pic:cNvPicPr/>
                        </pic:nvPicPr>
                        <pic:blipFill>
                          <a:blip r:embed="rId54"/>
                          <a:stretch>
                            <a:fillRect/>
                          </a:stretch>
                        </pic:blipFill>
                        <pic:spPr>
                          <a:xfrm>
                            <a:off x="0" y="0"/>
                            <a:ext cx="2673705" cy="287579"/>
                          </a:xfrm>
                          <a:prstGeom prst="rect"/>
                        </pic:spPr>
                      </pic:pic>
                    </a:graphicData>
                  </a:graphic>
                </wp:inline>
              </w:drawing>
            </w:r>
          </w:p>
        </w:tc>
        <w:tc>
          <w:tcPr>
            <w:tcW w:type="dxa" w:w="1152"/>
          </w:tcPr>
          <w:p>
            <w:pPr>
              <w:jc w:val="right"/>
            </w:pPr>
            <w:r>
              <w:t>(45)</w:t>
            </w:r>
          </w:p>
        </w:tc>
      </w:tr>
    </w:tbl>
    <w:p>
      <w:pPr>
        <w:spacing w:after="120"/>
        <w:jc w:val="both"/>
      </w:pPr>
      <w:r>
        <w:t>and the two boundary conditions σ</w:t>
      </w:r>
      <w:r>
        <w:rPr>
          <w:vertAlign w:val="subscript"/>
        </w:rPr>
        <w:t>rr</w:t>
      </w:r>
      <w:r>
        <w:t>(a) = 0 (traction-free wall, where G(a) = 0) and u(R) = 0 (clamped outer boundary) fix the constants: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01260" cy="331622"/>
                  <wp:docPr id="47" name="Picture 47"/>
                  <wp:cNvGraphicFramePr>
                    <a:graphicFrameLocks noChangeAspect="1"/>
                  </wp:cNvGraphicFramePr>
                  <a:graphic>
                    <a:graphicData uri="http://schemas.openxmlformats.org/drawingml/2006/picture">
                      <pic:pic>
                        <pic:nvPicPr>
                          <pic:cNvPr id="0" name="eq46.png"/>
                          <pic:cNvPicPr/>
                        </pic:nvPicPr>
                        <pic:blipFill>
                          <a:blip r:embed="rId55"/>
                          <a:stretch>
                            <a:fillRect/>
                          </a:stretch>
                        </pic:blipFill>
                        <pic:spPr>
                          <a:xfrm>
                            <a:off x="0" y="0"/>
                            <a:ext cx="4601260" cy="331622"/>
                          </a:xfrm>
                          <a:prstGeom prst="rect"/>
                        </pic:spPr>
                      </pic:pic>
                    </a:graphicData>
                  </a:graphic>
                </wp:inline>
              </w:drawing>
            </w:r>
          </w:p>
        </w:tc>
        <w:tc>
          <w:tcPr>
            <w:tcW w:type="dxa" w:w="1152"/>
          </w:tcPr>
          <w:p>
            <w:pPr>
              <w:jc w:val="right"/>
            </w:pPr>
            <w:r>
              <w:t>(46)</w:t>
            </w:r>
          </w:p>
        </w:tc>
      </w:tr>
    </w:tbl>
    <w:p>
      <w:pPr>
        <w:spacing w:after="120"/>
        <w:jc w:val="both"/>
      </w:pPr>
      <w:r>
        <w:t>Finally, substituting Eqs. (44) and (46) into the second of Eq. (42) and using m − λ = 2μ and m − μ = λ + μ gives the wall hoop stress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64383" cy="297942"/>
                  <wp:docPr id="48" name="Picture 48"/>
                  <wp:cNvGraphicFramePr>
                    <a:graphicFrameLocks noChangeAspect="1"/>
                  </wp:cNvGraphicFramePr>
                  <a:graphic>
                    <a:graphicData uri="http://schemas.openxmlformats.org/drawingml/2006/picture">
                      <pic:pic>
                        <pic:nvPicPr>
                          <pic:cNvPr id="0" name="eq47.png"/>
                          <pic:cNvPicPr/>
                        </pic:nvPicPr>
                        <pic:blipFill>
                          <a:blip r:embed="rId56"/>
                          <a:stretch>
                            <a:fillRect/>
                          </a:stretch>
                        </pic:blipFill>
                        <pic:spPr>
                          <a:xfrm>
                            <a:off x="0" y="0"/>
                            <a:ext cx="2764383" cy="297942"/>
                          </a:xfrm>
                          <a:prstGeom prst="rect"/>
                        </pic:spPr>
                      </pic:pic>
                    </a:graphicData>
                  </a:graphic>
                </wp:inline>
              </w:drawing>
            </w:r>
          </w:p>
        </w:tc>
        <w:tc>
          <w:tcPr>
            <w:tcW w:type="dxa" w:w="1152"/>
          </w:tcPr>
          <w:p>
            <w:pPr>
              <w:jc w:val="right"/>
            </w:pPr>
            <w:r>
              <w:t>(47)</w:t>
            </w:r>
          </w:p>
        </w:tc>
      </w:tr>
    </w:tbl>
    <w:p>
      <w:pPr>
        <w:spacing w:after="120"/>
        <w:jc w:val="both"/>
      </w:pPr>
      <w:r>
        <w:t>which is the closed form used as the isotropic reference in Sections 5 and 6. The first term is local and instantaneous: it is the stress produced by constraining the thermal strain of the material at the wall, and it does not depend on the temperature field away from the wall at all, hence not on the conduction law. The conduction law enters only through F(t), and the ratio of the second term to the first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94383" cy="292760"/>
                  <wp:docPr id="49" name="Picture 49"/>
                  <wp:cNvGraphicFramePr>
                    <a:graphicFrameLocks noChangeAspect="1"/>
                  </wp:cNvGraphicFramePr>
                  <a:graphic>
                    <a:graphicData uri="http://schemas.openxmlformats.org/drawingml/2006/picture">
                      <pic:pic>
                        <pic:nvPicPr>
                          <pic:cNvPr id="0" name="eq48.png"/>
                          <pic:cNvPicPr/>
                        </pic:nvPicPr>
                        <pic:blipFill>
                          <a:blip r:embed="rId57"/>
                          <a:stretch>
                            <a:fillRect/>
                          </a:stretch>
                        </pic:blipFill>
                        <pic:spPr>
                          <a:xfrm>
                            <a:off x="0" y="0"/>
                            <a:ext cx="1694383" cy="292760"/>
                          </a:xfrm>
                          <a:prstGeom prst="rect"/>
                        </pic:spPr>
                      </pic:pic>
                    </a:graphicData>
                  </a:graphic>
                </wp:inline>
              </w:drawing>
            </w:r>
          </w:p>
        </w:tc>
        <w:tc>
          <w:tcPr>
            <w:tcW w:type="dxa" w:w="1152"/>
          </w:tcPr>
          <w:p>
            <w:pPr>
              <w:jc w:val="right"/>
            </w:pPr>
            <w:r>
              <w:t>(48)</w:t>
            </w:r>
          </w:p>
        </w:tc>
      </w:tr>
    </w:tbl>
    <w:p>
      <w:pPr>
        <w:spacing w:after="120"/>
        <w:jc w:val="both"/>
      </w:pPr>
      <w:r>
        <w:t>where δ</w:t>
      </w:r>
      <w:r>
        <w:rPr>
          <w:vertAlign w:val="subscript"/>
        </w:rPr>
        <w:t>th</w:t>
      </w:r>
      <w:r>
        <w:t xml:space="preserve"> is the thickness of the heated layer; for δ</w:t>
      </w:r>
      <w:r>
        <w:rPr>
          <w:vertAlign w:val="subscript"/>
        </w:rPr>
        <w:t>th</w:t>
      </w:r>
      <w:r>
        <w:t xml:space="preserve"> of order a, R = 80a and the Lamé constants of the isotropic control (λ = 128 GPa, μ = 104 GPa) the prefactor (λ+m)/μ = 4.46 and (a/R)² = 1.6×10</w:t>
      </w:r>
      <w:r>
        <w:rPr>
          <w:vertAlign w:val="superscript"/>
        </w:rPr>
        <w:t>−4</w:t>
      </w:r>
      <w:r>
        <w:t>, so the far-field term is below 10</w:t>
      </w:r>
      <w:r>
        <w:rPr>
          <w:vertAlign w:val="superscript"/>
        </w:rPr>
        <w:t>−3</w:t>
      </w:r>
      <w:r>
        <w:t xml:space="preserve"> of the local term — the wall stress is a local response to 0.1%. For the same constants γ</w:t>
      </w:r>
      <w:r>
        <w:rPr>
          <w:vertAlign w:val="subscript"/>
        </w:rPr>
        <w:t>T</w:t>
      </w:r>
      <w:r>
        <w:t xml:space="preserve"> = 1.5905 MPa/K, g</w:t>
      </w:r>
      <w:r>
        <w:rPr>
          <w:vertAlign w:val="subscript"/>
        </w:rPr>
        <w:t>T</w:t>
      </w:r>
      <w:r>
        <w:t xml:space="preserve"> = 4.734e-06 1/K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35836" cy="202082"/>
                  <wp:docPr id="50" name="Picture 50"/>
                  <wp:cNvGraphicFramePr>
                    <a:graphicFrameLocks noChangeAspect="1"/>
                  </wp:cNvGraphicFramePr>
                  <a:graphic>
                    <a:graphicData uri="http://schemas.openxmlformats.org/drawingml/2006/picture">
                      <pic:pic>
                        <pic:nvPicPr>
                          <pic:cNvPr id="0" name="eq49.png"/>
                          <pic:cNvPicPr/>
                        </pic:nvPicPr>
                        <pic:blipFill>
                          <a:blip r:embed="rId58"/>
                          <a:stretch>
                            <a:fillRect/>
                          </a:stretch>
                        </pic:blipFill>
                        <pic:spPr>
                          <a:xfrm>
                            <a:off x="0" y="0"/>
                            <a:ext cx="1735836" cy="202082"/>
                          </a:xfrm>
                          <a:prstGeom prst="rect"/>
                        </pic:spPr>
                      </pic:pic>
                    </a:graphicData>
                  </a:graphic>
                </wp:inline>
              </w:drawing>
            </w:r>
          </w:p>
        </w:tc>
        <w:tc>
          <w:tcPr>
            <w:tcW w:type="dxa" w:w="1152"/>
          </w:tcPr>
          <w:p>
            <w:pPr>
              <w:jc w:val="right"/>
            </w:pPr>
            <w:r>
              <w:t>(49)</w:t>
            </w:r>
          </w:p>
        </w:tc>
      </w:tr>
    </w:tbl>
    <w:p>
      <w:pPr>
        <w:spacing w:after="120"/>
        <w:jc w:val="both"/>
      </w:pPr>
      <w:r>
        <w:t>the number used as the isotropic reference in Sections 5 and 6. The same expression shows what to expect for the anisotropic crystal. There the closed form is not available, because the tangential stiffness at a point of the wall depends on the direction of the tangent, so the wall hoop stress is not a single scalar multiple of p(t); but Eqs. (39) and (47) together say that the wall stress is ‖β‖ times a dimensionless factor of order unity that depends on the stiffness anisotropy and on the angle. That is the form in which the elliptical-cavity results are reported in Section 6.</w:t>
      </w:r>
    </w:p>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5) and as the basis of the interpretation in Section 6.</w:t>
      </w:r>
    </w:p>
    <w:p>
      <w:pPr>
        <w:pStyle w:val="Heading2"/>
      </w:pPr>
      <w:r>
        <w:t>3.4 Bound on the thermoelastic feedback</w:t>
      </w:r>
    </w:p>
    <w:p>
      <w:pPr>
        <w:spacing w:after="120"/>
        <w:jc w:val="both"/>
      </w:pPr>
      <w:r>
        <w:t>The coupling term of Eq. (5) is the only nonlinearity-free but still two-way link between the fields: the temperature drives the stress and the strain rate feeds back into the heat equation. Its size relative to the storage term ρc</w:t>
      </w:r>
      <w:r>
        <w:rPr>
          <w:vertAlign w:val="subscript"/>
        </w:rPr>
        <w:t>p</w:t>
      </w:r>
      <w:r>
        <w:t>θ̇ is, from Eq. (38), of order δ times the ratio of the strain rate to the temperature rate in dimensionless units, i.e. of order δ when the two evolve on the same time scale. This motivates the criterion used in Section 6.4: the feedback is negligible if the relative change of the temperature field when the coupling term is removed satisfies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696925" cy="287579"/>
                  <wp:docPr id="51" name="Picture 51"/>
                  <wp:cNvGraphicFramePr>
                    <a:graphicFrameLocks noChangeAspect="1"/>
                  </wp:cNvGraphicFramePr>
                  <a:graphic>
                    <a:graphicData uri="http://schemas.openxmlformats.org/drawingml/2006/picture">
                      <pic:pic>
                        <pic:nvPicPr>
                          <pic:cNvPr id="0" name="eq50.png"/>
                          <pic:cNvPicPr/>
                        </pic:nvPicPr>
                        <pic:blipFill>
                          <a:blip r:embed="rId59"/>
                          <a:stretch>
                            <a:fillRect/>
                          </a:stretch>
                        </pic:blipFill>
                        <pic:spPr>
                          <a:xfrm>
                            <a:off x="0" y="0"/>
                            <a:ext cx="696925" cy="287579"/>
                          </a:xfrm>
                          <a:prstGeom prst="rect"/>
                        </pic:spPr>
                      </pic:pic>
                    </a:graphicData>
                  </a:graphic>
                </wp:inline>
              </w:drawing>
            </w:r>
          </w:p>
        </w:tc>
        <w:tc>
          <w:tcPr>
            <w:tcW w:type="dxa" w:w="1152"/>
          </w:tcPr>
          <w:p>
            <w:pPr>
              <w:jc w:val="right"/>
            </w:pPr>
            <w:r>
              <w:t>(50)</w:t>
            </w:r>
          </w:p>
        </w:tc>
      </w:tr>
    </w:tbl>
    <w:p>
      <w:pPr>
        <w:spacing w:after="120"/>
        <w:jc w:val="both"/>
      </w:pPr>
      <w:r>
        <w:t>with the factor five a margin chosen before the runs, not fitted to them. For the parameters of Table 4, δ = 1.078e-03 and 5δ = 5.391e-03. A bound of this kind is an order-of-magnitude statement, not a theorem: it is used to decide whether the coupling has to be resolved, and the decision is then checked numerically by switching the coupling off (Section 6.4).</w:t>
      </w:r>
    </w:p>
    <w:p>
      <w:pPr>
        <w:pStyle w:val="Heading2"/>
      </w:pPr>
      <w:r>
        <w:t>3.5 What these results do and do not establish</w:t>
      </w:r>
    </w:p>
    <w:p>
      <w:pPr>
        <w:spacing w:after="120"/>
        <w:jc w:val="both"/>
      </w:pPr>
      <w:r>
        <w:t>Equation (39) is exact within the model and fixes the parameter dependence of every number reported below; Eq. (40) is exact in the ε = δ = 0 limit and is used as the null hypothesis for the thermal-memory runs; Eq. (47) is exact for the isotropic circle and is used both as a reference solution and as the interpretation of the wall-stress peak. None of the three is a prediction about β-Ga₂O₃: Eq. (47) is derived for an isotropic solid, Eq. (40) for the quasi-static uncoupled limit, and Eq. (50) is an order-of-magnitude criterion. Their role is to make the numerical experiment interpretable, and to say in advance which outcome would be surprising.</w:t>
      </w:r>
    </w:p>
    <w:p>
      <w:pPr>
        <w:pStyle w:val="Heading1"/>
      </w:pPr>
      <w:r>
        <w:t>4. Numerical method</w:t>
      </w:r>
    </w:p>
    <w:p>
      <w:pPr>
        <w:pStyle w:val="Heading2"/>
      </w:pPr>
      <w:r>
        <w:t>4.1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4.2 Body-fitted mapped grid</w:t>
      </w:r>
    </w:p>
    <w:p>
      <w:pPr>
        <w:spacing w:after="120"/>
        <w:jc w:val="both"/>
      </w:pPr>
      <w:r>
        <w:t>The annular domain between the cavity and the outer circle R = 80a is mapped from the unit square (ξ, η) ∈ [0, 1] × [0, 2π) by a transfinite map that is radial in the parameter but not in physical space, so that the grid is body-fitted to the ellipse for every χ. The radial coordinate is clustered towards the cavity with the exponential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17773" cy="282397"/>
                  <wp:docPr id="52" name="Picture 52"/>
                  <wp:cNvGraphicFramePr>
                    <a:graphicFrameLocks noChangeAspect="1"/>
                  </wp:cNvGraphicFramePr>
                  <a:graphic>
                    <a:graphicData uri="http://schemas.openxmlformats.org/drawingml/2006/picture">
                      <pic:pic>
                        <pic:nvPicPr>
                          <pic:cNvPr id="0" name="eq51.png"/>
                          <pic:cNvPicPr/>
                        </pic:nvPicPr>
                        <pic:blipFill>
                          <a:blip r:embed="rId60"/>
                          <a:stretch>
                            <a:fillRect/>
                          </a:stretch>
                        </pic:blipFill>
                        <pic:spPr>
                          <a:xfrm>
                            <a:off x="0" y="0"/>
                            <a:ext cx="3217773" cy="282397"/>
                          </a:xfrm>
                          <a:prstGeom prst="rect"/>
                        </pic:spPr>
                      </pic:pic>
                    </a:graphicData>
                  </a:graphic>
                </wp:inline>
              </w:drawing>
            </w:r>
          </w:p>
        </w:tc>
        <w:tc>
          <w:tcPr>
            <w:tcW w:type="dxa" w:w="1152"/>
          </w:tcPr>
          <w:p>
            <w:pPr>
              <w:jc w:val="right"/>
            </w:pPr>
            <w:r>
              <w:t>(51)</w:t>
            </w:r>
          </w:p>
        </w:tc>
      </w:tr>
    </w:tbl>
    <w:p>
      <w:pPr>
        <w:spacing w:after="120"/>
        <w:jc w:val="both"/>
      </w:pPr>
      <w:r>
        <w:t>and the physical coordinates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1216"/>
                  <wp:docPr id="53" name="Picture 53"/>
                  <wp:cNvGraphicFramePr>
                    <a:graphicFrameLocks noChangeAspect="1"/>
                  </wp:cNvGraphicFramePr>
                  <a:graphic>
                    <a:graphicData uri="http://schemas.openxmlformats.org/drawingml/2006/picture">
                      <pic:pic>
                        <pic:nvPicPr>
                          <pic:cNvPr id="0" name="eq52.png"/>
                          <pic:cNvPicPr/>
                        </pic:nvPicPr>
                        <pic:blipFill>
                          <a:blip r:embed="rId61"/>
                          <a:stretch>
                            <a:fillRect/>
                          </a:stretch>
                        </pic:blipFill>
                        <pic:spPr>
                          <a:xfrm>
                            <a:off x="0" y="0"/>
                            <a:ext cx="4937760" cy="191216"/>
                          </a:xfrm>
                          <a:prstGeom prst="rect"/>
                        </pic:spPr>
                      </pic:pic>
                    </a:graphicData>
                  </a:graphic>
                </wp:inline>
              </w:drawing>
            </w:r>
          </w:p>
        </w:tc>
        <w:tc>
          <w:tcPr>
            <w:tcW w:type="dxa" w:w="1152"/>
          </w:tcPr>
          <w:p>
            <w:pPr>
              <w:jc w:val="right"/>
            </w:pPr>
            <w:r>
              <w:t>(52)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07845" cy="282397"/>
                  <wp:docPr id="54" name="Picture 54"/>
                  <wp:cNvGraphicFramePr>
                    <a:graphicFrameLocks noChangeAspect="1"/>
                  </wp:cNvGraphicFramePr>
                  <a:graphic>
                    <a:graphicData uri="http://schemas.openxmlformats.org/drawingml/2006/picture">
                      <pic:pic>
                        <pic:nvPicPr>
                          <pic:cNvPr id="0" name="eq53.png"/>
                          <pic:cNvPicPr/>
                        </pic:nvPicPr>
                        <pic:blipFill>
                          <a:blip r:embed="rId62"/>
                          <a:stretch>
                            <a:fillRect/>
                          </a:stretch>
                        </pic:blipFill>
                        <pic:spPr>
                          <a:xfrm>
                            <a:off x="0" y="0"/>
                            <a:ext cx="1507845" cy="282397"/>
                          </a:xfrm>
                          <a:prstGeom prst="rect"/>
                        </pic:spPr>
                      </pic:pic>
                    </a:graphicData>
                  </a:graphic>
                </wp:inline>
              </w:drawing>
            </w:r>
          </w:p>
        </w:tc>
        <w:tc>
          <w:tcPr>
            <w:tcW w:type="dxa" w:w="1152"/>
          </w:tcPr>
          <w:p>
            <w:pPr>
              <w:jc w:val="right"/>
            </w:pPr>
            <w:r>
              <w:t>(53)</w:t>
            </w:r>
          </w:p>
        </w:tc>
      </w:tr>
    </w:tbl>
    <w:p>
      <w:pPr>
        <w:spacing w:after="120"/>
        <w:jc w:val="both"/>
      </w:pPr>
      <w:r>
        <w:t>so that π a</w:t>
      </w:r>
      <w:r>
        <w:rPr>
          <w:vertAlign w:val="subscript"/>
        </w:rPr>
        <w:t>e</w:t>
      </w:r>
      <w:r>
        <w:t>b</w:t>
      </w:r>
      <w:r>
        <w:rPr>
          <w:vertAlign w:val="subscript"/>
        </w:rPr>
        <w:t>e</w:t>
      </w:r>
      <w:r>
        <w:t xml:space="preserve"> = π a² for every χ: the circle and the ellipse have the same area, which is what makes the comparison of Section 6 a comparison of shape alone. The grid is uniform in ξ and η and periodic in η; with γ = 5 the ratio of the largest to the smallest radial spacing is (147)/5 ≈ 29 for the grids used, i.e. the near-wall layer carries most of the radial resolution. All metric terms are evaluated analytically from the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55227"/>
                  <wp:docPr id="55" name="Picture 55"/>
                  <wp:cNvGraphicFramePr>
                    <a:graphicFrameLocks noChangeAspect="1"/>
                  </wp:cNvGraphicFramePr>
                  <a:graphic>
                    <a:graphicData uri="http://schemas.openxmlformats.org/drawingml/2006/picture">
                      <pic:pic>
                        <pic:nvPicPr>
                          <pic:cNvPr id="0" name="eq54.png"/>
                          <pic:cNvPicPr/>
                        </pic:nvPicPr>
                        <pic:blipFill>
                          <a:blip r:embed="rId63"/>
                          <a:stretch>
                            <a:fillRect/>
                          </a:stretch>
                        </pic:blipFill>
                        <pic:spPr>
                          <a:xfrm>
                            <a:off x="0" y="0"/>
                            <a:ext cx="4937760" cy="255227"/>
                          </a:xfrm>
                          <a:prstGeom prst="rect"/>
                        </pic:spPr>
                      </pic:pic>
                    </a:graphicData>
                  </a:graphic>
                </wp:inline>
              </w:drawing>
            </w:r>
          </w:p>
        </w:tc>
        <w:tc>
          <w:tcPr>
            <w:tcW w:type="dxa" w:w="1152"/>
          </w:tcPr>
          <w:p>
            <w:pPr>
              <w:jc w:val="right"/>
            </w:pPr>
            <w:r>
              <w:t>(54)</w:t>
            </w:r>
          </w:p>
        </w:tc>
      </w:tr>
    </w:tbl>
    <w:p>
      <w:pPr>
        <w:spacing w:after="120"/>
        <w:jc w:val="both"/>
      </w:pPr>
      <w:r>
        <w:t>and physical derivatives follow from the chain rule by inverting</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4504" cy="284988"/>
                  <wp:docPr id="56" name="Picture 56"/>
                  <wp:cNvGraphicFramePr>
                    <a:graphicFrameLocks noChangeAspect="1"/>
                  </wp:cNvGraphicFramePr>
                  <a:graphic>
                    <a:graphicData uri="http://schemas.openxmlformats.org/drawingml/2006/picture">
                      <pic:pic>
                        <pic:nvPicPr>
                          <pic:cNvPr id="0" name="eq55.png"/>
                          <pic:cNvPicPr/>
                        </pic:nvPicPr>
                        <pic:blipFill>
                          <a:blip r:embed="rId64"/>
                          <a:stretch>
                            <a:fillRect/>
                          </a:stretch>
                        </pic:blipFill>
                        <pic:spPr>
                          <a:xfrm>
                            <a:off x="0" y="0"/>
                            <a:ext cx="2054504" cy="284988"/>
                          </a:xfrm>
                          <a:prstGeom prst="rect"/>
                        </pic:spPr>
                      </pic:pic>
                    </a:graphicData>
                  </a:graphic>
                </wp:inline>
              </w:drawing>
            </w:r>
          </w:p>
        </w:tc>
        <w:tc>
          <w:tcPr>
            <w:tcW w:type="dxa" w:w="1152"/>
          </w:tcPr>
          <w:p>
            <w:pPr>
              <w:jc w:val="right"/>
            </w:pPr>
            <w:r>
              <w:t>(55)</w:t>
            </w:r>
          </w:p>
        </w:tc>
      </w:tr>
    </w:tbl>
    <w:p>
      <w:pPr>
        <w:spacing w:after="120"/>
        <w:jc w:val="both"/>
      </w:pPr>
      <w:r>
        <w:t>Derivatives in ξ and η are second-order central differences, replaced at the two radial boundaries by the one-sided three-point formulas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00679" cy="305714"/>
                  <wp:docPr id="57" name="Picture 57"/>
                  <wp:cNvGraphicFramePr>
                    <a:graphicFrameLocks noChangeAspect="1"/>
                  </wp:cNvGraphicFramePr>
                  <a:graphic>
                    <a:graphicData uri="http://schemas.openxmlformats.org/drawingml/2006/picture">
                      <pic:pic>
                        <pic:nvPicPr>
                          <pic:cNvPr id="0" name="eq56.png"/>
                          <pic:cNvPicPr/>
                        </pic:nvPicPr>
                        <pic:blipFill>
                          <a:blip r:embed="rId65"/>
                          <a:stretch>
                            <a:fillRect/>
                          </a:stretch>
                        </pic:blipFill>
                        <pic:spPr>
                          <a:xfrm>
                            <a:off x="0" y="0"/>
                            <a:ext cx="3300679" cy="305714"/>
                          </a:xfrm>
                          <a:prstGeom prst="rect"/>
                        </pic:spPr>
                      </pic:pic>
                    </a:graphicData>
                  </a:graphic>
                </wp:inline>
              </w:drawing>
            </w:r>
          </w:p>
        </w:tc>
        <w:tc>
          <w:tcPr>
            <w:tcW w:type="dxa" w:w="1152"/>
          </w:tcPr>
          <w:p>
            <w:pPr>
              <w:jc w:val="right"/>
            </w:pPr>
            <w:r>
              <w:t>(56)</w:t>
            </w:r>
          </w:p>
        </w:tc>
      </w:tr>
    </w:tbl>
    <w:p>
      <w:pPr>
        <w:spacing w:after="120"/>
        <w:jc w:val="both"/>
      </w:pPr>
      <w:r>
        <w:t>and central periodic differences in η. The operators D</w:t>
      </w:r>
      <w:r>
        <w:rPr>
          <w:vertAlign w:val="subscript"/>
        </w:rPr>
        <w:t>x</w:t>
      </w:r>
      <w:r>
        <w:t xml:space="preserve"> and D</w:t>
      </w:r>
      <w:r>
        <w:rPr>
          <w:vertAlign w:val="subscript"/>
        </w:rPr>
        <w:t>y</w:t>
      </w:r>
      <w:r>
        <w:t xml:space="preserve"> are assembled as sparse matrices from Eq. (55); the discrete metric identities ∂</w:t>
      </w:r>
      <w:r>
        <w:rPr>
          <w:vertAlign w:val="subscript"/>
        </w:rPr>
        <w:t>ξ</w:t>
      </w:r>
      <w:r>
        <w:t>y</w:t>
      </w:r>
      <w:r>
        <w:rPr>
          <w:vertAlign w:val="subscript"/>
        </w:rPr>
        <w:t>η</w:t>
      </w:r>
      <w:r>
        <w:t xml:space="preserve"> = ∂</w:t>
      </w:r>
      <w:r>
        <w:rPr>
          <w:vertAlign w:val="subscript"/>
        </w:rPr>
        <w:t>η</w:t>
      </w:r>
      <w:r>
        <w:t>y</w:t>
      </w:r>
      <w:r>
        <w:rPr>
          <w:vertAlign w:val="subscript"/>
        </w:rPr>
        <w:t>ξ</w:t>
      </w:r>
      <w:r>
        <w:t xml:space="preserve"> and ∂</w:t>
      </w:r>
      <w:r>
        <w:rPr>
          <w:vertAlign w:val="subscript"/>
        </w:rPr>
        <w:t>ξ</w:t>
      </w:r>
      <w:r>
        <w:t>x</w:t>
      </w:r>
      <w:r>
        <w:rPr>
          <w:vertAlign w:val="subscript"/>
        </w:rPr>
        <w:t>η</w:t>
      </w:r>
      <w:r>
        <w:t xml:space="preserve"> = ∂</w:t>
      </w:r>
      <w:r>
        <w:rPr>
          <w:vertAlign w:val="subscript"/>
        </w:rPr>
        <w:t>η</w:t>
      </w:r>
      <w:r>
        <w:t>x</w:t>
      </w:r>
      <w:r>
        <w:rPr>
          <w:vertAlign w:val="subscript"/>
        </w:rPr>
        <w:t>ξ</w:t>
      </w:r>
      <w:r>
        <w:t xml:space="preserve"> hold exactly at interior nodes, which is what makes a uniform-stress field have exactly zero discrete divergence (the patch test of Section 5.1).</w:t>
      </w:r>
    </w:p>
    <w:p>
      <w:pPr>
        <w:pStyle w:val="Heading2"/>
      </w:pPr>
      <w:r>
        <w:t>4.3 Conservative discretisation of the two operators</w:t>
      </w:r>
    </w:p>
    <w:p>
      <w:pPr>
        <w:spacing w:after="120"/>
        <w:jc w:val="both"/>
      </w:pPr>
      <w:r>
        <w:t>The heat and momentum operators are written in contravariant flux form rather than as compositions of first derivatives, because the composition D</w:t>
      </w:r>
      <w:r>
        <w:rPr>
          <w:vertAlign w:val="subscript"/>
        </w:rPr>
        <w:t>x</w:t>
      </w:r>
      <w:r>
        <w:t>D</w:t>
      </w:r>
      <w:r>
        <w:rPr>
          <w:vertAlign w:val="subscript"/>
        </w:rPr>
        <w:t>x</w:t>
      </w:r>
      <w:r>
        <w:t xml:space="preserve"> has a 2h stencil with odd–even decoupling: it possesses spurious null modes that a narrow conservative stencil does not. For any vector field v the identity</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852470" cy="253898"/>
                  <wp:docPr id="58" name="Picture 58"/>
                  <wp:cNvGraphicFramePr>
                    <a:graphicFrameLocks noChangeAspect="1"/>
                  </wp:cNvGraphicFramePr>
                  <a:graphic>
                    <a:graphicData uri="http://schemas.openxmlformats.org/drawingml/2006/picture">
                      <pic:pic>
                        <pic:nvPicPr>
                          <pic:cNvPr id="0" name="eq57.png"/>
                          <pic:cNvPicPr/>
                        </pic:nvPicPr>
                        <pic:blipFill>
                          <a:blip r:embed="rId66"/>
                          <a:stretch>
                            <a:fillRect/>
                          </a:stretch>
                        </pic:blipFill>
                        <pic:spPr>
                          <a:xfrm>
                            <a:off x="0" y="0"/>
                            <a:ext cx="2852470" cy="253898"/>
                          </a:xfrm>
                          <a:prstGeom prst="rect"/>
                        </pic:spPr>
                      </pic:pic>
                    </a:graphicData>
                  </a:graphic>
                </wp:inline>
              </w:drawing>
            </w:r>
          </w:p>
        </w:tc>
        <w:tc>
          <w:tcPr>
            <w:tcW w:type="dxa" w:w="1152"/>
          </w:tcPr>
          <w:p>
            <w:pPr>
              <w:jc w:val="right"/>
            </w:pPr>
            <w:r>
              <w:t>(57)</w:t>
            </w:r>
          </w:p>
        </w:tc>
      </w:tr>
    </w:tbl>
    <w:p>
      <w:pPr>
        <w:spacing w:after="120"/>
        <w:jc w:val="both"/>
      </w:pPr>
      <w:r>
        <w:t>is exact for analytic metrics, and discretely exact for the discrete metrics of Section 4.1. Applying it to v = −K∇θ gives the thermal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917240" cy="253898"/>
                  <wp:docPr id="59" name="Picture 59"/>
                  <wp:cNvGraphicFramePr>
                    <a:graphicFrameLocks noChangeAspect="1"/>
                  </wp:cNvGraphicFramePr>
                  <a:graphic>
                    <a:graphicData uri="http://schemas.openxmlformats.org/drawingml/2006/picture">
                      <pic:pic>
                        <pic:nvPicPr>
                          <pic:cNvPr id="0" name="eq58.png"/>
                          <pic:cNvPicPr/>
                        </pic:nvPicPr>
                        <pic:blipFill>
                          <a:blip r:embed="rId67"/>
                          <a:stretch>
                            <a:fillRect/>
                          </a:stretch>
                        </pic:blipFill>
                        <pic:spPr>
                          <a:xfrm>
                            <a:off x="0" y="0"/>
                            <a:ext cx="2917240" cy="253898"/>
                          </a:xfrm>
                          <a:prstGeom prst="rect"/>
                        </pic:spPr>
                      </pic:pic>
                    </a:graphicData>
                  </a:graphic>
                </wp:inline>
              </w:drawing>
            </w:r>
          </w:p>
        </w:tc>
        <w:tc>
          <w:tcPr>
            <w:tcW w:type="dxa" w:w="1152"/>
          </w:tcPr>
          <w:p>
            <w:pPr>
              <w:jc w:val="right"/>
            </w:pPr>
            <w:r>
              <w:t>(58)</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71672" cy="323850"/>
                  <wp:docPr id="60" name="Picture 60"/>
                  <wp:cNvGraphicFramePr>
                    <a:graphicFrameLocks noChangeAspect="1"/>
                  </wp:cNvGraphicFramePr>
                  <a:graphic>
                    <a:graphicData uri="http://schemas.openxmlformats.org/drawingml/2006/picture">
                      <pic:pic>
                        <pic:nvPicPr>
                          <pic:cNvPr id="0" name="eq59.png"/>
                          <pic:cNvPicPr/>
                        </pic:nvPicPr>
                        <pic:blipFill>
                          <a:blip r:embed="rId68"/>
                          <a:stretch>
                            <a:fillRect/>
                          </a:stretch>
                        </pic:blipFill>
                        <pic:spPr>
                          <a:xfrm>
                            <a:off x="0" y="0"/>
                            <a:ext cx="3471672" cy="323850"/>
                          </a:xfrm>
                          <a:prstGeom prst="rect"/>
                        </pic:spPr>
                      </pic:pic>
                    </a:graphicData>
                  </a:graphic>
                </wp:inline>
              </w:drawing>
            </w:r>
          </w:p>
        </w:tc>
        <w:tc>
          <w:tcPr>
            <w:tcW w:type="dxa" w:w="1152"/>
          </w:tcPr>
          <w:p>
            <w:pPr>
              <w:jc w:val="right"/>
            </w:pPr>
            <w:r>
              <w:t>(59)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72640" cy="284988"/>
                  <wp:docPr id="61" name="Picture 61"/>
                  <wp:cNvGraphicFramePr>
                    <a:graphicFrameLocks noChangeAspect="1"/>
                  </wp:cNvGraphicFramePr>
                  <a:graphic>
                    <a:graphicData uri="http://schemas.openxmlformats.org/drawingml/2006/picture">
                      <pic:pic>
                        <pic:nvPicPr>
                          <pic:cNvPr id="0" name="eq60.png"/>
                          <pic:cNvPicPr/>
                        </pic:nvPicPr>
                        <pic:blipFill>
                          <a:blip r:embed="rId69"/>
                          <a:stretch>
                            <a:fillRect/>
                          </a:stretch>
                        </pic:blipFill>
                        <pic:spPr>
                          <a:xfrm>
                            <a:off x="0" y="0"/>
                            <a:ext cx="2072640" cy="284988"/>
                          </a:xfrm>
                          <a:prstGeom prst="rect"/>
                        </pic:spPr>
                      </pic:pic>
                    </a:graphicData>
                  </a:graphic>
                </wp:inline>
              </w:drawing>
            </w:r>
          </w:p>
        </w:tc>
        <w:tc>
          <w:tcPr>
            <w:tcW w:type="dxa" w:w="1152"/>
          </w:tcPr>
          <w:p>
            <w:pPr>
              <w:jc w:val="right"/>
            </w:pPr>
            <w:r>
              <w:t>(60)</w:t>
            </w:r>
          </w:p>
        </w:tc>
      </w:tr>
    </w:tbl>
    <w:p>
      <w:pPr>
        <w:spacing w:after="120"/>
        <w:jc w:val="both"/>
      </w:pPr>
      <w:r>
        <w:t>with the coefficients evaluated at half points as arithmetic averages of the nodal values, and the fluxes differentiated with the same stencils as in Eq. (56); the resulting matrix has the narrow (i ± 1, j ± 1) stencil. The momentum operator is built the same way from the contravariant fluxes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66077"/>
                  <wp:docPr id="62" name="Picture 62"/>
                  <wp:cNvGraphicFramePr>
                    <a:graphicFrameLocks noChangeAspect="1"/>
                  </wp:cNvGraphicFramePr>
                  <a:graphic>
                    <a:graphicData uri="http://schemas.openxmlformats.org/drawingml/2006/picture">
                      <pic:pic>
                        <pic:nvPicPr>
                          <pic:cNvPr id="0" name="eq61.png"/>
                          <pic:cNvPicPr/>
                        </pic:nvPicPr>
                        <pic:blipFill>
                          <a:blip r:embed="rId70"/>
                          <a:stretch>
                            <a:fillRect/>
                          </a:stretch>
                        </pic:blipFill>
                        <pic:spPr>
                          <a:xfrm>
                            <a:off x="0" y="0"/>
                            <a:ext cx="4937760" cy="166077"/>
                          </a:xfrm>
                          <a:prstGeom prst="rect"/>
                        </pic:spPr>
                      </pic:pic>
                    </a:graphicData>
                  </a:graphic>
                </wp:inline>
              </w:drawing>
            </w:r>
          </w:p>
        </w:tc>
        <w:tc>
          <w:tcPr>
            <w:tcW w:type="dxa" w:w="1152"/>
          </w:tcPr>
          <w:p>
            <w:pPr>
              <w:jc w:val="right"/>
            </w:pPr>
            <w:r>
              <w:t>(61)</w:t>
            </w:r>
          </w:p>
        </w:tc>
      </w:tr>
    </w:tbl>
    <w:p>
      <w:pPr>
        <w:spacing w:after="120"/>
        <w:jc w:val="both"/>
      </w:pPr>
      <w:r>
        <w:t>through the same identity, with the stresses of Eq. (11) evaluated from the strain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19323" cy="212445"/>
                  <wp:docPr id="63" name="Picture 63"/>
                  <wp:cNvGraphicFramePr>
                    <a:graphicFrameLocks noChangeAspect="1"/>
                  </wp:cNvGraphicFramePr>
                  <a:graphic>
                    <a:graphicData uri="http://schemas.openxmlformats.org/drawingml/2006/picture">
                      <pic:pic>
                        <pic:nvPicPr>
                          <pic:cNvPr id="0" name="eq62.png"/>
                          <pic:cNvPicPr/>
                        </pic:nvPicPr>
                        <pic:blipFill>
                          <a:blip r:embed="rId71"/>
                          <a:stretch>
                            <a:fillRect/>
                          </a:stretch>
                        </pic:blipFill>
                        <pic:spPr>
                          <a:xfrm>
                            <a:off x="0" y="0"/>
                            <a:ext cx="3119323" cy="212445"/>
                          </a:xfrm>
                          <a:prstGeom prst="rect"/>
                        </pic:spPr>
                      </pic:pic>
                    </a:graphicData>
                  </a:graphic>
                </wp:inline>
              </w:drawing>
            </w:r>
          </w:p>
        </w:tc>
        <w:tc>
          <w:tcPr>
            <w:tcW w:type="dxa" w:w="1152"/>
          </w:tcPr>
          <w:p>
            <w:pPr>
              <w:jc w:val="right"/>
            </w:pPr>
            <w:r>
              <w:t>(62)</w:t>
            </w:r>
          </w:p>
        </w:tc>
      </w:tr>
    </w:tbl>
    <w:p>
      <w:pPr>
        <w:spacing w:after="120"/>
        <w:jc w:val="both"/>
      </w:pPr>
      <w:r>
        <w:t>computed with Eq. (55). The thermal-stress term is deliberately kept out of the flux: it is assembled as the first-derivative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6030" cy="243535"/>
                  <wp:docPr id="64" name="Picture 64"/>
                  <wp:cNvGraphicFramePr>
                    <a:graphicFrameLocks noChangeAspect="1"/>
                  </wp:cNvGraphicFramePr>
                  <a:graphic>
                    <a:graphicData uri="http://schemas.openxmlformats.org/drawingml/2006/picture">
                      <pic:pic>
                        <pic:nvPicPr>
                          <pic:cNvPr id="0" name="eq63.png"/>
                          <pic:cNvPicPr/>
                        </pic:nvPicPr>
                        <pic:blipFill>
                          <a:blip r:embed="rId72"/>
                          <a:stretch>
                            <a:fillRect/>
                          </a:stretch>
                        </pic:blipFill>
                        <pic:spPr>
                          <a:xfrm>
                            <a:off x="0" y="0"/>
                            <a:ext cx="2526030" cy="243535"/>
                          </a:xfrm>
                          <a:prstGeom prst="rect"/>
                        </pic:spPr>
                      </pic:pic>
                    </a:graphicData>
                  </a:graphic>
                </wp:inline>
              </w:drawing>
            </w:r>
          </w:p>
        </w:tc>
        <w:tc>
          <w:tcPr>
            <w:tcW w:type="dxa" w:w="1152"/>
          </w:tcPr>
          <w:p>
            <w:pPr>
              <w:jc w:val="right"/>
            </w:pPr>
            <w:r>
              <w:t>(63)</w:t>
            </w:r>
          </w:p>
        </w:tc>
      </w:tr>
    </w:tbl>
    <w:p>
      <w:pPr>
        <w:spacing w:after="120"/>
        <w:jc w:val="both"/>
      </w:pPr>
      <w:r>
        <w:t>so that a uniform temperature field produces exactly zero body force, which is the V7 patch test of Section 5.1; putting βθ into the flux and differentiating it would leave a residual of the order of the metric-identity error and would destroy that property.</w:t>
      </w:r>
    </w:p>
    <w:p>
      <w:pPr>
        <w:pStyle w:val="Heading2"/>
      </w:pPr>
      <w:r>
        <w:t>4.4 Boundary conditions and extraction of the wall stress</w:t>
      </w:r>
    </w:p>
    <w:p>
      <w:pPr>
        <w:spacing w:after="120"/>
        <w:jc w:val="both"/>
      </w:pPr>
      <w:r>
        <w:t>Boundary conditions are imposed by row replacement, not by elimination. On the cavity wall the temperature row is the Dirichlet condition θ = 1 (unit transfer amplitude) and the two momentum rows are the traction conditions built from the first-derivative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01192"/>
                  <wp:docPr id="65" name="Picture 65"/>
                  <wp:cNvGraphicFramePr>
                    <a:graphicFrameLocks noChangeAspect="1"/>
                  </wp:cNvGraphicFramePr>
                  <a:graphic>
                    <a:graphicData uri="http://schemas.openxmlformats.org/drawingml/2006/picture">
                      <pic:pic>
                        <pic:nvPicPr>
                          <pic:cNvPr id="0" name="eq64.png"/>
                          <pic:cNvPicPr/>
                        </pic:nvPicPr>
                        <pic:blipFill>
                          <a:blip r:embed="rId73"/>
                          <a:stretch>
                            <a:fillRect/>
                          </a:stretch>
                        </pic:blipFill>
                        <pic:spPr>
                          <a:xfrm>
                            <a:off x="0" y="0"/>
                            <a:ext cx="4937760" cy="201192"/>
                          </a:xfrm>
                          <a:prstGeom prst="rect"/>
                        </pic:spPr>
                      </pic:pic>
                    </a:graphicData>
                  </a:graphic>
                </wp:inline>
              </w:drawing>
            </w:r>
          </w:p>
        </w:tc>
        <w:tc>
          <w:tcPr>
            <w:tcW w:type="dxa" w:w="1152"/>
          </w:tcPr>
          <w:p>
            <w:pPr>
              <w:jc w:val="right"/>
            </w:pPr>
            <w:r>
              <w:t>(64)</w:t>
            </w:r>
          </w:p>
        </w:tc>
      </w:tr>
    </w:tbl>
    <w:p>
      <w:pPr>
        <w:spacing w:after="120"/>
        <w:jc w:val="both"/>
      </w:pPr>
      <w:r>
        <w:t>acting on (θ, u</w:t>
      </w:r>
      <w:r>
        <w:rPr>
          <w:vertAlign w:val="subscript"/>
        </w:rPr>
        <w:t>1</w:t>
      </w:r>
      <w:r>
        <w:t>, u</w:t>
      </w:r>
      <w:r>
        <w:rPr>
          <w:vertAlign w:val="subscript"/>
        </w:rPr>
        <w:t>3</w:t>
      </w:r>
      <w:r>
        <w:t>), and combined with the wall normal of the ellipse,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55134" cy="215036"/>
                  <wp:docPr id="66" name="Picture 66"/>
                  <wp:cNvGraphicFramePr>
                    <a:graphicFrameLocks noChangeAspect="1"/>
                  </wp:cNvGraphicFramePr>
                  <a:graphic>
                    <a:graphicData uri="http://schemas.openxmlformats.org/drawingml/2006/picture">
                      <pic:pic>
                        <pic:nvPicPr>
                          <pic:cNvPr id="0" name="eq65.png"/>
                          <pic:cNvPicPr/>
                        </pic:nvPicPr>
                        <pic:blipFill>
                          <a:blip r:embed="rId74"/>
                          <a:stretch>
                            <a:fillRect/>
                          </a:stretch>
                        </pic:blipFill>
                        <pic:spPr>
                          <a:xfrm>
                            <a:off x="0" y="0"/>
                            <a:ext cx="4355134" cy="215036"/>
                          </a:xfrm>
                          <a:prstGeom prst="rect"/>
                        </pic:spPr>
                      </pic:pic>
                    </a:graphicData>
                  </a:graphic>
                </wp:inline>
              </w:drawing>
            </w:r>
          </w:p>
        </w:tc>
        <w:tc>
          <w:tcPr>
            <w:tcW w:type="dxa" w:w="1152"/>
          </w:tcPr>
          <w:p>
            <w:pPr>
              <w:jc w:val="right"/>
            </w:pPr>
            <w:r>
              <w:t>(65)</w:t>
            </w:r>
          </w:p>
        </w:tc>
      </w:tr>
    </w:tbl>
    <w:p>
      <w:pPr>
        <w:spacing w:after="120"/>
        <w:jc w:val="both"/>
      </w:pPr>
      <w:r>
        <w:t>into the two traction rows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6611" cy="212445"/>
                  <wp:docPr id="67" name="Picture 67"/>
                  <wp:cNvGraphicFramePr>
                    <a:graphicFrameLocks noChangeAspect="1"/>
                  </wp:cNvGraphicFramePr>
                  <a:graphic>
                    <a:graphicData uri="http://schemas.openxmlformats.org/drawingml/2006/picture">
                      <pic:pic>
                        <pic:nvPicPr>
                          <pic:cNvPr id="0" name="eq66.png"/>
                          <pic:cNvPicPr/>
                        </pic:nvPicPr>
                        <pic:blipFill>
                          <a:blip r:embed="rId75"/>
                          <a:stretch>
                            <a:fillRect/>
                          </a:stretch>
                        </pic:blipFill>
                        <pic:spPr>
                          <a:xfrm>
                            <a:off x="0" y="0"/>
                            <a:ext cx="2756611" cy="212445"/>
                          </a:xfrm>
                          <a:prstGeom prst="rect"/>
                        </pic:spPr>
                      </pic:pic>
                    </a:graphicData>
                  </a:graphic>
                </wp:inline>
              </w:drawing>
            </w:r>
          </w:p>
        </w:tc>
        <w:tc>
          <w:tcPr>
            <w:tcW w:type="dxa" w:w="1152"/>
          </w:tcPr>
          <w:p>
            <w:pPr>
              <w:jc w:val="right"/>
            </w:pPr>
            <w:r>
              <w:t>(66)</w:t>
            </w:r>
          </w:p>
        </w:tc>
      </w:tr>
    </w:tbl>
    <w:p>
      <w:pPr>
        <w:spacing w:after="120"/>
        <w:jc w:val="both"/>
      </w:pPr>
      <w:r>
        <w:t>On the outer boundary Γ</w:t>
      </w:r>
      <w:r>
        <w:rPr>
          <w:vertAlign w:val="subscript"/>
        </w:rPr>
        <w:t>R</w:t>
      </w:r>
      <w:r>
        <w:t xml:space="preserve"> all three rows are Dirichlet (θ = 0, u</w:t>
      </w:r>
      <w:r>
        <w:rPr>
          <w:vertAlign w:val="subscript"/>
        </w:rPr>
        <w:t>1</w:t>
      </w:r>
      <w:r>
        <w:t xml:space="preserve"> = u</w:t>
      </w:r>
      <w:r>
        <w:rPr>
          <w:vertAlign w:val="subscript"/>
        </w:rPr>
        <w:t>3</w:t>
      </w:r>
      <w:r>
        <w:t xml:space="preserve"> = 0). The wall hoop stress reported throughout the paper is the tangential component of the same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03729" cy="259080"/>
                  <wp:docPr id="68" name="Picture 68"/>
                  <wp:cNvGraphicFramePr>
                    <a:graphicFrameLocks noChangeAspect="1"/>
                  </wp:cNvGraphicFramePr>
                  <a:graphic>
                    <a:graphicData uri="http://schemas.openxmlformats.org/drawingml/2006/picture">
                      <pic:pic>
                        <pic:nvPicPr>
                          <pic:cNvPr id="0" name="eq67.png"/>
                          <pic:cNvPicPr/>
                        </pic:nvPicPr>
                        <pic:blipFill>
                          <a:blip r:embed="rId76"/>
                          <a:stretch>
                            <a:fillRect/>
                          </a:stretch>
                        </pic:blipFill>
                        <pic:spPr>
                          <a:xfrm>
                            <a:off x="0" y="0"/>
                            <a:ext cx="2103729" cy="259080"/>
                          </a:xfrm>
                          <a:prstGeom prst="rect"/>
                        </pic:spPr>
                      </pic:pic>
                    </a:graphicData>
                  </a:graphic>
                </wp:inline>
              </w:drawing>
            </w:r>
          </w:p>
        </w:tc>
        <w:tc>
          <w:tcPr>
            <w:tcW w:type="dxa" w:w="1152"/>
          </w:tcPr>
          <w:p>
            <w:pPr>
              <w:jc w:val="right"/>
            </w:pPr>
            <w:r>
              <w:t>(67)</w:t>
            </w:r>
          </w:p>
        </w:tc>
      </w:tr>
    </w:tbl>
    <w:p>
      <w:pPr>
        <w:spacing w:after="120"/>
        <w:jc w:val="both"/>
      </w:pPr>
      <w:r>
        <w:t>evaluated at the wall nodes; the two traction components of Eq. (66) are monitored in every run and are zero to the solver’s backward error, so the wall is traction-free by construction rather than approximately.</w:t>
      </w:r>
    </w:p>
    <w:p>
      <w:pPr>
        <w:pStyle w:val="Heading2"/>
      </w:pPr>
      <w:r>
        <w:t>4.5 Frequency-domain system</w:t>
      </w:r>
    </w:p>
    <w:p>
      <w:pPr>
        <w:spacing w:after="120"/>
        <w:jc w:val="both"/>
      </w:pPr>
      <w:r>
        <w:t>For a single complex frequency the coupled system is solved in one linear system for the vector U = (θ, u</w:t>
      </w:r>
      <w:r>
        <w:rPr>
          <w:vertAlign w:val="subscript"/>
        </w:rPr>
        <w:t>1</w:t>
      </w:r>
      <w:r>
        <w:t>, u</w:t>
      </w:r>
      <w:r>
        <w:rPr>
          <w:vertAlign w:val="subscript"/>
        </w:rPr>
        <w:t>3</w:t>
      </w:r>
      <w:r>
        <w:t>) of 3N</w:t>
      </w:r>
      <w:r>
        <w:rPr>
          <w:vertAlign w:val="subscript"/>
        </w:rPr>
        <w:t>r</w:t>
      </w:r>
      <w:r>
        <w:t>N</w:t>
      </w:r>
      <w:r>
        <w:rPr>
          <w:vertAlign w:val="subscript"/>
        </w:rPr>
        <w:t>θ</w:t>
      </w:r>
      <w:r>
        <w:t xml:space="preserve"> unknowns. With the harmonic convention fields ∝ exp(+iωt) the semi-discrete equations of Section 2.5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621938" cy="238354"/>
                  <wp:docPr id="69" name="Picture 69"/>
                  <wp:cNvGraphicFramePr>
                    <a:graphicFrameLocks noChangeAspect="1"/>
                  </wp:cNvGraphicFramePr>
                  <a:graphic>
                    <a:graphicData uri="http://schemas.openxmlformats.org/drawingml/2006/picture">
                      <pic:pic>
                        <pic:nvPicPr>
                          <pic:cNvPr id="0" name="eq68.png"/>
                          <pic:cNvPicPr/>
                        </pic:nvPicPr>
                        <pic:blipFill>
                          <a:blip r:embed="rId77"/>
                          <a:stretch>
                            <a:fillRect/>
                          </a:stretch>
                        </pic:blipFill>
                        <pic:spPr>
                          <a:xfrm>
                            <a:off x="0" y="0"/>
                            <a:ext cx="3621938" cy="238354"/>
                          </a:xfrm>
                          <a:prstGeom prst="rect"/>
                        </pic:spPr>
                      </pic:pic>
                    </a:graphicData>
                  </a:graphic>
                </wp:inline>
              </w:drawing>
            </w:r>
          </w:p>
        </w:tc>
        <w:tc>
          <w:tcPr>
            <w:tcW w:type="dxa" w:w="1152"/>
          </w:tcPr>
          <w:p>
            <w:pPr>
              <w:jc w:val="right"/>
            </w:pPr>
            <w:r>
              <w:t>(68)</w:t>
            </w:r>
          </w:p>
        </w:tc>
      </w:tr>
    </w:tbl>
    <w:p>
      <w:pPr>
        <w:spacing w:after="120"/>
        <w:jc w:val="both"/>
      </w:pPr>
      <w:r>
        <w:t>whose blocks (rows: momentum-1, momentum-2, energy)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67072" cy="225400"/>
                  <wp:docPr id="70" name="Picture 70"/>
                  <wp:cNvGraphicFramePr>
                    <a:graphicFrameLocks noChangeAspect="1"/>
                  </wp:cNvGraphicFramePr>
                  <a:graphic>
                    <a:graphicData uri="http://schemas.openxmlformats.org/drawingml/2006/picture">
                      <pic:pic>
                        <pic:nvPicPr>
                          <pic:cNvPr id="0" name="eq69.png"/>
                          <pic:cNvPicPr/>
                        </pic:nvPicPr>
                        <pic:blipFill>
                          <a:blip r:embed="rId78"/>
                          <a:stretch>
                            <a:fillRect/>
                          </a:stretch>
                        </pic:blipFill>
                        <pic:spPr>
                          <a:xfrm>
                            <a:off x="0" y="0"/>
                            <a:ext cx="4767072" cy="225400"/>
                          </a:xfrm>
                          <a:prstGeom prst="rect"/>
                        </pic:spPr>
                      </pic:pic>
                    </a:graphicData>
                  </a:graphic>
                </wp:inline>
              </w:drawing>
            </w:r>
          </w:p>
        </w:tc>
        <w:tc>
          <w:tcPr>
            <w:tcW w:type="dxa" w:w="1152"/>
          </w:tcPr>
          <w:p>
            <w:pPr>
              <w:jc w:val="right"/>
            </w:pPr>
            <w:r>
              <w:t>(69)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72253" cy="215036"/>
                  <wp:docPr id="71" name="Picture 71"/>
                  <wp:cNvGraphicFramePr>
                    <a:graphicFrameLocks noChangeAspect="1"/>
                  </wp:cNvGraphicFramePr>
                  <a:graphic>
                    <a:graphicData uri="http://schemas.openxmlformats.org/drawingml/2006/picture">
                      <pic:pic>
                        <pic:nvPicPr>
                          <pic:cNvPr id="0" name="eq70.png"/>
                          <pic:cNvPicPr/>
                        </pic:nvPicPr>
                        <pic:blipFill>
                          <a:blip r:embed="rId79"/>
                          <a:stretch>
                            <a:fillRect/>
                          </a:stretch>
                        </pic:blipFill>
                        <pic:spPr>
                          <a:xfrm>
                            <a:off x="0" y="0"/>
                            <a:ext cx="4772253" cy="215036"/>
                          </a:xfrm>
                          <a:prstGeom prst="rect"/>
                        </pic:spPr>
                      </pic:pic>
                    </a:graphicData>
                  </a:graphic>
                </wp:inline>
              </w:drawing>
            </w:r>
          </w:p>
        </w:tc>
        <w:tc>
          <w:tcPr>
            <w:tcW w:type="dxa" w:w="1152"/>
          </w:tcPr>
          <w:p>
            <w:pPr>
              <w:jc w:val="right"/>
            </w:pPr>
            <w:r>
              <w:t>(70)</w:t>
            </w:r>
          </w:p>
        </w:tc>
      </w:tr>
    </w:tbl>
    <w:p>
      <w:pPr>
        <w:spacing w:after="120"/>
        <w:jc w:val="both"/>
      </w:pPr>
      <w:r>
        <w:t>with M the conservative momentum operator of Eq. (61), L the conservative thermal operator of Eq. (58) and A the row-replaced boundary rows of Section 4.3; the right-hand side f is nonzero only on the Dirichlet rows of the wall. The complex frequency is the Laplace variable of the inversion plan,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88693" cy="246126"/>
                  <wp:docPr id="72" name="Picture 72"/>
                  <wp:cNvGraphicFramePr>
                    <a:graphicFrameLocks noChangeAspect="1"/>
                  </wp:cNvGraphicFramePr>
                  <a:graphic>
                    <a:graphicData uri="http://schemas.openxmlformats.org/drawingml/2006/picture">
                      <pic:pic>
                        <pic:nvPicPr>
                          <pic:cNvPr id="0" name="eq71.png"/>
                          <pic:cNvPicPr/>
                        </pic:nvPicPr>
                        <pic:blipFill>
                          <a:blip r:embed="rId80"/>
                          <a:stretch>
                            <a:fillRect/>
                          </a:stretch>
                        </pic:blipFill>
                        <pic:spPr>
                          <a:xfrm>
                            <a:off x="0" y="0"/>
                            <a:ext cx="1888693" cy="246126"/>
                          </a:xfrm>
                          <a:prstGeom prst="rect"/>
                        </pic:spPr>
                      </pic:pic>
                    </a:graphicData>
                  </a:graphic>
                </wp:inline>
              </w:drawing>
            </w:r>
          </w:p>
        </w:tc>
        <w:tc>
          <w:tcPr>
            <w:tcW w:type="dxa" w:w="1152"/>
          </w:tcPr>
          <w:p>
            <w:pPr>
              <w:jc w:val="right"/>
            </w:pPr>
            <w:r>
              <w:t>(71)</w:t>
            </w:r>
          </w:p>
        </w:tc>
      </w:tr>
    </w:tbl>
    <w:p>
      <w:pPr>
        <w:spacing w:after="120"/>
        <w:jc w:val="both"/>
      </w:pPr>
      <w:r>
        <w:t>so that iω = s/t</w:t>
      </w:r>
      <w:r>
        <w:rPr>
          <w:vertAlign w:val="subscript"/>
        </w:rPr>
        <w:t>th</w:t>
      </w:r>
      <w:r>
        <w:t xml:space="preserve"> and ω² = −s²/t</w:t>
      </w:r>
      <w:r>
        <w:rPr>
          <w:vertAlign w:val="subscript"/>
        </w:rPr>
        <w:t>th</w:t>
      </w:r>
      <w:r>
        <w:t>² as required by Eq. (25). Two steps control round-off. First, interior rows are multiplied by the nodal Jacobian J (of order a² in SI units), which brings the PDE rows from O(10</w:t>
      </w:r>
      <w:r>
        <w:rPr>
          <w:vertAlign w:val="superscript"/>
        </w:rPr>
        <w:t>20</w:t>
      </w:r>
      <w:r>
        <w:t>) to O(10</w:t>
      </w:r>
      <w:r>
        <w:rPr>
          <w:vertAlign w:val="superscript"/>
        </w:rPr>
        <w:t>5</w:t>
      </w:r>
      <w:r>
        <w:t>) relative to the unit boundary rows; then each row is scaled to unit maximum modulus. The system is complex symmetric but not Hermitian; it is factorised by sparse LU and improved by two steps of iterative refinement,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33318" cy="287579"/>
                  <wp:docPr id="73" name="Picture 73"/>
                  <wp:cNvGraphicFramePr>
                    <a:graphicFrameLocks noChangeAspect="1"/>
                  </wp:cNvGraphicFramePr>
                  <a:graphic>
                    <a:graphicData uri="http://schemas.openxmlformats.org/drawingml/2006/picture">
                      <pic:pic>
                        <pic:nvPicPr>
                          <pic:cNvPr id="0" name="eq72.png"/>
                          <pic:cNvPicPr/>
                        </pic:nvPicPr>
                        <pic:blipFill>
                          <a:blip r:embed="rId81"/>
                          <a:stretch>
                            <a:fillRect/>
                          </a:stretch>
                        </pic:blipFill>
                        <pic:spPr>
                          <a:xfrm>
                            <a:off x="0" y="0"/>
                            <a:ext cx="3233318" cy="287579"/>
                          </a:xfrm>
                          <a:prstGeom prst="rect"/>
                        </pic:spPr>
                      </pic:pic>
                    </a:graphicData>
                  </a:graphic>
                </wp:inline>
              </w:drawing>
            </w:r>
          </w:p>
        </w:tc>
        <w:tc>
          <w:tcPr>
            <w:tcW w:type="dxa" w:w="1152"/>
          </w:tcPr>
          <w:p>
            <w:pPr>
              <w:jc w:val="right"/>
            </w:pPr>
            <w:r>
              <w:t>(72)</w:t>
            </w:r>
          </w:p>
        </w:tc>
      </w:tr>
    </w:tbl>
    <w:p>
      <w:pPr>
        <w:spacing w:after="120"/>
        <w:jc w:val="both"/>
      </w:pPr>
      <w:r>
        <w:t>with the backward error η recorded for every solve (frequency-domain formulations of dynamic coupled thermoelasticity with relaxation times go back to [44] and are reviewed in [45]): refinement lowers the floor of the wall stress from about 10</w:t>
      </w:r>
      <w:r>
        <w:rPr>
          <w:vertAlign w:val="superscript"/>
        </w:rPr>
        <w:t>−8</w:t>
      </w:r>
      <w:r>
        <w:t xml:space="preserve"> to 10</w:t>
      </w:r>
      <w:r>
        <w:rPr>
          <w:vertAlign w:val="superscript"/>
        </w:rPr>
        <w:t>−14</w:t>
      </w:r>
      <w:r>
        <w:t xml:space="preserve"> relative, which matters because the quantities of interest in Section 6 are differences of nearly equal stresses.</w:t>
      </w:r>
    </w:p>
    <w:p>
      <w:pPr>
        <w:pStyle w:val="Heading2"/>
      </w:pPr>
      <w:r>
        <w:t>4.6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[46,47].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13173" cy="305714"/>
                  <wp:docPr id="74" name="Picture 74"/>
                  <wp:cNvGraphicFramePr>
                    <a:graphicFrameLocks noChangeAspect="1"/>
                  </wp:cNvGraphicFramePr>
                  <a:graphic>
                    <a:graphicData uri="http://schemas.openxmlformats.org/drawingml/2006/picture">
                      <pic:pic>
                        <pic:nvPicPr>
                          <pic:cNvPr id="0" name="eq73.png"/>
                          <pic:cNvPicPr/>
                        </pic:nvPicPr>
                        <pic:blipFill>
                          <a:blip r:embed="rId82"/>
                          <a:stretch>
                            <a:fillRect/>
                          </a:stretch>
                        </pic:blipFill>
                        <pic:spPr>
                          <a:xfrm>
                            <a:off x="0" y="0"/>
                            <a:ext cx="4513173" cy="305714"/>
                          </a:xfrm>
                          <a:prstGeom prst="rect"/>
                        </pic:spPr>
                      </pic:pic>
                    </a:graphicData>
                  </a:graphic>
                </wp:inline>
              </w:drawing>
            </w:r>
          </w:p>
        </w:tc>
        <w:tc>
          <w:tcPr>
            <w:tcW w:type="dxa" w:w="1152"/>
          </w:tcPr>
          <w:p>
            <w:pPr>
              <w:jc w:val="right"/>
            </w:pPr>
            <w:r>
              <w:t>(73)</w:t>
            </w:r>
          </w:p>
        </w:tc>
      </w:tr>
    </w:tbl>
    <w:p>
      <w:pPr>
        <w:spacing w:after="120"/>
        <w:jc w:val="both"/>
      </w:pPr>
      <w:r>
        <w:t>and the response is the Bromwich integral evaluated by the trapezoidal rule on the vertical line Re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75" name="Picture 75"/>
                  <wp:cNvGraphicFramePr>
                    <a:graphicFrameLocks noChangeAspect="1"/>
                  </wp:cNvGraphicFramePr>
                  <a:graphic>
                    <a:graphicData uri="http://schemas.openxmlformats.org/drawingml/2006/picture">
                      <pic:pic>
                        <pic:nvPicPr>
                          <pic:cNvPr id="0" name="eq74.png"/>
                          <pic:cNvPicPr/>
                        </pic:nvPicPr>
                        <pic:blipFill>
                          <a:blip r:embed="rId83"/>
                          <a:stretch>
                            <a:fillRect/>
                          </a:stretch>
                        </pic:blipFill>
                        <pic:spPr>
                          <a:xfrm>
                            <a:off x="0" y="0"/>
                            <a:ext cx="3829202" cy="443026"/>
                          </a:xfrm>
                          <a:prstGeom prst="rect"/>
                        </pic:spPr>
                      </pic:pic>
                    </a:graphicData>
                  </a:graphic>
                </wp:inline>
              </w:drawing>
            </w:r>
          </w:p>
        </w:tc>
        <w:tc>
          <w:tcPr>
            <w:tcW w:type="dxa" w:w="1152"/>
          </w:tcPr>
          <w:p>
            <w:pPr>
              <w:jc w:val="right"/>
            </w:pPr>
            <w:r>
              <w:t>(74)</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whose mean wall temperature is t</w:t>
      </w:r>
      <w:r>
        <w:rPr>
          <w:vertAlign w:val="subscript"/>
        </w:rPr>
        <w:t>w</w:t>
      </w:r>
      <w:r>
        <w:t>√π/T = 0.106 of the peak for the parameters above; that mean drives a steady temperature profile out to the outer boundary and adds a static clamped-boundary stress, so the answer is not the single-pulse response this study asks about.</w:t>
      </w:r>
    </w:p>
    <w:p>
      <w:pPr>
        <w:spacing w:after="120"/>
        <w:jc w:val="both"/>
      </w:pPr>
      <w:r>
        <w:t>which is Eq. (74) with the plan made explicit. Three errors enter and all three are controlled: (i) the trapezoidal rule periodises the integrand, so the result is the response of a train of pulses of period T plus the alias error e</w:t>
      </w:r>
      <w:r>
        <w:rPr>
          <w:vertAlign w:val="superscript"/>
        </w:rPr>
        <w:t>−γ_{B</w:t>
      </w:r>
      <w:r>
        <w:t>T} = e</w:t>
      </w:r>
      <w:r>
        <w:rPr>
          <w:vertAlign w:val="superscript"/>
        </w:rPr>
        <w:t>-18</w:t>
      </w:r>
      <w:r>
        <w:t xml:space="preserve"> = 1.5e-08 for the plan used; (ii) the sum is truncated at K terms, where K is fixed by requiring the pulse spectrum to have fallen to 1e-10 of its value at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99056" cy="349758"/>
                  <wp:docPr id="76" name="Picture 76"/>
                  <wp:cNvGraphicFramePr>
                    <a:graphicFrameLocks noChangeAspect="1"/>
                  </wp:cNvGraphicFramePr>
                  <a:graphic>
                    <a:graphicData uri="http://schemas.openxmlformats.org/drawingml/2006/picture">
                      <pic:pic>
                        <pic:nvPicPr>
                          <pic:cNvPr id="0" name="eq75.png"/>
                          <pic:cNvPicPr/>
                        </pic:nvPicPr>
                        <pic:blipFill>
                          <a:blip r:embed="rId84"/>
                          <a:stretch>
                            <a:fillRect/>
                          </a:stretch>
                        </pic:blipFill>
                        <pic:spPr>
                          <a:xfrm>
                            <a:off x="0" y="0"/>
                            <a:ext cx="1899056" cy="349758"/>
                          </a:xfrm>
                          <a:prstGeom prst="rect"/>
                        </pic:spPr>
                      </pic:pic>
                    </a:graphicData>
                  </a:graphic>
                </wp:inline>
              </w:drawing>
            </w:r>
          </w:p>
        </w:tc>
        <w:tc>
          <w:tcPr>
            <w:tcW w:type="dxa" w:w="1152"/>
          </w:tcPr>
          <w:p>
            <w:pPr>
              <w:jc w:val="right"/>
            </w:pPr>
            <w:r>
              <w:t>(75)</w:t>
            </w:r>
          </w:p>
        </w:tc>
      </w:tr>
    </w:tbl>
    <w:p>
      <w:pPr>
        <w:spacing w:after="120"/>
        <w:jc w:val="both"/>
      </w:pPr>
      <w:r>
        <w:t>giving 27 solves per run; and (iii) round-off of the inversion grows like e</w:t>
      </w:r>
      <w:r>
        <w:rPr>
          <w:vertAlign w:val="superscript"/>
        </w:rPr>
        <w:t>γ_{B</w:t>
      </w:r>
      <w:r>
        <w:t>t}, which is 221.4 at t = 6t</w:t>
      </w:r>
      <w:r>
        <w:rPr>
          <w:vertAlign w:val="subscript"/>
        </w:rPr>
        <w:t>th</w:t>
      </w:r>
      <w:r>
        <w:t xml:space="preserve"> and 49020.8 at t = 12t</w:t>
      </w:r>
      <w:r>
        <w:rPr>
          <w:vertAlign w:val="subscript"/>
        </w:rPr>
        <w:t>th</w:t>
      </w:r>
      <w:r>
        <w:t>. With T = 20 t</w:t>
      </w:r>
      <w:r>
        <w:rPr>
          <w:vertAlign w:val="subscript"/>
        </w:rPr>
        <w:t>th</w:t>
      </w:r>
      <w:r>
        <w:t xml:space="preserve"> and γ</w:t>
      </w:r>
      <w:r>
        <w:rPr>
          <w:vertAlign w:val="subscript"/>
        </w:rPr>
        <w:t>B</w:t>
      </w:r>
      <w:r>
        <w:t xml:space="preserve"> = 0.9/t</w:t>
      </w:r>
      <w:r>
        <w:rPr>
          <w:vertAlign w:val="subscript"/>
        </w:rPr>
        <w:t>th</w:t>
      </w:r>
      <w:r>
        <w:t xml:space="preserve"> the reconstruction is therefore valid for 0 ≤ t ≤ 14.5 t</w:t>
      </w:r>
      <w:r>
        <w:rPr>
          <w:vertAlign w:val="subscript"/>
        </w:rPr>
        <w:t>th</w:t>
      </w:r>
      <w:r>
        <w:t xml:space="preserve"> for the baseline pulse width t</w:t>
      </w:r>
      <w:r>
        <w:rPr>
          <w:vertAlign w:val="subscript"/>
        </w:rPr>
        <w:t>w</w:t>
      </w:r>
      <w:r>
        <w:t xml:space="preserve"> = 1.2 t</w:t>
      </w:r>
      <w:r>
        <w:rPr>
          <w:vertAlign w:val="subscript"/>
        </w:rPr>
        <w:t>th</w:t>
      </w:r>
      <w:r>
        <w:t>, comfortably beyond the window 0 ≤ t ≤ 6 t</w:t>
      </w:r>
      <w:r>
        <w:rPr>
          <w:vertAlign w:val="subscript"/>
        </w:rPr>
        <w:t>th</w:t>
      </w:r>
      <w:r>
        <w:t xml:space="preserve"> of the quantities of interest. The bound is checked against the stored series of every production run, not only estimated: the reconstructed wall temperature deviates from the imposed Gaussian by at most 1.0e-10 anywhere in 0 ≤ t ≤ 6 t</w:t>
      </w:r>
      <w:r>
        <w:rPr>
          <w:vertAlign w:val="subscript"/>
        </w:rPr>
        <w:t>th</w:t>
      </w:r>
      <w:r>
        <w:t>; over the whole stored window 0 ≤ t ≤ 12 t</w:t>
      </w:r>
      <w:r>
        <w:rPr>
          <w:vertAlign w:val="subscript"/>
        </w:rPr>
        <w:t>th</w:t>
      </w:r>
      <w:r>
        <w:t xml:space="preserve"> the worst case for t</w:t>
      </w:r>
      <w:r>
        <w:rPr>
          <w:vertAlign w:val="subscript"/>
        </w:rPr>
        <w:t>w</w:t>
      </w:r>
      <w:r>
        <w:t xml:space="preserve"> = 1.2 is 3.2e-01, while the widest pulse used in the locality test (t</w:t>
      </w:r>
      <w:r>
        <w:rPr>
          <w:vertAlign w:val="subscript"/>
        </w:rPr>
        <w:t>w</w:t>
      </w:r>
      <w:r>
        <w:t xml:space="preserve"> = 2.4 t</w:t>
      </w:r>
      <w:r>
        <w:rPr>
          <w:vertAlign w:val="subscript"/>
        </w:rPr>
        <w:t>th</w:t>
      </w:r>
      <w:r>
        <w:t>) is the one case whose image term enters inside the stored window (3.2e-01 at t = 12 t</w:t>
      </w:r>
      <w:r>
        <w:rPr>
          <w:vertAlign w:val="subscript"/>
        </w:rPr>
        <w:t>th</w:t>
      </w:r>
      <w:r>
        <w:t>), so that test is read only for peak values, which lie well inside the reported window. The real symmetry H(s̄) = conj H(s) of the undamped real system halves nothing but is used as a consistency check, and because the contour lies at distance γ</w:t>
      </w:r>
      <w:r>
        <w:rPr>
          <w:vertAlign w:val="subscript"/>
        </w:rPr>
        <w:t>B</w:t>
      </w:r>
      <w:r>
        <w:t xml:space="preserve"> from the resonances of the finite undamped domain, no artificial damping is needed. The wall temperature reconstructed from H is compared with the Gaussian in every run (Section 5.1).</w:t>
      </w:r>
    </w:p>
    <w:p>
      <w:pPr>
        <w:spacing w:after="120"/>
        <w:jc w:val="both"/>
      </w:pPr>
      <w:r>
        <w:t>Substituting a discrete Fourier synthesis over a window of a few thermal times for Eq. (74) is the mistake this plan replaces: the DFT synthesis returns the periodic steady state of a pulse train of period T: the imposed wall temperature is then not a single pulse but a train with a nonzero mean of t</w:t>
      </w:r>
      <w:r>
        <w:rPr>
          <w:vertAlign w:val="subscript"/>
        </w:rPr>
        <w:t>w</w:t>
      </w:r>
      <w:r>
        <w:t>√π/T = 0.106 of its peak, a steady temperature profile reaches the outer boundary, and the clamped boundary adds a static stress. The question posed in Section 1 is the response to one isolated pulse, which is why the inversion of Eq. (74) is used instead of a windowed Fourier synthesis of the sampled history.</w:t>
      </w:r>
    </w:p>
    <w:p>
      <w:pPr>
        <w:spacing w:after="120"/>
        <w:jc w:val="both"/>
      </w:pPr>
      <w:r>
        <w:t>Peaks in time are located on the sampled history and refined by the three-point parabola through the sample maximum,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73245" cy="266852"/>
                  <wp:docPr id="77" name="Picture 77"/>
                  <wp:cNvGraphicFramePr>
                    <a:graphicFrameLocks noChangeAspect="1"/>
                  </wp:cNvGraphicFramePr>
                  <a:graphic>
                    <a:graphicData uri="http://schemas.openxmlformats.org/drawingml/2006/picture">
                      <pic:pic>
                        <pic:nvPicPr>
                          <pic:cNvPr id="0" name="eq76.png"/>
                          <pic:cNvPicPr/>
                        </pic:nvPicPr>
                        <pic:blipFill>
                          <a:blip r:embed="rId85"/>
                          <a:stretch>
                            <a:fillRect/>
                          </a:stretch>
                        </pic:blipFill>
                        <pic:spPr>
                          <a:xfrm>
                            <a:off x="0" y="0"/>
                            <a:ext cx="3873245" cy="266852"/>
                          </a:xfrm>
                          <a:prstGeom prst="rect"/>
                        </pic:spPr>
                      </pic:pic>
                    </a:graphicData>
                  </a:graphic>
                </wp:inline>
              </w:drawing>
            </w:r>
          </w:p>
        </w:tc>
        <w:tc>
          <w:tcPr>
            <w:tcW w:type="dxa" w:w="1152"/>
          </w:tcPr>
          <w:p>
            <w:pPr>
              <w:jc w:val="right"/>
            </w:pPr>
            <w:r>
              <w:t>(76)</w:t>
            </w:r>
          </w:p>
        </w:tc>
      </w:tr>
    </w:tbl>
    <w:p>
      <w:pPr>
        <w:spacing w:after="120"/>
        <w:jc w:val="both"/>
      </w:pPr>
      <w:r>
        <w:t>which removes the sampling bias of the peak time and amplitude at negligible cost. The alternative inversion algorithms surveyed in [48,49,50,51,52] were not needed here: the Gaussian spectrum decays fast enough for the plain trapezoidal sum on a shifted contour to reach the tolerance above.</w:t>
      </w:r>
    </w:p>
    <w:p>
      <w:pPr>
        <w:pStyle w:val="Heading2"/>
      </w:pPr>
      <w:r>
        <w:t>4.7 Definitions of the quantities of interest</w:t>
      </w:r>
    </w:p>
    <w:p>
      <w:pPr>
        <w:spacing w:after="120"/>
        <w:jc w:val="both"/>
      </w:pPr>
      <w:r>
        <w:t>Let σ</w:t>
      </w:r>
      <w:r>
        <w:rPr>
          <w:vertAlign w:val="subscript"/>
        </w:rPr>
        <w:t>θθ</w:t>
      </w:r>
      <w:r>
        <w:t>(η</w:t>
      </w:r>
      <w:r>
        <w:rPr>
          <w:vertAlign w:val="subscript"/>
        </w:rPr>
        <w:t>j</w:t>
      </w:r>
      <w:r>
        <w:t>, t) be the wall hoop stress of Eq. (67) at wall node j. The primary observable is the peak of its modulus over the wall and over the window 0 ≤ t ≤ 6t</w:t>
      </w:r>
      <w:r>
        <w:rPr>
          <w:vertAlign w:val="subscript"/>
        </w:rPr>
        <w:t>th</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1913" cy="316078"/>
                  <wp:docPr id="78" name="Picture 78"/>
                  <wp:cNvGraphicFramePr>
                    <a:graphicFrameLocks noChangeAspect="1"/>
                  </wp:cNvGraphicFramePr>
                  <a:graphic>
                    <a:graphicData uri="http://schemas.openxmlformats.org/drawingml/2006/picture">
                      <pic:pic>
                        <pic:nvPicPr>
                          <pic:cNvPr id="0" name="eq77.png"/>
                          <pic:cNvPicPr/>
                        </pic:nvPicPr>
                        <pic:blipFill>
                          <a:blip r:embed="rId86"/>
                          <a:stretch>
                            <a:fillRect/>
                          </a:stretch>
                        </pic:blipFill>
                        <pic:spPr>
                          <a:xfrm>
                            <a:off x="0" y="0"/>
                            <a:ext cx="2051913" cy="316078"/>
                          </a:xfrm>
                          <a:prstGeom prst="rect"/>
                        </pic:spPr>
                      </pic:pic>
                    </a:graphicData>
                  </a:graphic>
                </wp:inline>
              </w:drawing>
            </w:r>
          </w:p>
        </w:tc>
        <w:tc>
          <w:tcPr>
            <w:tcW w:type="dxa" w:w="1152"/>
          </w:tcPr>
          <w:p>
            <w:pPr>
              <w:jc w:val="right"/>
            </w:pPr>
            <w:r>
              <w:t>(77)</w:t>
            </w:r>
          </w:p>
        </w:tc>
      </w:tr>
    </w:tbl>
    <w:p>
      <w:pPr>
        <w:spacing w:after="120"/>
        <w:jc w:val="both"/>
      </w:pPr>
      <w:r>
        <w:t>and, to remove the nodal quantisation of the angular maximum — a bias of order (Δη)² that is not negligible on the coarse grids — the same maximum taken over the trigonometric interpolant of the nodal wall profile,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405127"/>
                  <wp:docPr id="79" name="Picture 79"/>
                  <wp:cNvGraphicFramePr>
                    <a:graphicFrameLocks noChangeAspect="1"/>
                  </wp:cNvGraphicFramePr>
                  <a:graphic>
                    <a:graphicData uri="http://schemas.openxmlformats.org/drawingml/2006/picture">
                      <pic:pic>
                        <pic:nvPicPr>
                          <pic:cNvPr id="0" name="eq78.png"/>
                          <pic:cNvPicPr/>
                        </pic:nvPicPr>
                        <pic:blipFill>
                          <a:blip r:embed="rId87"/>
                          <a:stretch>
                            <a:fillRect/>
                          </a:stretch>
                        </pic:blipFill>
                        <pic:spPr>
                          <a:xfrm>
                            <a:off x="0" y="0"/>
                            <a:ext cx="4937760" cy="405127"/>
                          </a:xfrm>
                          <a:prstGeom prst="rect"/>
                        </pic:spPr>
                      </pic:pic>
                    </a:graphicData>
                  </a:graphic>
                </wp:inline>
              </w:drawing>
            </w:r>
          </w:p>
        </w:tc>
        <w:tc>
          <w:tcPr>
            <w:tcW w:type="dxa" w:w="1152"/>
          </w:tcPr>
          <w:p>
            <w:pPr>
              <w:jc w:val="right"/>
            </w:pPr>
            <w:r>
              <w:t>(78)</w:t>
            </w:r>
          </w:p>
        </w:tc>
      </w:tr>
    </w:tbl>
    <w:p>
      <w:pPr>
        <w:spacing w:after="120"/>
        <w:jc w:val="both"/>
      </w:pPr>
      <w:r>
        <w:t>Both are reported per kelvin of wall-temperature amplitude. The orientation modulation of the ellipse and the thermal-memory deviation of the circle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93317" cy="386029"/>
                  <wp:docPr id="80" name="Picture 80"/>
                  <wp:cNvGraphicFramePr>
                    <a:graphicFrameLocks noChangeAspect="1"/>
                  </wp:cNvGraphicFramePr>
                  <a:graphic>
                    <a:graphicData uri="http://schemas.openxmlformats.org/drawingml/2006/picture">
                      <pic:pic>
                        <pic:nvPicPr>
                          <pic:cNvPr id="0" name="eq79.png"/>
                          <pic:cNvPicPr/>
                        </pic:nvPicPr>
                        <pic:blipFill>
                          <a:blip r:embed="rId88"/>
                          <a:stretch>
                            <a:fillRect/>
                          </a:stretch>
                        </pic:blipFill>
                        <pic:spPr>
                          <a:xfrm>
                            <a:off x="0" y="0"/>
                            <a:ext cx="1093317" cy="386029"/>
                          </a:xfrm>
                          <a:prstGeom prst="rect"/>
                        </pic:spPr>
                      </pic:pic>
                    </a:graphicData>
                  </a:graphic>
                </wp:inline>
              </w:drawing>
            </w:r>
          </w:p>
        </w:tc>
        <w:tc>
          <w:tcPr>
            <w:tcW w:type="dxa" w:w="1152"/>
          </w:tcPr>
          <w:p>
            <w:pPr>
              <w:jc w:val="right"/>
            </w:pPr>
            <w:r>
              <w:t>(79)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3681" cy="445618"/>
                  <wp:docPr id="81" name="Picture 81"/>
                  <wp:cNvGraphicFramePr>
                    <a:graphicFrameLocks noChangeAspect="1"/>
                  </wp:cNvGraphicFramePr>
                  <a:graphic>
                    <a:graphicData uri="http://schemas.openxmlformats.org/drawingml/2006/picture">
                      <pic:pic>
                        <pic:nvPicPr>
                          <pic:cNvPr id="0" name="eq80.png"/>
                          <pic:cNvPicPr/>
                        </pic:nvPicPr>
                        <pic:blipFill>
                          <a:blip r:embed="rId89"/>
                          <a:stretch>
                            <a:fillRect/>
                          </a:stretch>
                        </pic:blipFill>
                        <pic:spPr>
                          <a:xfrm>
                            <a:off x="0" y="0"/>
                            <a:ext cx="2173681" cy="445618"/>
                          </a:xfrm>
                          <a:prstGeom prst="rect"/>
                        </pic:spPr>
                      </pic:pic>
                    </a:graphicData>
                  </a:graphic>
                </wp:inline>
              </w:drawing>
            </w:r>
          </w:p>
        </w:tc>
        <w:tc>
          <w:tcPr>
            <w:tcW w:type="dxa" w:w="1152"/>
          </w:tcPr>
          <w:p>
            <w:pPr>
              <w:jc w:val="right"/>
            </w:pPr>
            <w:r>
              <w:t>(80)</w:t>
            </w:r>
          </w:p>
        </w:tc>
      </w:tr>
    </w:tbl>
    <w:p>
      <w:pPr>
        <w:spacing w:after="120"/>
        <w:jc w:val="both"/>
      </w:pPr>
      <w:r>
        <w:t>the latter evaluated on the same grid and with the same inversion plan for the two conduction laws, so that D is a property of the model pair and not of the discretisation. The two-point modulation A</w:t>
      </w:r>
      <w:r>
        <w:rPr>
          <w:vertAlign w:val="subscript"/>
        </w:rPr>
        <w:t>2</w:t>
      </w:r>
      <w:r>
        <w:t xml:space="preserve"> used in the pulse-width test of Section 6.2 is Eq. (79) restricted to two orientations. Because D is a small difference of two nearly equal histories, its numerical accuracy is assessed separately (Section 5.1).</w:t>
      </w:r>
    </w:p>
    <w:p>
      <w:pPr>
        <w:pStyle w:val="Heading2"/>
      </w:pPr>
      <w:r>
        <w:t>4.8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5.2).</w:t>
      </w:r>
    </w:p>
    <w:p>
      <w:pPr>
        <w:spacing w:after="120"/>
        <w:jc w:val="both"/>
      </w:pPr>
      <w:r>
        <w:t>Grid convergence is assessed on two refinement families that vary one direction at a time: radial (R48 = 48×96, M = 96×96, R192 = 192×96) and angular (T48 = 96×48, M = 96×96, T144 = 96×144). For three values f</w:t>
      </w:r>
      <w:r>
        <w:rPr>
          <w:vertAlign w:val="subscript"/>
        </w:rPr>
        <w:t>1</w:t>
      </w:r>
      <w:r>
        <w:t>, f</w:t>
      </w:r>
      <w:r>
        <w:rPr>
          <w:vertAlign w:val="subscript"/>
        </w:rPr>
        <w:t>2</w:t>
      </w:r>
      <w:r>
        <w:t>, f</w:t>
      </w:r>
      <w:r>
        <w:rPr>
          <w:vertAlign w:val="subscript"/>
        </w:rPr>
        <w:t>3</w:t>
      </w:r>
      <w:r>
        <w:t xml:space="preserve"> on meshes with N</w:t>
      </w:r>
      <w:r>
        <w:rPr>
          <w:vertAlign w:val="subscript"/>
        </w:rPr>
        <w:t>1</w:t>
      </w:r>
      <w:r>
        <w:t xml:space="preserve"> &lt; N</w:t>
      </w:r>
      <w:r>
        <w:rPr>
          <w:vertAlign w:val="subscript"/>
        </w:rPr>
        <w:t>2</w:t>
      </w:r>
      <w:r>
        <w:t xml:space="preserve"> &lt; N</w:t>
      </w:r>
      <w:r>
        <w:rPr>
          <w:vertAlign w:val="subscript"/>
        </w:rPr>
        <w:t>3</w:t>
      </w:r>
      <w:r>
        <w:t xml:space="preserve"> directions, the observed order p solves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41501" cy="349758"/>
                  <wp:docPr id="82" name="Picture 82"/>
                  <wp:cNvGraphicFramePr>
                    <a:graphicFrameLocks noChangeAspect="1"/>
                  </wp:cNvGraphicFramePr>
                  <a:graphic>
                    <a:graphicData uri="http://schemas.openxmlformats.org/drawingml/2006/picture">
                      <pic:pic>
                        <pic:nvPicPr>
                          <pic:cNvPr id="0" name="eq81.png"/>
                          <pic:cNvPicPr/>
                        </pic:nvPicPr>
                        <pic:blipFill>
                          <a:blip r:embed="rId90"/>
                          <a:stretch>
                            <a:fillRect/>
                          </a:stretch>
                        </pic:blipFill>
                        <pic:spPr>
                          <a:xfrm>
                            <a:off x="0" y="0"/>
                            <a:ext cx="1041501" cy="349758"/>
                          </a:xfrm>
                          <a:prstGeom prst="rect"/>
                        </pic:spPr>
                      </pic:pic>
                    </a:graphicData>
                  </a:graphic>
                </wp:inline>
              </w:drawing>
            </w:r>
          </w:p>
        </w:tc>
        <w:tc>
          <w:tcPr>
            <w:tcW w:type="dxa" w:w="1152"/>
          </w:tcPr>
          <w:p>
            <w:pPr>
              <w:jc w:val="right"/>
            </w:pPr>
            <w:r>
              <w:t>(81)</w:t>
            </w:r>
          </w:p>
        </w:tc>
      </w:tr>
    </w:tbl>
    <w:p>
      <w:pPr>
        <w:spacing w:after="120"/>
        <w:jc w:val="both"/>
      </w:pPr>
      <w:r>
        <w:t>(a root is sought numerically; if the differences are not monotone the order is undefined and no extrapolation is made). The order is then clipped to the interval [1,3] — below 1 the observed convergence is not trustworthy, above 3 it is not credible for a second-order scheme — and the error model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75304" cy="310896"/>
                  <wp:docPr id="83" name="Picture 83"/>
                  <wp:cNvGraphicFramePr>
                    <a:graphicFrameLocks noChangeAspect="1"/>
                  </wp:cNvGraphicFramePr>
                  <a:graphic>
                    <a:graphicData uri="http://schemas.openxmlformats.org/drawingml/2006/picture">
                      <pic:pic>
                        <pic:nvPicPr>
                          <pic:cNvPr id="0" name="eq82.png"/>
                          <pic:cNvPicPr/>
                        </pic:nvPicPr>
                        <pic:blipFill>
                          <a:blip r:embed="rId91"/>
                          <a:stretch>
                            <a:fillRect/>
                          </a:stretch>
                        </pic:blipFill>
                        <pic:spPr>
                          <a:xfrm>
                            <a:off x="0" y="0"/>
                            <a:ext cx="3575304" cy="310896"/>
                          </a:xfrm>
                          <a:prstGeom prst="rect"/>
                        </pic:spPr>
                      </pic:pic>
                    </a:graphicData>
                  </a:graphic>
                </wp:inline>
              </w:drawing>
            </w:r>
          </w:p>
        </w:tc>
        <w:tc>
          <w:tcPr>
            <w:tcW w:type="dxa" w:w="1152"/>
          </w:tcPr>
          <w:p>
            <w:pPr>
              <w:jc w:val="right"/>
            </w:pPr>
            <w:r>
              <w:t>(82)</w:t>
            </w:r>
          </w:p>
        </w:tc>
      </w:tr>
    </w:tbl>
    <w:p>
      <w:pPr>
        <w:spacing w:after="120"/>
        <w:jc w:val="both"/>
      </w:pPr>
      <w:r>
        <w:t>is calibrated on the two finest levels. The extrapolated value quoted in Section 6 is the production grid M corrected additively by the two one-directional corrections,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95981" cy="264262"/>
                  <wp:docPr id="84" name="Picture 84"/>
                  <wp:cNvGraphicFramePr>
                    <a:graphicFrameLocks noChangeAspect="1"/>
                  </wp:cNvGraphicFramePr>
                  <a:graphic>
                    <a:graphicData uri="http://schemas.openxmlformats.org/drawingml/2006/picture">
                      <pic:pic>
                        <pic:nvPicPr>
                          <pic:cNvPr id="0" name="eq83.png"/>
                          <pic:cNvPicPr/>
                        </pic:nvPicPr>
                        <pic:blipFill>
                          <a:blip r:embed="rId92"/>
                          <a:stretch>
                            <a:fillRect/>
                          </a:stretch>
                        </pic:blipFill>
                        <pic:spPr>
                          <a:xfrm>
                            <a:off x="0" y="0"/>
                            <a:ext cx="2595981" cy="264262"/>
                          </a:xfrm>
                          <a:prstGeom prst="rect"/>
                        </pic:spPr>
                      </pic:pic>
                    </a:graphicData>
                  </a:graphic>
                </wp:inline>
              </w:drawing>
            </w:r>
          </w:p>
        </w:tc>
        <w:tc>
          <w:tcPr>
            <w:tcW w:type="dxa" w:w="1152"/>
          </w:tcPr>
          <w:p>
            <w:pPr>
              <w:jc w:val="right"/>
            </w:pPr>
            <w:r>
              <w:t>(83)</w:t>
            </w:r>
          </w:p>
        </w:tc>
      </w:tr>
    </w:tbl>
    <w:p>
      <w:pPr>
        <w:spacing w:after="120"/>
        <w:jc w:val="both"/>
      </w:pPr>
      <w:r>
        <w:t>which assumes the two error components are additive — an assumption, not a result. The numerical uncertainty of the orientation modulation is then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14124"/>
                  <wp:docPr id="85" name="Picture 85"/>
                  <wp:cNvGraphicFramePr>
                    <a:graphicFrameLocks noChangeAspect="1"/>
                  </wp:cNvGraphicFramePr>
                  <a:graphic>
                    <a:graphicData uri="http://schemas.openxmlformats.org/drawingml/2006/picture">
                      <pic:pic>
                        <pic:nvPicPr>
                          <pic:cNvPr id="0" name="eq84.png"/>
                          <pic:cNvPicPr/>
                        </pic:nvPicPr>
                        <pic:blipFill>
                          <a:blip r:embed="rId93"/>
                          <a:stretch>
                            <a:fillRect/>
                          </a:stretch>
                        </pic:blipFill>
                        <pic:spPr>
                          <a:xfrm>
                            <a:off x="0" y="0"/>
                            <a:ext cx="4937760" cy="214124"/>
                          </a:xfrm>
                          <a:prstGeom prst="rect"/>
                        </pic:spPr>
                      </pic:pic>
                    </a:graphicData>
                  </a:graphic>
                </wp:inline>
              </w:drawing>
            </w:r>
          </w:p>
        </w:tc>
        <w:tc>
          <w:tcPr>
            <w:tcW w:type="dxa" w:w="1152"/>
          </w:tcPr>
          <w:p>
            <w:pPr>
              <w:jc w:val="right"/>
            </w:pPr>
            <w:r>
              <w:t>(84)</w:t>
            </w:r>
          </w:p>
        </w:tc>
      </w:tr>
    </w:tbl>
    <w:p>
      <w:pPr>
        <w:spacing w:after="120"/>
        <w:jc w:val="both"/>
      </w:pPr>
      <w:r>
        <w:t>i.e. the largest of the differences between the production value and the finer or extrapolated estimates, and the detection criterion for the modulation, fixed before the production runs, is A</w:t>
      </w:r>
      <w:r>
        <w:rPr>
          <w:vertAlign w:val="subscript"/>
        </w:rPr>
        <w:t>φ</w:t>
      </w:r>
      <w:r>
        <w:t xml:space="preserve"> &gt; max(5u</w:t>
      </w:r>
      <w:r>
        <w:rPr>
          <w:vertAlign w:val="subscript"/>
        </w:rPr>
        <w:t>num</w:t>
      </w:r>
      <w:r>
        <w:t>, 2%). Following the extrapolation of Eq. (82) goes back to Richardson and Gaunt [53], and in the standard terminology of the verification literature [54,55], these are solution-verification quantities: they bound the discretisation error of the computed solution of the stated model, and say nothing about model error.</w:t>
      </w:r>
    </w:p>
    <w:p>
      <w:pPr>
        <w:spacing w:after="120"/>
        <w:jc w:val="both"/>
      </w:pPr>
      <w:r>
        <w:t>Software and AI assistance (Methods disclosure): the finite-difference solver of the preliminary analysis was reviewed, corrected where noted, extended and verified with the assistance of generative-AI coding tools; this is the research-process use referred to in the declaration before the references (Section 5 lists the tests; code, tests and raw data are in the data package). All numbers in this paper are produced by the analysis scripts from stored raw outputs.</w:t>
      </w:r>
    </w:p>
    <w:p>
      <w:pPr>
        <w:pStyle w:val="Heading1"/>
      </w:pPr>
      <w:r>
        <w:t>5.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(27 passed, 0 failed, 1 exploratory). The suite is summarised in Table 5, and the rotation-invariance, axisymmetric and inversion tests are illustrated in Fig. 2. One inherited absolute threshold is exceeded on a grid that is not used for any reported result: at 96×48 with χ = 2 the metric error is 5.028e-03 against the threshold 5e-03 (a 0.6% exceedance of a bound calibrated on that demonstration grid), while the same sequence converges at the expected second order and satisfies the threshold at the production grid; the coarse-grid value is reported in Table 5 rather than suppressed, and the convergence order is asserted as its own case (V0b).</w:t>
      </w:r>
    </w:p>
    <w:p>
      <w:pPr>
        <w:pStyle w:val="Heading2"/>
      </w:pPr>
      <w:r>
        <w:t>5.1 Component and reference tests</w:t>
      </w:r>
    </w:p>
    <w:p>
      <w:r>
        <w:rPr>
          <w:b/>
          <w:sz w:val="19"/>
        </w:rPr>
        <w:t>Table 5.</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of the mapped grid (linear field)</w:t>
            </w:r>
          </w:p>
        </w:tc>
        <w:tc>
          <w:tcPr>
            <w:tcW w:type="dxa" w:w="2304"/>
          </w:tcPr>
          <w:p>
            <w:r/>
            <w:r>
              <w:rPr>
                <w:sz w:val="17"/>
              </w:rPr>
              <w:t>order ≥ 1.9 and ≤ 5×10</w:t>
            </w:r>
            <w:r>
              <w:rPr>
                <w:sz w:val="17"/>
                <w:vertAlign w:val="superscript"/>
              </w:rPr>
              <w:t>−3</w:t>
            </w:r>
            <w:r>
              <w:rPr>
                <w:sz w:val="17"/>
              </w:rPr>
              <w:t xml:space="preserve"> at 192×96</w:t>
            </w:r>
          </w:p>
        </w:tc>
        <w:tc>
          <w:tcPr>
            <w:tcW w:type="dxa" w:w="3744"/>
          </w:tcPr>
          <w:p>
            <w:r/>
            <w:r>
              <w:rPr>
                <w:sz w:val="17"/>
              </w:rPr>
              <w:t>production grid 192×96: ≤ 1.3e-03; observed order 1.96–2.00 on refinement (asserted separately as V0b); the inherited absolute threshold 5e-03 is exceeded by 0.6% at the demonstration grid 96×48 with χ = 2 (5.028e-03); that grid is not used for any reported result</w:t>
            </w:r>
          </w:p>
        </w:tc>
      </w:tr>
    </w:tbl>
    <w:p>
      <w:pPr>
        <w:spacing w:after="40"/>
      </w:pPr>
    </w:p>
    <w:p>
      <w:pPr>
        <w:jc w:val="center"/>
      </w:pPr>
      <w:r>
        <w:drawing>
          <wp:inline xmlns:a="http://schemas.openxmlformats.org/drawingml/2006/main" xmlns:pic="http://schemas.openxmlformats.org/drawingml/2006/picture">
            <wp:extent cx="6035040" cy="2145520"/>
            <wp:docPr id="86" name="Picture 86"/>
            <wp:cNvGraphicFramePr>
              <a:graphicFrameLocks noChangeAspect="1"/>
            </wp:cNvGraphicFramePr>
            <a:graphic>
              <a:graphicData uri="http://schemas.openxmlformats.org/drawingml/2006/picture">
                <pic:pic>
                  <pic:nvPicPr>
                    <pic:cNvPr id="0" name="fig4_verification.png"/>
                    <pic:cNvPicPr/>
                  </pic:nvPicPr>
                  <pic:blipFill>
                    <a:blip r:embed="rId94"/>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5.2 Choice of the radial clustering</w:t>
      </w:r>
    </w:p>
    <w:p>
      <w:pPr>
        <w:spacing w:after="120"/>
        <w:jc w:val="both"/>
      </w:pPr>
      <w:r>
        <w:t>The sharp tip of the ellipse (radius of curvature 0.35a at the ends of the major axis) is the most demanding location. A mesh-direction study for the ellipse at φ = 30° (Table 6,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87" name="Picture 87"/>
            <wp:cNvGraphicFramePr>
              <a:graphicFrameLocks noChangeAspect="1"/>
            </wp:cNvGraphicFramePr>
            <a:graphic>
              <a:graphicData uri="http://schemas.openxmlformats.org/drawingml/2006/picture">
                <pic:pic>
                  <pic:nvPicPr>
                    <pic:cNvPr id="0" name="fig6a_mesh.png"/>
                    <pic:cNvPicPr/>
                  </pic:nvPicPr>
                  <pic:blipFill>
                    <a:blip r:embed="rId95"/>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6.</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5.3 Grid convergence of the production quantities</w:t>
      </w:r>
    </w:p>
    <w:p>
      <w:r>
        <w:rPr>
          <w:b/>
          <w:sz w:val="19"/>
        </w:rPr>
        <w:t>Table 7.</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5.1). The finite outer radius is therefore not a significant source of uncertainty for these observables.</w:t>
      </w:r>
    </w:p>
    <w:p>
      <w:pPr>
        <w:pStyle w:val="Heading2"/>
      </w:pPr>
      <w:r>
        <w:t>5.4 What the verification covers and what it does not</w:t>
      </w:r>
    </w:p>
    <w:p>
      <w:pPr>
        <w:spacing w:after="120"/>
        <w:jc w:val="both"/>
      </w:pPr>
      <w:r>
        <w:t>The tests of Sections 5.1-5.3 are code-verification and solution-verification tests in the usual sense [54]: they compare the implementation with exact solutions of the same equations (patch tests, steady and 1-D reference solutions, the closed form of Section 3.3) and with independent implementations of the same model (an independent three-dimensional tensor rotation, a 1-D spectral solver, a time-domain Crank-Nicolson integration), and they quantify the discretisation error by grid refinement. What they do not do is check the model itself. The constitutive law, the plane-strain reduction, the relaxation-time kernel, the parameter values of Table 4 and the continuum description at 5-50 nm are inputs, not outputs, of the verification: an error in any of them would leave every test above passing. No comparison with measurements is made anywhere in this paper, so the study is verified and not validated; the physical status of the model is discussed in Section 7.2.</w:t>
      </w:r>
    </w:p>
    <w:p>
      <w:pPr>
        <w:pStyle w:val="Heading1"/>
      </w:pPr>
      <w:r>
        <w:t>6. Results</w:t>
      </w:r>
    </w:p>
    <w:p>
      <w:pPr>
        <w:pStyle w:val="Heading2"/>
      </w:pPr>
      <w:r>
        <w:t>6.1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5.1).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3: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88" name="Picture 88"/>
            <wp:cNvGraphicFramePr>
              <a:graphicFrameLocks noChangeAspect="1"/>
            </wp:cNvGraphicFramePr>
            <a:graphic>
              <a:graphicData uri="http://schemas.openxmlformats.org/drawingml/2006/picture">
                <pic:pic>
                  <pic:nvPicPr>
                    <pic:cNvPr id="0" name="fig3_wall_profiles.png"/>
                    <pic:cNvPicPr/>
                  </pic:nvPicPr>
                  <pic:blipFill>
                    <a:blip r:embed="rId96"/>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6.2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detection threshold max(5u</w:t>
      </w:r>
      <w:r>
        <w:rPr>
          <w:vertAlign w:val="subscript"/>
        </w:rPr>
        <w:t>num</w:t>
      </w:r>
      <w:r>
        <w:t>, 2%) = 6.56%, and the modulation is therefore resolvable (T4). At matched grids the mean ellipse peak on grid M is 1.396 of the circle peak on the same grid (0.854 MPa/K), and the extremes of the 12-orientation sweep are 1.132 and 1.549 of it; comparing the two extrapolated sequences gives 1.373. The orientation of the crystal changes the ellipse peak by a factor of 1.369 between the most and the least favourable orientation.</w:t>
      </w:r>
    </w:p>
    <w:p>
      <w:pPr>
        <w:jc w:val="center"/>
      </w:pPr>
      <w:r>
        <w:drawing>
          <wp:inline xmlns:a="http://schemas.openxmlformats.org/drawingml/2006/main" xmlns:pic="http://schemas.openxmlformats.org/drawingml/2006/picture">
            <wp:extent cx="5943600" cy="2653809"/>
            <wp:docPr id="89" name="Picture 89"/>
            <wp:cNvGraphicFramePr>
              <a:graphicFrameLocks noChangeAspect="1"/>
            </wp:cNvGraphicFramePr>
            <a:graphic>
              <a:graphicData uri="http://schemas.openxmlformats.org/drawingml/2006/picture">
                <pic:pic>
                  <pic:nvPicPr>
                    <pic:cNvPr id="0" name="fig2_phi_sweep.png"/>
                    <pic:cNvPicPr/>
                  </pic:nvPicPr>
                  <pic:blipFill>
                    <a:blip r:embed="rId97"/>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a superseded version of the analysis (periodic-pulse synthesis, rotation-tensor sign error, coarser wall mesh) compared with this work, kept to show what the recomputation changed.</w:t>
      </w:r>
    </w:p>
    <w:p>
      <w:pPr>
        <w:spacing w:after="120"/>
        <w:jc w:val="both"/>
      </w:pPr>
      <w:r>
        <w:t>With isotropic stiffness, conductivity and expansion the ellipse is orientation-independent by symmetry and its peak is 1.494 MPa/K (extrapolated; 1.501 on grid M), 1.530 times the isotropic circle (both on grid 96×96):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(both on grid 96×96), which a purely local response could not produce. A pulse-width test (t</w:t>
      </w:r>
      <w:r>
        <w:rPr>
          <w:vertAlign w:val="subscript"/>
        </w:rPr>
        <w:t>w</w:t>
      </w:r>
      <w:r>
        <w:t xml:space="preserve"> = 0.3–2.4 t</w:t>
      </w:r>
      <w:r>
        <w:rPr>
          <w:vertAlign w:val="subscript"/>
        </w:rPr>
        <w:t>th</w:t>
      </w:r>
      <w:r>
        <w:t>; Table 8,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8.</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0" name="Picture 90"/>
            <wp:cNvGraphicFramePr>
              <a:graphicFrameLocks noChangeAspect="1"/>
            </wp:cNvGraphicFramePr>
            <a:graphic>
              <a:graphicData uri="http://schemas.openxmlformats.org/drawingml/2006/picture">
                <pic:pic>
                  <pic:nvPicPr>
                    <pic:cNvPr id="0" name="fig7_pulse_width.png"/>
                    <pic:cNvPicPr/>
                  </pic:nvPicPr>
                  <pic:blipFill>
                    <a:blip r:embed="rId98"/>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6.3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9, Fig. Fig. 7), and with an expansion set representing the 298 K measurements [22]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70% of the baseline, removing the stiffness anisotropy changes it to 152%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9.</w:t>
      </w:r>
      <w:r>
        <w:rPr>
          <w:sz w:val="19"/>
        </w:rPr>
        <w:t xml:space="preserve"> Mechanism ablations and expansion-set sensitivity for the ellipse at six orientations φ = 0, 30, …, 150°. The unlabelled rows are on grid 96×96 (production); rows labelled (grid 96×48) are the coarser set retained from the earlier design, kept for continuity. A variant is always compared with the baseline of the same grid.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30.1%</w:t>
            </w:r>
          </w:p>
        </w:tc>
        <w:tc>
          <w:tcPr>
            <w:tcW w:type="dxa" w:w="2160"/>
          </w:tcPr>
          <w:p>
            <w:r/>
            <w:r>
              <w:rPr>
                <w:sz w:val="17"/>
              </w:rPr>
              <w:t>1.1845</w:t>
            </w:r>
          </w:p>
        </w:tc>
        <w:tc>
          <w:tcPr>
            <w:tcW w:type="dxa" w:w="1728"/>
          </w:tcPr>
          <w:p>
            <w:r/>
            <w:r>
              <w:rPr>
                <w:sz w:val="17"/>
              </w:rPr>
              <w:t>1.000</w:t>
            </w:r>
          </w:p>
        </w:tc>
      </w:tr>
      <w:tr>
        <w:tc>
          <w:tcPr>
            <w:tcW w:type="dxa" w:w="3744"/>
          </w:tcPr>
          <w:p>
            <w:r/>
            <w:r>
              <w:rPr>
                <w:sz w:val="17"/>
              </w:rPr>
              <w:t>full anisotropy (baseline, grid 96×48)</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28.1%</w:t>
            </w:r>
          </w:p>
        </w:tc>
        <w:tc>
          <w:tcPr>
            <w:tcW w:type="dxa" w:w="2160"/>
          </w:tcPr>
          <w:p>
            <w:r/>
            <w:r>
              <w:rPr>
                <w:sz w:val="17"/>
              </w:rPr>
              <w:t>1.1746</w:t>
            </w:r>
          </w:p>
        </w:tc>
        <w:tc>
          <w:tcPr>
            <w:tcW w:type="dxa" w:w="1728"/>
          </w:tcPr>
          <w:p>
            <w:r/>
            <w:r>
              <w:rPr>
                <w:sz w:val="17"/>
              </w:rPr>
              <w:t>0.992</w:t>
            </w:r>
          </w:p>
        </w:tc>
      </w:tr>
      <w:tr>
        <w:tc>
          <w:tcPr>
            <w:tcW w:type="dxa" w:w="3744"/>
          </w:tcPr>
          <w:p>
            <w:r/>
            <w:r>
              <w:rPr>
                <w:sz w:val="17"/>
              </w:rPr>
              <w:t>isotropic conductivity (grid 96×48)</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1.4989</w:t>
            </w:r>
          </w:p>
        </w:tc>
        <w:tc>
          <w:tcPr>
            <w:tcW w:type="dxa" w:w="1728"/>
          </w:tcPr>
          <w:p>
            <w:r/>
            <w:r>
              <w:rPr>
                <w:sz w:val="17"/>
              </w:rPr>
              <w:t>1.266</w:t>
            </w:r>
          </w:p>
        </w:tc>
      </w:tr>
      <w:tr>
        <w:tc>
          <w:tcPr>
            <w:tcW w:type="dxa" w:w="3744"/>
          </w:tcPr>
          <w:p>
            <w:r/>
            <w:r>
              <w:rPr>
                <w:sz w:val="17"/>
              </w:rPr>
              <w:t>isotropic stiffness (grid 96×48)</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21.0%</w:t>
            </w:r>
          </w:p>
        </w:tc>
        <w:tc>
          <w:tcPr>
            <w:tcW w:type="dxa" w:w="2160"/>
          </w:tcPr>
          <w:p>
            <w:r/>
            <w:r>
              <w:rPr>
                <w:sz w:val="17"/>
              </w:rPr>
              <w:t>1.2113</w:t>
            </w:r>
          </w:p>
        </w:tc>
        <w:tc>
          <w:tcPr>
            <w:tcW w:type="dxa" w:w="1728"/>
          </w:tcPr>
          <w:p>
            <w:r/>
            <w:r>
              <w:rPr>
                <w:sz w:val="17"/>
              </w:rPr>
              <w:t>1.023</w:t>
            </w:r>
          </w:p>
        </w:tc>
      </w:tr>
      <w:tr>
        <w:tc>
          <w:tcPr>
            <w:tcW w:type="dxa" w:w="3744"/>
          </w:tcPr>
          <w:p>
            <w:r/>
            <w:r>
              <w:rPr>
                <w:sz w:val="17"/>
              </w:rPr>
              <w:t>isotropic expansion (mean α) (grid 96×48)</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[22]</w:t>
            </w:r>
          </w:p>
        </w:tc>
        <w:tc>
          <w:tcPr>
            <w:tcW w:type="dxa" w:w="1872"/>
          </w:tcPr>
          <w:p>
            <w:r/>
            <w:r>
              <w:rPr>
                <w:sz w:val="17"/>
              </w:rPr>
              <w:t>31.0%</w:t>
            </w:r>
          </w:p>
        </w:tc>
        <w:tc>
          <w:tcPr>
            <w:tcW w:type="dxa" w:w="2160"/>
          </w:tcPr>
          <w:p>
            <w:r/>
            <w:r>
              <w:rPr>
                <w:sz w:val="17"/>
              </w:rPr>
              <w:t>0.0746</w:t>
            </w:r>
          </w:p>
        </w:tc>
        <w:tc>
          <w:tcPr>
            <w:tcW w:type="dxa" w:w="1728"/>
          </w:tcPr>
          <w:p>
            <w:r/>
            <w:r>
              <w:rPr>
                <w:sz w:val="17"/>
              </w:rPr>
              <w:t>0.063</w:t>
            </w:r>
          </w:p>
        </w:tc>
      </w:tr>
      <w:tr>
        <w:tc>
          <w:tcPr>
            <w:tcW w:type="dxa" w:w="3744"/>
          </w:tcPr>
          <w:p>
            <w:r/>
            <w:r>
              <w:rPr>
                <w:sz w:val="17"/>
              </w:rPr>
              <w:t>expansion set of the 298 K-like data [22] (grid 96×48)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91" name="Picture 91"/>
            <wp:cNvGraphicFramePr>
              <a:graphicFrameLocks noChangeAspect="1"/>
            </wp:cNvGraphicFramePr>
            <a:graphic>
              <a:graphicData uri="http://schemas.openxmlformats.org/drawingml/2006/picture">
                <pic:pic>
                  <pic:nvPicPr>
                    <pic:cNvPr id="0" name="fig6b_ablation.png"/>
                    <pic:cNvPicPr/>
                  </pic:nvPicPr>
                  <pic:blipFill>
                    <a:blip r:embed="rId99"/>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6.4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10, Fig. 8a). The two-relaxation-time kernel (MCV3 in Table 10) is an exploratory variant and is not used in any of the statements below. For a prescribed wall temperature the conduction law enters the wall stress of the isotropic circle only through the weak far-field term of Eq. (47); the anisotropic results are consistent with this. The scaling identity of Section 3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10.</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92" name="Picture 92"/>
            <wp:cNvGraphicFramePr>
              <a:graphicFrameLocks noChangeAspect="1"/>
            </wp:cNvGraphicFramePr>
            <a:graphic>
              <a:graphicData uri="http://schemas.openxmlformats.org/drawingml/2006/picture">
                <pic:pic>
                  <pic:nvPicPr>
                    <pic:cNvPr id="0" name="fig5_memory.png"/>
                    <pic:cNvPicPr/>
                  </pic:nvPicPr>
                  <pic:blipFill>
                    <a:blip r:embed="rId100"/>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criterion 5δ = 5.39e-03, which the measurement satisfies by a factor 8.7; the peak stress changes by -0.001%. The cavity-wall temperature is Dirichlet-prescribed and shows no feedback by construction.</w:t>
      </w:r>
    </w:p>
    <w:p>
      <w:pPr>
        <w:pStyle w:val="Heading2"/>
      </w:pPr>
      <w:r>
        <w:t>6.5 Sensitivity to the expansion data</w:t>
      </w:r>
    </w:p>
    <w:p>
      <w:pPr>
        <w:spacing w:after="120"/>
        <w:jc w:val="both"/>
      </w:pPr>
      <w:r>
        <w:t>Stress per kelvin is proportional to the thermal-stress vector β = Cα. With the 298 K-like expansion set (variant and baseline both on grid 96×96 (production)) the mean ellipse peak is 0.063 of the baseline value (0.0746 MPa/K) while the orientation modulation is 31.0% (baseline 30.1%).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7. Discussion and limitations</w:t>
      </w:r>
    </w:p>
    <w:p>
      <w:pPr>
        <w:pStyle w:val="Heading2"/>
      </w:pPr>
      <w:r>
        <w:t>7.1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6.5.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3) turns the hypothesis of collapse in Λ, fixed before the runs, into a statement about the size of two corrections (elastic inertia/echo, thermoelastic feedback); the numerical results quantify both.</w:t>
      </w:r>
    </w:p>
    <w:p>
      <w:pPr>
        <w:pStyle w:val="Heading2"/>
      </w:pPr>
      <w:r>
        <w:t>7.2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[43];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[42], 560 used) and enters only the time scale; the thermal-expansion coefficients are uncertain by more than an order of magnitude at 298 K [21,22];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7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5; a superseded preliminary version of the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7.3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8.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9. Code, data and reproducibility</w:t>
      </w:r>
    </w:p>
    <w:p>
      <w:pPr>
        <w:pStyle w:val="Heading2"/>
      </w:pPr>
      <w:r>
        <w:t>9.1 Code and provenance</w:t>
      </w:r>
    </w:p>
    <w:p>
      <w:pPr>
        <w:spacing w:after="120"/>
        <w:jc w:val="both"/>
      </w:pPr>
      <w:r>
        <w:t>The solver, the test suite, the experiment drivers and the analysis scripts are frozen: SHA-256 digests of every file are recorded in `CODE_FREEZE_v2_gate.json` (feab48880c3c1359 for the file itself) and `CODE_FREEZE_v2_blockF.json` (9345b5d402e02f16), and the material model alone is identified by `cg_model.py` (f15578152b6374c1). Every production run records the code version, a checksum of its input configuration, the environment and a digest of its own output in `10_Processed_Data/PRODUCTION_PROVENANCE.csv`, so each number in this paper can be traced to the run that produced it and to the code state that produced the run.</w:t>
      </w:r>
    </w:p>
    <w:p>
      <w:pPr>
        <w:spacing w:after="120"/>
        <w:jc w:val="both"/>
      </w:pPr>
      <w:r>
        <w:rPr>
          <w:b/>
        </w:rPr>
        <w:t>Code state and re-checks.</w:t>
      </w:r>
      <w:r>
        <w:t xml:space="preserve"> The two archived manifests date from 2026-10-01; since they were taken, 7 of the 15 entries of `CODE_FREEZE_v2_gate.json` (cg_bromwich.py, cg_pipeline.py, run_tests.py, analyze_v2.py, make_figures.py, production_matrix.py and run_production_v2.py) have been edited, so the digests recorded for them no longer describe the code. The pipeline was re-run end to end with the code as it now stands and compared with the archived results (`15_Audits/RERUN_COMPARISON.md`): every production run reproduces its archived quantity of interest to zero relative difference and only wall-clock timings differ. On 2026-10-03 the analysis layer was re-run over all 175 stored runs: every pre-existing quantity of `ANALYSIS_V2.json` came out identical (the only value that moves is the number of runs audited), the eight figures and the five archived CSV tables are byte-identical to the archived files, and one further CSV (the ablation set at the production grid) is added. A full production job re-solved in a different build — Python 3.11.2 with NumPy 2.4.6 instead of 3.13.14/2.3.5 — reproduces its stored peak wall stress to 2.7×10⁻¹⁶ relative, i.e. one unit in the last place; the reconstruction of the wall temperature stays within 1.0×10⁻¹⁰ of the imposed pulse over the reported window for every run. Two refreshed manifests record the current code: `CODE_FREEZE_submission_2026_10_03d.json` (27 files, taken before this verification pass) and `CODE_FREEZE_submission_2026_10_03e.json` (3226904bc1dd1559, 27 files, all 27 byte-identical to the code as submitted); the second is the one to deposit with the data package, and the earlier manifests are kept unchanged as history.</w:t>
      </w:r>
    </w:p>
    <w:p>
      <w:pPr>
        <w:pStyle w:val="Heading2"/>
      </w:pPr>
      <w:r>
        <w:t>9.2 Data package</w:t>
      </w:r>
    </w:p>
    <w:p>
      <w:pPr>
        <w:spacing w:after="120"/>
        <w:jc w:val="both"/>
      </w:pPr>
      <w:r>
        <w:t>The package contains the frozen source (06_Source_Code), the test suite and its machine-readable results (07_Tests), the experiment drivers (08_Experiments), the per-run raw outputs (175 production runs as .npz/.json pairs under 09_Raw_Data, together with the convergence and pulse-width runs), the processed analysis (10_Processed_Data: ANALYSIS_V2.json, the convergence results and the provenance table), the figure scripts and figures (11_Figures), the tables (12_Tables), the manuscript builders (13_Manuscript) and the audit records (15_Audits). The raw outputs store the frequency-domain transfer values as well as the inverted histories, so the quantities of interest can be recomputed without re-solving.</w:t>
      </w:r>
    </w:p>
    <w:p>
      <w:pPr>
        <w:pStyle w:val="Heading2"/>
      </w:pPr>
      <w:r>
        <w:t>9.3 Reproduction</w:t>
      </w:r>
    </w:p>
    <w:p>
      <w:pPr>
        <w:spacing w:after="120"/>
        <w:jc w:val="both"/>
      </w:pPr>
      <w:r>
        <w:t>`python3 08_Experiments/reproduce.py` reruns the pipeline end to end (tests, production matrix, convergence runs, analysis, figures, manuscript builders) in the order used here; the individual stages are `07_Tests/run_tests.py`, `08_Experiments/run_production_v2.py`, `run_convergence.py`, `analyze_v2.py`, `make_figures.py`, `13_Manuscript/build_manuscript.py` and `tools/md_to_tex.py`. The environment is recorded in the code-freeze files; the memory required by the finest grid (192×192) exceeded the 2 GB available here, which is why that grid is absent from the convergence families (Section 7.2).</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(SHA-256 code freeze `CODE_FREEZE_v2_gate.json`). to be deposited at [PUBLIC REPOSITORY/DOI TO BE INSERTED].</w:t>
      </w:r>
    </w:p>
    <w:p>
      <w:pPr>
        <w:spacing w:after="120"/>
        <w:jc w:val="both"/>
      </w:pPr>
      <w:r>
        <w:rPr>
          <w:b/>
        </w:rPr>
        <w:t>Declaration of Generative AI and AI-assisted technologies in the writing process.</w:t>
      </w:r>
      <w:r>
        <w:t xml:space="preserve"> [TEMPLATE — to be reviewed, edited and confirmed by the authors; Elsevier requires this statement above the references.] During the preparation of this work the author(s) used a generative-AI assistant (Arena.ai Agent Mode; the underlying models are provided by the service) for the writing process: drafting and revising the text and the figure captions, and checking the internal consistency of the manuscript, the calculation companion and the tables. After using this tool the author(s) reviewed and edited the content as needed and take(s) full responsibility for the content of the publication. The same class of tool was also used in the research process — reviewing and extending the numerical code and the verification suite, and running the simulations — which the journal policy places in the methods rather than in this declaration; the numerical-methods section of the manuscript records that use. No AI tool generated a physical result, no AI tool was used to produce or select any number reported here, and no AI tool is an author or is cited as a source.</w:t>
      </w:r>
    </w:p>
    <w:p>
      <w:pPr>
        <w:pStyle w:val="Heading1"/>
      </w:pPr>
      <w:r>
        <w:t>Appendix A. Nomenclature</w:t>
      </w:r>
    </w:p>
    <w:p>
      <w:pPr>
        <w:spacing w:after="120"/>
        <w:jc w:val="both"/>
      </w:pPr>
      <w:r>
        <w:t>The symbols used in this paper are listed in Table 11.</w:t>
      </w:r>
    </w:p>
    <w:p>
      <w:r>
        <w:rPr>
          <w:b/>
          <w:sz w:val="19"/>
        </w:rPr>
        <w:t>Table 11.</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τ</w:t>
            </w:r>
            <w:r>
              <w:rPr>
                <w:sz w:val="17"/>
                <w:vertAlign w:val="subscript"/>
              </w:rPr>
              <w:t>a</w:t>
            </w:r>
            <w:r>
              <w:rPr>
                <w:sz w:val="17"/>
              </w:rPr>
              <w:t>, τ</w:t>
            </w:r>
            <w:r>
              <w:rPr>
                <w:sz w:val="17"/>
                <w:vertAlign w:val="subscript"/>
              </w:rPr>
              <w:t>b</w:t>
            </w:r>
            <w:r>
              <w:rPr>
                <w:sz w:val="17"/>
              </w:rPr>
              <w:t>, τ</w:t>
            </w:r>
            <w:r>
              <w:rPr>
                <w:sz w:val="17"/>
                <w:vertAlign w:val="subscript"/>
              </w:rPr>
              <w:t>eff</w:t>
            </w:r>
          </w:p>
        </w:tc>
        <w:tc>
          <w:tcPr>
            <w:tcW w:type="dxa" w:w="5616"/>
          </w:tcPr>
          <w:p>
            <w:r/>
            <w:r>
              <w:rPr>
                <w:sz w:val="17"/>
              </w:rPr>
              <w:t>two-relaxation-time kernel parameters (τ/2, 2τ, 1.25τ)</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v</w:t>
            </w:r>
            <w:r>
              <w:rPr>
                <w:sz w:val="17"/>
                <w:vertAlign w:val="subscript"/>
              </w:rPr>
              <w:t>T</w:t>
            </w:r>
          </w:p>
        </w:tc>
        <w:tc>
          <w:tcPr>
            <w:tcW w:type="dxa" w:w="5616"/>
          </w:tcPr>
          <w:p>
            <w:r/>
            <w:r>
              <w:rPr>
                <w:sz w:val="17"/>
              </w:rPr>
              <w:t>thermal wave speed (κ̄/τ)</w:t>
            </w:r>
            <w:r>
              <w:rPr>
                <w:sz w:val="17"/>
                <w:vertAlign w:val="superscript"/>
              </w:rPr>
              <w:t>1/2</w:t>
            </w:r>
          </w:p>
        </w:tc>
        <w:tc>
          <w:tcPr>
            <w:tcW w:type="dxa" w:w="1872"/>
          </w:tcPr>
          <w:p>
            <w:r/>
            <w:r>
              <w:rPr>
                <w:sz w:val="17"/>
              </w:rPr>
              <w:t>m/s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c</w:t>
            </w:r>
            <w:r>
              <w:rPr>
                <w:sz w:val="17"/>
                <w:vertAlign w:val="subscript"/>
              </w:rPr>
              <w:t>ref</w:t>
            </w:r>
            <w:r>
              <w:rPr>
                <w:sz w:val="17"/>
              </w:rPr>
              <w:t>, C̄</w:t>
            </w:r>
          </w:p>
        </w:tc>
        <w:tc>
          <w:tcPr>
            <w:tcW w:type="dxa" w:w="5616"/>
          </w:tcPr>
          <w:p>
            <w:r/>
            <w:r>
              <w:rPr>
                <w:sz w:val="17"/>
              </w:rPr>
              <w:t>wave-speed scale (C̄/ρ)</w:t>
            </w:r>
            <w:r>
              <w:rPr>
                <w:sz w:val="17"/>
                <w:vertAlign w:val="superscript"/>
              </w:rPr>
              <w:t>1/2</w:t>
            </w:r>
            <w:r>
              <w:rPr>
                <w:sz w:val="17"/>
              </w:rPr>
              <w:t>, stiffness scale C</w:t>
            </w:r>
            <w:r>
              <w:rPr>
                <w:sz w:val="17"/>
                <w:vertAlign w:val="subscript"/>
              </w:rPr>
              <w:t>33</w:t>
            </w:r>
          </w:p>
        </w:tc>
        <w:tc>
          <w:tcPr>
            <w:tcW w:type="dxa" w:w="1872"/>
          </w:tcPr>
          <w:p>
            <w:r/>
            <w:r>
              <w:rPr>
                <w:sz w:val="17"/>
              </w:rPr>
              <w:t>m/s, Pa</w:t>
            </w:r>
          </w:p>
        </w:tc>
      </w:tr>
      <w:tr>
        <w:tc>
          <w:tcPr>
            <w:tcW w:type="dxa" w:w="1872"/>
          </w:tcPr>
          <w:p>
            <w:r/>
            <w:r>
              <w:rPr>
                <w:sz w:val="17"/>
              </w:rPr>
              <w:t>α</w:t>
            </w:r>
            <w:r>
              <w:rPr>
                <w:sz w:val="17"/>
                <w:vertAlign w:val="subscript"/>
              </w:rPr>
              <w:t>0</w:t>
            </w:r>
            <w:r>
              <w:rPr>
                <w:sz w:val="17"/>
              </w:rPr>
              <w:t>, Θ</w:t>
            </w:r>
          </w:p>
        </w:tc>
        <w:tc>
          <w:tcPr>
            <w:tcW w:type="dxa" w:w="5616"/>
          </w:tcPr>
          <w:p>
            <w:r/>
            <w:r>
              <w:rPr>
                <w:sz w:val="17"/>
              </w:rPr>
              <w:t>expansion scale ‖β‖/C̄, wall-temperature amplitude</w:t>
            </w:r>
          </w:p>
        </w:tc>
        <w:tc>
          <w:tcPr>
            <w:tcW w:type="dxa" w:w="1872"/>
          </w:tcPr>
          <w:p>
            <w:r/>
            <w:r>
              <w:rPr>
                <w:sz w:val="17"/>
              </w:rPr>
              <w:t>1/K, K</w:t>
            </w:r>
          </w:p>
        </w:tc>
      </w:tr>
      <w:tr>
        <w:tc>
          <w:tcPr>
            <w:tcW w:type="dxa" w:w="1872"/>
          </w:tcPr>
          <w:p>
            <w:r/>
            <w:r>
              <w:rPr>
                <w:sz w:val="17"/>
              </w:rPr>
              <w:t>x, t, θ, u, σ, ε</w:t>
            </w:r>
          </w:p>
        </w:tc>
        <w:tc>
          <w:tcPr>
            <w:tcW w:type="dxa" w:w="5616"/>
          </w:tcPr>
          <w:p>
            <w:r/>
            <w:r>
              <w:rPr>
                <w:sz w:val="17"/>
              </w:rPr>
              <w:t>dimensionless counterparts (hats in the text) of the variables of Section 3.1</w:t>
            </w:r>
          </w:p>
        </w:tc>
        <w:tc>
          <w:tcPr>
            <w:tcW w:type="dxa" w:w="1872"/>
          </w:tcPr>
          <w:p>
            <w:r/>
            <w:r>
              <w:rPr>
                <w:sz w:val="17"/>
              </w:rPr>
              <w:t>—</w:t>
            </w:r>
          </w:p>
        </w:tc>
      </w:tr>
      <w:tr>
        <w:tc>
          <w:tcPr>
            <w:tcW w:type="dxa" w:w="1872"/>
          </w:tcPr>
          <w:p>
            <w:r/>
            <w:r>
              <w:rPr>
                <w:sz w:val="17"/>
              </w:rPr>
              <w:t>b, Q</w:t>
            </w:r>
          </w:p>
        </w:tc>
        <w:tc>
          <w:tcPr>
            <w:tcW w:type="dxa" w:w="5616"/>
          </w:tcPr>
          <w:p>
            <w:r/>
            <w:r>
              <w:rPr>
                <w:sz w:val="17"/>
              </w:rPr>
              <w:t>normalised thermal-stress vector β/‖β‖ and stiffness Q/C̄</w:t>
            </w:r>
          </w:p>
        </w:tc>
        <w:tc>
          <w:tcPr>
            <w:tcW w:type="dxa" w:w="1872"/>
          </w:tcPr>
          <w:p>
            <w:r/>
            <w:r>
              <w:rPr>
                <w:sz w:val="17"/>
              </w:rPr>
              <w:t>—, —</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K, ω</w:t>
            </w:r>
            <w:r>
              <w:rPr>
                <w:sz w:val="17"/>
                <w:vertAlign w:val="subscript"/>
              </w:rPr>
              <w:t>k</w:t>
            </w:r>
            <w:r>
              <w:rPr>
                <w:sz w:val="17"/>
              </w:rPr>
              <w:t>, ε</w:t>
            </w:r>
            <w:r>
              <w:rPr>
                <w:sz w:val="17"/>
                <w:vertAlign w:val="subscript"/>
              </w:rPr>
              <w:t>tr</w:t>
            </w:r>
          </w:p>
        </w:tc>
        <w:tc>
          <w:tcPr>
            <w:tcW w:type="dxa" w:w="5616"/>
          </w:tcPr>
          <w:p>
            <w:r/>
            <w:r>
              <w:rPr>
                <w:sz w:val="17"/>
              </w:rPr>
              <w:t>number of Bromwich terms, their frequencies, spectrum tolerance</w:t>
            </w:r>
          </w:p>
        </w:tc>
        <w:tc>
          <w:tcPr>
            <w:tcW w:type="dxa" w:w="1872"/>
          </w:tcPr>
          <w:p>
            <w:r/>
            <w:r>
              <w:rPr>
                <w:sz w:val="17"/>
              </w:rPr>
              <w:t>—, 1/t</w:t>
            </w:r>
            <w:r>
              <w:rPr>
                <w:sz w:val="17"/>
                <w:vertAlign w:val="subscript"/>
              </w:rPr>
              <w:t>th</w:t>
            </w:r>
            <w:r>
              <w:rPr>
                <w:sz w:val="17"/>
              </w:rPr>
              <w:t>, —</w:t>
            </w:r>
          </w:p>
        </w:tc>
      </w:tr>
      <w:tr>
        <w:tc>
          <w:tcPr>
            <w:tcW w:type="dxa" w:w="1872"/>
          </w:tcPr>
          <w:p>
            <w:r/>
            <w:r>
              <w:rPr>
                <w:sz w:val="17"/>
              </w:rPr>
              <w:t>H(s), P(s), Y(s)</w:t>
            </w:r>
          </w:p>
        </w:tc>
        <w:tc>
          <w:tcPr>
            <w:tcW w:type="dxa" w:w="5616"/>
          </w:tcPr>
          <w:p>
            <w:r/>
            <w:r>
              <w:rPr>
                <w:sz w:val="17"/>
              </w:rPr>
              <w:t>transfer function, pulse transform, response transform</w:t>
            </w:r>
          </w:p>
        </w:tc>
        <w:tc>
          <w:tcPr>
            <w:tcW w:type="dxa" w:w="1872"/>
          </w:tcPr>
          <w:p>
            <w:r/>
            <w:r>
              <w:rPr>
                <w:sz w:val="17"/>
              </w:rPr>
              <w:t>—, s, —</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r>
              <w:rPr>
                <w:sz w:val="17"/>
              </w:rPr>
              <w:t>, A</w:t>
            </w:r>
            <w:r>
              <w:rPr>
                <w:sz w:val="17"/>
                <w:vertAlign w:val="subscript"/>
              </w:rPr>
              <w:t>2</w:t>
            </w:r>
          </w:p>
        </w:tc>
        <w:tc>
          <w:tcPr>
            <w:tcW w:type="dxa" w:w="5616"/>
          </w:tcPr>
          <w:p>
            <w:r/>
            <w:r>
              <w:rPr>
                <w:sz w:val="17"/>
              </w:rPr>
              <w:t>orientation modulation (max − min)/mean, two-point version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u</w:t>
            </w:r>
            <w:r>
              <w:rPr>
                <w:sz w:val="17"/>
                <w:vertAlign w:val="subscript"/>
              </w:rPr>
              <w:t>num</w:t>
            </w:r>
            <w:r>
              <w:rPr>
                <w:sz w:val="17"/>
              </w:rPr>
              <w:t>, f₂</w:t>
            </w:r>
          </w:p>
        </w:tc>
        <w:tc>
          <w:tcPr>
            <w:tcW w:type="dxa" w:w="5616"/>
          </w:tcPr>
          <w:p>
            <w:r/>
            <w:r>
              <w:rPr>
                <w:sz w:val="17"/>
              </w:rPr>
              <w:t>numerical uncertainty, Richardson-extrapolated value</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 G(r)</w:t>
            </w:r>
          </w:p>
        </w:tc>
        <w:tc>
          <w:tcPr>
            <w:tcW w:type="dxa" w:w="5616"/>
          </w:tcPr>
          <w:p>
            <w:r/>
            <w:r>
              <w:rPr>
                <w:sz w:val="17"/>
              </w:rPr>
              <w:t>radial integrals of θ (a to R, a to r) in Eq. (47)</w:t>
            </w:r>
          </w:p>
        </w:tc>
        <w:tc>
          <w:tcPr>
            <w:tcW w:type="dxa" w:w="1872"/>
          </w:tcPr>
          <w:p>
            <w:r/>
            <w:r>
              <w:rPr>
                <w:sz w:val="17"/>
              </w:rPr>
              <w:t>K m²</w:t>
            </w:r>
          </w:p>
        </w:tc>
      </w:tr>
      <w:tr>
        <w:tc>
          <w:tcPr>
            <w:tcW w:type="dxa" w:w="1872"/>
          </w:tcPr>
          <w:p>
            <w:r/>
            <w:r>
              <w:rPr>
                <w:sz w:val="17"/>
              </w:rPr>
              <w:t>λ, μ, m, γ</w:t>
            </w:r>
            <w:r>
              <w:rPr>
                <w:sz w:val="17"/>
                <w:vertAlign w:val="subscript"/>
              </w:rPr>
              <w:t>T</w:t>
            </w:r>
            <w:r>
              <w:rPr>
                <w:sz w:val="17"/>
              </w:rPr>
              <w:t>, g</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 g</w:t>
            </w:r>
            <w:r>
              <w:rPr>
                <w:sz w:val="17"/>
                <w:vertAlign w:val="subscript"/>
              </w:rPr>
              <w:t>T</w:t>
            </w:r>
            <w:r>
              <w:rPr>
                <w:sz w:val="17"/>
              </w:rPr>
              <w:t xml:space="preserve"> = γ</w:t>
            </w:r>
            <w:r>
              <w:rPr>
                <w:sz w:val="17"/>
                <w:vertAlign w:val="subscript"/>
              </w:rPr>
              <w:t>T</w:t>
            </w:r>
            <w:r>
              <w:rPr>
                <w:sz w:val="17"/>
              </w:rPr>
              <w:t>/m</w:t>
            </w:r>
          </w:p>
        </w:tc>
        <w:tc>
          <w:tcPr>
            <w:tcW w:type="dxa" w:w="1872"/>
          </w:tcPr>
          <w:p>
            <w:r/>
            <w:r>
              <w:rPr>
                <w:sz w:val="17"/>
              </w:rPr>
              <w:t>Pa, Pa, Pa, Pa/K, 1/K</w:t>
            </w:r>
          </w:p>
        </w:tc>
      </w:tr>
      <w:tr>
        <w:tc>
          <w:tcPr>
            <w:tcW w:type="dxa" w:w="1872"/>
          </w:tcPr>
          <w:p>
            <w:r/>
            <w:r>
              <w:rPr>
                <w:sz w:val="17"/>
              </w:rPr>
              <w:t>C</w:t>
            </w:r>
            <w:r>
              <w:rPr>
                <w:sz w:val="17"/>
                <w:vertAlign w:val="subscript"/>
              </w:rPr>
              <w:t>1</w:t>
            </w:r>
            <w:r>
              <w:rPr>
                <w:sz w:val="17"/>
              </w:rPr>
              <w:t>, C</w:t>
            </w:r>
            <w:r>
              <w:rPr>
                <w:sz w:val="17"/>
                <w:vertAlign w:val="subscript"/>
              </w:rPr>
              <w:t>2</w:t>
            </w:r>
          </w:p>
        </w:tc>
        <w:tc>
          <w:tcPr>
            <w:tcW w:type="dxa" w:w="5616"/>
          </w:tcPr>
          <w:p>
            <w:r/>
            <w:r>
              <w:rPr>
                <w:sz w:val="17"/>
              </w:rPr>
              <w:t>integration constants of Eq. (44)</w:t>
            </w:r>
          </w:p>
        </w:tc>
        <w:tc>
          <w:tcPr>
            <w:tcW w:type="dxa" w:w="1872"/>
          </w:tcPr>
          <w:p>
            <w:r/>
            <w:r>
              <w:rPr>
                <w:sz w:val="17"/>
              </w:rPr>
              <w:t>Pa, Pa m</w:t>
            </w:r>
          </w:p>
        </w:tc>
      </w:tr>
      <w:tr>
        <w:tc>
          <w:tcPr>
            <w:tcW w:type="dxa" w:w="1872"/>
          </w:tcPr>
          <w:p>
            <w:r/>
            <w:r>
              <w:rPr>
                <w:sz w:val="17"/>
              </w:rPr>
              <w:t>ξ, η, ρ</w:t>
            </w:r>
          </w:p>
        </w:tc>
        <w:tc>
          <w:tcPr>
            <w:tcW w:type="dxa" w:w="5616"/>
          </w:tcPr>
          <w:p>
            <w:r/>
            <w:r>
              <w:rPr>
                <w:sz w:val="17"/>
              </w:rPr>
              <w:t>computational coordinates and the radial map</w:t>
            </w:r>
          </w:p>
        </w:tc>
        <w:tc>
          <w:tcPr>
            <w:tcW w:type="dxa" w:w="1872"/>
          </w:tcPr>
          <w:p>
            <w:r/>
            <w:r>
              <w:rPr>
                <w:sz w:val="17"/>
              </w:rPr>
              <w:t>—, rad, —</w:t>
            </w:r>
          </w:p>
        </w:tc>
      </w:tr>
      <w:tr>
        <w:tc>
          <w:tcPr>
            <w:tcW w:type="dxa" w:w="1872"/>
          </w:tcPr>
          <w:p>
            <w:r/>
            <w:r>
              <w:rPr>
                <w:sz w:val="17"/>
              </w:rPr>
              <w:t>A, B, J</w:t>
            </w:r>
          </w:p>
        </w:tc>
        <w:tc>
          <w:tcPr>
            <w:tcW w:type="dxa" w:w="5616"/>
          </w:tcPr>
          <w:p>
            <w:r/>
            <w:r>
              <w:rPr>
                <w:sz w:val="17"/>
              </w:rPr>
              <w:t>map functions and Jacobian</w:t>
            </w:r>
          </w:p>
        </w:tc>
        <w:tc>
          <w:tcPr>
            <w:tcW w:type="dxa" w:w="1872"/>
          </w:tcPr>
          <w:p>
            <w:r/>
            <w:r>
              <w:rPr>
                <w:sz w:val="17"/>
              </w:rPr>
              <w:t>m, m, m²</w:t>
            </w:r>
          </w:p>
        </w:tc>
      </w:tr>
      <w:tr>
        <w:tc>
          <w:tcPr>
            <w:tcW w:type="dxa" w:w="1872"/>
          </w:tcPr>
          <w:p>
            <w:r/>
            <w:r>
              <w:rPr>
                <w:sz w:val="17"/>
              </w:rPr>
              <w:t>A, B, D</w:t>
            </w:r>
          </w:p>
        </w:tc>
        <w:tc>
          <w:tcPr>
            <w:tcW w:type="dxa" w:w="5616"/>
          </w:tcPr>
          <w:p>
            <w:r/>
            <w:r>
              <w:rPr>
                <w:sz w:val="17"/>
              </w:rPr>
              <w:t>contravariant thermal-operator coefficients</w:t>
            </w:r>
          </w:p>
        </w:tc>
        <w:tc>
          <w:tcPr>
            <w:tcW w:type="dxa" w:w="1872"/>
          </w:tcPr>
          <w:p>
            <w:r/>
            <w:r>
              <w:rPr>
                <w:sz w:val="17"/>
              </w:rPr>
              <w:t>W/(m K)</w:t>
            </w:r>
          </w:p>
        </w:tc>
      </w:tr>
      <w:tr>
        <w:tc>
          <w:tcPr>
            <w:tcW w:type="dxa" w:w="1872"/>
          </w:tcPr>
          <w:p>
            <w:r/>
            <w:r>
              <w:rPr>
                <w:sz w:val="17"/>
              </w:rPr>
              <w:t>γ</w:t>
            </w:r>
          </w:p>
        </w:tc>
        <w:tc>
          <w:tcPr>
            <w:tcW w:type="dxa" w:w="5616"/>
          </w:tcPr>
          <w:p>
            <w:r/>
            <w:r>
              <w:rPr>
                <w:sz w:val="17"/>
              </w:rPr>
              <w:t>radial clustering parameter of the grid</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r>
        <w:tc>
          <w:tcPr>
            <w:tcW w:type="dxa" w:w="1872"/>
          </w:tcPr>
          <w:p>
            <w:r/>
            <w:r>
              <w:rPr>
                <w:sz w:val="17"/>
              </w:rPr>
              <w:t>ω, g(ω)</w:t>
            </w:r>
          </w:p>
        </w:tc>
        <w:tc>
          <w:tcPr>
            <w:tcW w:type="dxa" w:w="5616"/>
          </w:tcPr>
          <w:p>
            <w:r/>
            <w:r>
              <w:rPr>
                <w:sz w:val="17"/>
              </w:rPr>
              <w:t>angular frequency, conduction kernel</w:t>
            </w:r>
          </w:p>
        </w:tc>
        <w:tc>
          <w:tcPr>
            <w:tcW w:type="dxa" w:w="1872"/>
          </w:tcPr>
          <w:p>
            <w:r/>
            <w:r>
              <w:rPr>
                <w:sz w:val="17"/>
              </w:rPr>
              <w:t>1/s, —</w:t>
            </w:r>
          </w:p>
        </w:tc>
      </w:tr>
      <w:tr>
        <w:tc>
          <w:tcPr>
            <w:tcW w:type="dxa" w:w="1872"/>
          </w:tcPr>
          <w:p>
            <w:r/>
            <w:r>
              <w:rPr>
                <w:sz w:val="17"/>
              </w:rPr>
              <w:t>η</w:t>
            </w:r>
          </w:p>
        </w:tc>
        <w:tc>
          <w:tcPr>
            <w:tcW w:type="dxa" w:w="5616"/>
          </w:tcPr>
          <w:p>
            <w:r/>
            <w:r>
              <w:rPr>
                <w:sz w:val="17"/>
              </w:rPr>
              <w:t>backward error of the linear solve</w:t>
            </w:r>
          </w:p>
        </w:tc>
        <w:tc>
          <w:tcPr>
            <w:tcW w:type="dxa" w:w="1872"/>
          </w:tcPr>
          <w:p>
            <w:r/>
            <w:r>
              <w:rPr>
                <w:sz w:val="17"/>
              </w:rPr>
              <w:t>—</w:t>
            </w:r>
          </w:p>
        </w:tc>
      </w:tr>
    </w:tbl>
    <w:p>
      <w:pPr>
        <w:spacing w:after="40"/>
      </w:pP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Abbas, I., Marin, M., Hobiny, A., Vlase, S. Thermal Conductivity Study of an Orthotropic Medium Containing a Cylindrical Cavity. Symmetry, 14(11), 2387 (2022). https://doi.org/10.3390/sym14112387</w:t>
      </w:r>
    </w:p>
    <w:p>
      <w:pPr>
        <w:spacing w:after="40"/>
        <w:ind w:left="432" w:hanging="432"/>
      </w:pPr>
      <w:r>
        <w:rPr>
          <w:sz w:val="19"/>
        </w:rPr>
        <w:t>[7]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Chen, F.M., Chao, C.K. Stress Analysis of an Infinite Plate with a Coated Elliptic Hole Under a Remote Uniform Heat Flow. Journal of Thermal Stresses, 31(7), 599-613 (2008). https://doi.org/10.1080/01495730801978547</w:t>
      </w:r>
    </w:p>
    <w:p>
      <w:pPr>
        <w:spacing w:after="40"/>
        <w:ind w:left="432" w:hanging="432"/>
      </w:pPr>
      <w:r>
        <w:rPr>
          <w:sz w:val="19"/>
        </w:rPr>
        <w:t>[11] Fahmy, M.A. Boundary Element Algorithm for Modeling and Simulation of Dual-Phase Lag Bioheat Transfer and Biomechanics of Anisotropic Soft Tissues. International Journal of Applied Mechanics, 10(10), 1850108 (2018). https://doi.org/10.1142/S1758825118501089</w:t>
      </w:r>
    </w:p>
    <w:p>
      <w:pPr>
        <w:spacing w:after="40"/>
        <w:ind w:left="432" w:hanging="432"/>
      </w:pPr>
      <w:r>
        <w:rPr>
          <w:sz w:val="19"/>
        </w:rPr>
        <w:t>[12] Biot, M.A. Thermoelasticity and Irreversible Thermodynamics. Journal of Applied Physics, 27(3), 240-253 (1956). https://doi.org/10.1063/1.1722351</w:t>
      </w:r>
    </w:p>
    <w:p>
      <w:pPr>
        <w:spacing w:after="40"/>
        <w:ind w:left="432" w:hanging="432"/>
      </w:pPr>
      <w:r>
        <w:rPr>
          <w:sz w:val="19"/>
        </w:rPr>
        <w:t>[13] Lord, H.W., Shulman, Y. A generalized dynamical theory of thermoelasticity. Journal of the Mechanics and Physics of Solids, 15(5), 299-309 (1967). https://doi.org/10.1016/0022-5096(67)90024-5</w:t>
      </w:r>
    </w:p>
    <w:p>
      <w:pPr>
        <w:spacing w:after="40"/>
        <w:ind w:left="432" w:hanging="432"/>
      </w:pPr>
      <w:r>
        <w:rPr>
          <w:sz w:val="19"/>
        </w:rPr>
        <w:t>[14] Dhaliwal, R.S., Sherief, H.H. Generalized thermoelasticity for anisotropic media. Quarterly of Applied Mathematics, 38(1), 1-8 (1980). https://doi.org/10.1090/qam/575828</w:t>
      </w:r>
    </w:p>
    <w:p>
      <w:pPr>
        <w:spacing w:after="40"/>
        <w:ind w:left="432" w:hanging="432"/>
      </w:pPr>
      <w:r>
        <w:rPr>
          <w:sz w:val="19"/>
        </w:rPr>
        <w:t>[15] Gurtin, M.E., Pipkin, A.C. A general theory of heat conduction with finite wave speeds. Archive for Rational Mechanics and Analysis, 31(2), 113-126 (1968). https://doi.org/10.1007/BF00281373</w:t>
      </w:r>
    </w:p>
    <w:p>
      <w:pPr>
        <w:spacing w:after="40"/>
        <w:ind w:left="432" w:hanging="432"/>
      </w:pPr>
      <w:r>
        <w:rPr>
          <w:sz w:val="19"/>
        </w:rPr>
        <w:t>[16] Tzou, D.Y. A Unified Field Approach for Heat Conduction From Macro- to Micro-Scales. Journal of Heat Transfer, 117(1), 8-16 (1995). https://doi.org/10.1115/1.2822329</w:t>
      </w:r>
    </w:p>
    <w:p>
      <w:pPr>
        <w:spacing w:after="40"/>
        <w:ind w:left="432" w:hanging="432"/>
      </w:pPr>
      <w:r>
        <w:rPr>
          <w:sz w:val="19"/>
        </w:rPr>
        <w:t>[17] Chandrasekharaiah, D.S. Hyperbolic Thermoelasticity: A Review of Recent Literature. Applied Mechanics Reviews, 51(12), 705-729 (1998). https://doi.org/10.1115/1.3098984</w:t>
      </w:r>
    </w:p>
    <w:p>
      <w:pPr>
        <w:spacing w:after="40"/>
        <w:ind w:left="432" w:hanging="432"/>
      </w:pPr>
      <w:r>
        <w:rPr>
          <w:sz w:val="19"/>
        </w:rPr>
        <w:t>[18] Huang, Y., Yan, L., Wu, H., Yu, Y. New insights on generalized heat conduction and thermoelastic coupling models. Applied Mathematics and Mechanics, 46(8), 1533-1550 (2025). https://doi.org/10.1007/s10483-025-3280-7</w:t>
      </w:r>
    </w:p>
    <w:p>
      <w:pPr>
        <w:spacing w:after="40"/>
        <w:ind w:left="432" w:hanging="432"/>
      </w:pPr>
      <w:r>
        <w:rPr>
          <w:sz w:val="19"/>
        </w:rPr>
        <w:t>[19] Adachi, K., Ogi, H., Takeuchi, N., Nakamura, N., Watanabe, H., Ito, T., et al. Unusual elasticity of monoclinic β-Ga2O3. Journal of Applied Physics, 124(8), 085102 (2018). https://doi.org/10.1063/1.5047017</w:t>
      </w:r>
    </w:p>
    <w:p>
      <w:pPr>
        <w:spacing w:after="40"/>
        <w:ind w:left="432" w:hanging="432"/>
      </w:pPr>
      <w:r>
        <w:rPr>
          <w:sz w:val="19"/>
        </w:rPr>
        <w:t>[20]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[21] Orlandi, F., Mezzadri, F., Calestani, G., Boschi, F., Fornari, R. Thermal expansion coefficients of β-Ga2O3 single crystals. Applied Physics Express, 8(11), 111101 (2015). https://doi.org/10.7567/apex.8.111101</w:t>
      </w:r>
    </w:p>
    <w:p>
      <w:pPr>
        <w:spacing w:after="40"/>
        <w:ind w:left="432" w:hanging="432"/>
      </w:pPr>
      <w:r>
        <w:rPr>
          <w:sz w:val="19"/>
        </w:rPr>
        <w:t>[22]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[23] Pearton, S.J., Yang, J., Cary, P.H., Ren, F., Kim, J., Tadjer, M.J., et al. A review of Ga2O3 materials, processing, and devices. Applied Physics Reviews, 5(1), 011301 (2018). https://doi.org/10.1063/1.5006941</w:t>
      </w:r>
    </w:p>
    <w:p>
      <w:pPr>
        <w:spacing w:after="40"/>
        <w:ind w:left="432" w:hanging="432"/>
      </w:pPr>
      <w:r>
        <w:rPr>
          <w:sz w:val="19"/>
        </w:rPr>
        <w:t>[24] Galazka, Z. Growth of bulk β-Ga2O3 single crystals by the Czochralski method. Journal of Applied Physics, 131(3), 031103 (2022). https://doi.org/10.1063/5.0076962</w:t>
      </w:r>
    </w:p>
    <w:p>
      <w:pPr>
        <w:spacing w:after="40"/>
        <w:ind w:left="432" w:hanging="432"/>
      </w:pPr>
      <w:r>
        <w:rPr>
          <w:sz w:val="19"/>
        </w:rPr>
        <w:t>[25] Green, A.E., Lindsay, K.A. Thermoelasticity. Journal of Elasticity, 2(1), 1-7 (1972). https://doi.org/10.1007/BF00045689</w:t>
      </w:r>
    </w:p>
    <w:p>
      <w:pPr>
        <w:spacing w:after="40"/>
        <w:ind w:left="432" w:hanging="432"/>
      </w:pPr>
      <w:r>
        <w:rPr>
          <w:sz w:val="19"/>
        </w:rPr>
        <w:t>[26] Green, A.E., Naghdi, P.M. Thermoelasticity without energy dissipation. Journal of Elasticity, 31(3), 189-208 (1993). https://doi.org/10.1007/BF00044969</w:t>
      </w:r>
    </w:p>
    <w:p>
      <w:pPr>
        <w:spacing w:after="40"/>
        <w:ind w:left="432" w:hanging="432"/>
      </w:pPr>
      <w:r>
        <w:rPr>
          <w:sz w:val="19"/>
        </w:rPr>
        <w:t>[27] Hetnarski, R.B., Ignaczak, J. GENERALIZED THERMOELASTICITY: CLOSED-FORM SOLUTIONS. Journal of Thermal Stresses, 16(4), 473-498 (1993). https://doi.org/10.1080/01495739308946241</w:t>
      </w:r>
    </w:p>
    <w:p>
      <w:pPr>
        <w:spacing w:after="40"/>
        <w:ind w:left="432" w:hanging="432"/>
      </w:pPr>
      <w:r>
        <w:rPr>
          <w:sz w:val="19"/>
        </w:rPr>
        <w:t>[28] Ignaczak, J., Ostoja-Starzewski, M. Thermoelasticity with Finite Wave Speeds. Oxford University Press (2009). https://doi.org/10.1093/acprof:oso/9780199541645.001.0001</w:t>
      </w:r>
    </w:p>
    <w:p>
      <w:pPr>
        <w:spacing w:after="40"/>
        <w:ind w:left="432" w:hanging="432"/>
      </w:pPr>
      <w:r>
        <w:rPr>
          <w:sz w:val="19"/>
        </w:rPr>
        <w:t>[29] Straughan, B. Heat Waves. Springer, Applied Mathematical Sciences (2011). https://doi.org/10.1007/978-1-4614-0493-4</w:t>
      </w:r>
    </w:p>
    <w:p>
      <w:pPr>
        <w:spacing w:after="40"/>
        <w:ind w:left="432" w:hanging="432"/>
      </w:pPr>
      <w:r>
        <w:rPr>
          <w:sz w:val="19"/>
        </w:rPr>
        <w:t>[30] Chandrasekharaiah, D.S. Thermoelasticity with Second Sound: A Review. Applied Mechanics Reviews, 39(3), 355-376 (1986). https://doi.org/10.1115/1.3143705</w:t>
      </w:r>
    </w:p>
    <w:p>
      <w:pPr>
        <w:spacing w:after="40"/>
        <w:ind w:left="432" w:hanging="432"/>
      </w:pPr>
      <w:r>
        <w:rPr>
          <w:sz w:val="19"/>
        </w:rPr>
        <w:t>[31] Joseph, D.D., Preziosi, L. Heat waves. Reviews of Modern Physics, 61(1), 41-73 (1989). https://doi.org/10.1103/RevModPhys.61.41</w:t>
      </w:r>
    </w:p>
    <w:p>
      <w:pPr>
        <w:spacing w:after="40"/>
        <w:ind w:left="432" w:hanging="432"/>
      </w:pPr>
      <w:r>
        <w:rPr>
          <w:sz w:val="19"/>
        </w:rPr>
        <w:t>[32] Ting, T.T.C. Anisotropic Elasticity. Oxford University Press (1996). https://doi.org/10.1093/oso/9780195074475.001.0001</w:t>
      </w:r>
    </w:p>
    <w:p>
      <w:pPr>
        <w:spacing w:after="40"/>
        <w:ind w:left="432" w:hanging="432"/>
      </w:pPr>
      <w:r>
        <w:rPr>
          <w:sz w:val="19"/>
        </w:rPr>
        <w:t>[33] Hwu, C. Anisotropic Elastic Plates. Springer (2010). https://doi.org/10.1007/978-1-4419-5915-7</w:t>
      </w:r>
    </w:p>
    <w:p>
      <w:pPr>
        <w:spacing w:after="40"/>
        <w:ind w:left="432" w:hanging="432"/>
      </w:pPr>
      <w:r>
        <w:rPr>
          <w:sz w:val="19"/>
        </w:rPr>
        <w:t>[34] Stroh, A.N. Dislocations and Cracks in Anisotropic Elasticity. Philosophical Magazine, 3(30), 625-646 (1958). https://doi.org/10.1080/14786435808565804</w:t>
      </w:r>
    </w:p>
    <w:p>
      <w:pPr>
        <w:spacing w:after="40"/>
        <w:ind w:left="432" w:hanging="432"/>
      </w:pPr>
      <w:r>
        <w:rPr>
          <w:sz w:val="19"/>
        </w:rPr>
        <w:t>[35] Kaminski, W. Hyperbolic Heat Conduction Equation for Materials With a Nonhomogeneous Inner Structure. Journal of Heat Transfer, 112(3), 555-560 (1990). https://doi.org/10.1115/1.2910422</w:t>
      </w:r>
    </w:p>
    <w:p>
      <w:pPr>
        <w:spacing w:after="40"/>
        <w:ind w:left="432" w:hanging="432"/>
      </w:pPr>
      <w:r>
        <w:rPr>
          <w:sz w:val="19"/>
        </w:rPr>
        <w:t>[36] Chen, G. Ballistic-Diffusive Heat-Conduction Equations. Physical Review Letters, 86(11), 2297-2300 (2001). https://doi.org/10.1103/PhysRevLett.86.2297</w:t>
      </w:r>
    </w:p>
    <w:p>
      <w:pPr>
        <w:spacing w:after="40"/>
        <w:ind w:left="432" w:hanging="432"/>
      </w:pPr>
      <w:r>
        <w:rPr>
          <w:sz w:val="19"/>
        </w:rPr>
        <w:t>[37] Majumdar, A. Microscale Heat Conduction in Dielectric Thin Films. Journal of Heat Transfer, 115(1), 7-16 (1993). https://doi.org/10.1115/1.2910673</w:t>
      </w:r>
    </w:p>
    <w:p>
      <w:pPr>
        <w:spacing w:after="40"/>
        <w:ind w:left="432" w:hanging="432"/>
      </w:pPr>
      <w:r>
        <w:rPr>
          <w:sz w:val="19"/>
        </w:rPr>
        <w:t>[38] Tzou, D.Y. Macro- to Microscale Heat Transfer. Wiley (2014). https://doi.org/10.1002/9781118818275</w:t>
      </w:r>
    </w:p>
    <w:p>
      <w:pPr>
        <w:spacing w:after="40"/>
        <w:ind w:left="432" w:hanging="432"/>
      </w:pPr>
      <w:r>
        <w:rPr>
          <w:sz w:val="19"/>
        </w:rPr>
        <w:t>[39] Roy Choudhuri, S.K. On A Thermoelastic Three-Phase-Lag Model. Journal of Thermal Stresses, 30(3), 231-238 (2007). https://doi.org/10.1080/01495730601130919</w:t>
      </w:r>
    </w:p>
    <w:p>
      <w:pPr>
        <w:spacing w:after="40"/>
        <w:ind w:left="432" w:hanging="432"/>
      </w:pPr>
      <w:r>
        <w:rPr>
          <w:sz w:val="19"/>
        </w:rPr>
        <w:t>[40] Hetnarski, R.B., Eslami, M.R. Thermal Stresses—Advanced Theory and Applications. Springer, Solid Mechanics and Its Applications (2019). https://doi.org/10.1007/978-3-030-10436-8</w:t>
      </w:r>
    </w:p>
    <w:p>
      <w:pPr>
        <w:spacing w:after="40"/>
        <w:ind w:left="432" w:hanging="432"/>
      </w:pPr>
      <w:r>
        <w:rPr>
          <w:sz w:val="19"/>
        </w:rPr>
        <w:t>[41] Eslami, M.R., Hetnarski, R.B., Ignaczak, J., Noda, N., Sumi, N., Tanigawa, Y. Theory of Elasticity and Thermal Stresses. Springer, Solid Mechanics and Its Applications (2013). https://doi.org/10.1007/978-94-007-6356-2</w:t>
      </w:r>
    </w:p>
    <w:p>
      <w:pPr>
        <w:spacing w:after="40"/>
        <w:ind w:left="432" w:hanging="432"/>
      </w:pPr>
      <w:r>
        <w:rPr>
          <w:sz w:val="19"/>
        </w:rPr>
        <w:t>[42]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[43]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[44] Prevost, J.H., Tao, D. Finite Element Analysis of Dynamic Coupled Thermoelasticity Problems With Relaxation Times. Journal of Applied Mechanics, 50(4), 817-822 (1983). https://doi.org/10.1115/1.3167151</w:t>
      </w:r>
    </w:p>
    <w:p>
      <w:pPr>
        <w:spacing w:after="40"/>
        <w:ind w:left="432" w:hanging="432"/>
      </w:pPr>
      <w:r>
        <w:rPr>
          <w:sz w:val="19"/>
        </w:rPr>
        <w:t>[45] Narayanan, G.V., Beskos, D.E. Numerical operational methods for time-dependent linear problems. International Journal for Numerical Methods in Engineering, 18(12), 1829-1854 (1982). https://doi.org/10.1002/nme.1620181207</w:t>
      </w:r>
    </w:p>
    <w:p>
      <w:pPr>
        <w:spacing w:after="40"/>
        <w:ind w:left="432" w:hanging="432"/>
      </w:pPr>
      <w:r>
        <w:rPr>
          <w:sz w:val="19"/>
        </w:rPr>
        <w:t>[46] Durbin, F. Numerical Inversion of Laplace Transforms: An Efficient Improvement to Dubner and Abate's Method. The Computer Journal, 17(4), 371-376 (1974). https://doi.org/10.1093/comjnl/17.4.371</w:t>
      </w:r>
    </w:p>
    <w:p>
      <w:pPr>
        <w:spacing w:after="40"/>
        <w:ind w:left="432" w:hanging="432"/>
      </w:pPr>
      <w:r>
        <w:rPr>
          <w:sz w:val="19"/>
        </w:rPr>
        <w:t>[47] Crump, K.S. Numerical Inversion of Laplace Transforms Using a Fourier Series Approximation. Journal of the ACM, 23(1), 89-96 (1976). https://doi.org/10.1145/321921.321931</w:t>
      </w:r>
    </w:p>
    <w:p>
      <w:pPr>
        <w:spacing w:after="40"/>
        <w:ind w:left="432" w:hanging="432"/>
      </w:pPr>
      <w:r>
        <w:rPr>
          <w:sz w:val="19"/>
        </w:rPr>
        <w:t>[48] Davies, B., Martin, B. Numerical inversion of the laplace transform: a survey and comparison of methods. Journal of Computational Physics, 33(1), 1-32 (1979). https://doi.org/10.1016/0021-9991(79)90025-1</w:t>
      </w:r>
    </w:p>
    <w:p>
      <w:pPr>
        <w:spacing w:after="40"/>
        <w:ind w:left="432" w:hanging="432"/>
      </w:pPr>
      <w:r>
        <w:rPr>
          <w:sz w:val="19"/>
        </w:rPr>
        <w:t>[49] Weeks, W.T. Numerical Inversion of Laplace Transforms Using Laguerre Functions. Journal of the ACM, 13(3), 419-429 (1966). https://doi.org/10.1145/321341.321351</w:t>
      </w:r>
    </w:p>
    <w:p>
      <w:pPr>
        <w:spacing w:after="40"/>
        <w:ind w:left="432" w:hanging="432"/>
      </w:pPr>
      <w:r>
        <w:rPr>
          <w:sz w:val="19"/>
        </w:rPr>
        <w:t>[50] Talbot, A. The Accurate Numerical Inversion of Laplace Transforms. IMA Journal of Applied Mathematics, 23(1), 97-120 (1979). https://doi.org/10.1093/imamat/23.1.97</w:t>
      </w:r>
    </w:p>
    <w:p>
      <w:pPr>
        <w:spacing w:after="40"/>
        <w:ind w:left="432" w:hanging="432"/>
      </w:pPr>
      <w:r>
        <w:rPr>
          <w:sz w:val="19"/>
        </w:rPr>
        <w:t>[51] Abate, J., Whitt, W. A Unified Framework for Numerically Inverting Laplace Transforms. INFORMS Journal on Computing, 18(4), 408-421 (2006). https://doi.org/10.1287/ijoc.1050.0137</w:t>
      </w:r>
    </w:p>
    <w:p>
      <w:pPr>
        <w:spacing w:after="40"/>
        <w:ind w:left="432" w:hanging="432"/>
      </w:pPr>
      <w:r>
        <w:rPr>
          <w:sz w:val="19"/>
        </w:rPr>
        <w:t>[52] de Hoog, F.R., Knight, J.H., Stokes, A.N. An Improved Method for Numerical Inversion of Laplace Transforms. SIAM Journal on Scientific and Statistical Computing, 3(3), 357-366 (1982). https://doi.org/10.1137/0903022</w:t>
      </w:r>
    </w:p>
    <w:p>
      <w:pPr>
        <w:spacing w:after="40"/>
        <w:ind w:left="432" w:hanging="432"/>
      </w:pPr>
      <w:r>
        <w:rPr>
          <w:sz w:val="19"/>
        </w:rPr>
        <w:t>[53] Richardson, L.F., Gaunt, J.A. VIII. The deferred approach to the limit. Philosophical Transactions of the Royal Society of London Series A, 226, 299-361 (1927). https://doi.org/10.1098/rsta.1927.0008</w:t>
      </w:r>
    </w:p>
    <w:p>
      <w:pPr>
        <w:spacing w:after="40"/>
        <w:ind w:left="432" w:hanging="432"/>
      </w:pPr>
      <w:r>
        <w:rPr>
          <w:sz w:val="19"/>
        </w:rPr>
        <w:t>[54] Oberkampf, W.L., Roy, C.J. Verification and Validation in Scientific Computing. Cambridge University Press (2010). https://doi.org/10.1017/CBO9780511760396</w:t>
      </w:r>
    </w:p>
    <w:p>
      <w:pPr>
        <w:spacing w:after="40"/>
        <w:ind w:left="432" w:hanging="432"/>
      </w:pPr>
      <w:r>
        <w:rPr>
          <w:sz w:val="19"/>
        </w:rPr>
        <w:t>[55] Pelletier, D., Roache, P.J. Verification and Validation of Computational Heat Transfer. In Handbook of Numerical Heat Transfer, 417-442 (2000). https://doi.org/10.1002/9780470172599.ch13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