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2A17C154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DB093F" w:rsidRPr="00DB093F">
              <w:rPr>
                <w:rFonts w:ascii="Segoe UI" w:hAnsi="Segoe UI" w:cs="Segoe UI"/>
                <w:b/>
                <w:bCs/>
                <w:sz w:val="20"/>
                <w:szCs w:val="20"/>
              </w:rPr>
              <w:t>22 - Do's and Don'ts of setState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722C46B2" w:rsidR="00C1799B" w:rsidRPr="00F732F6" w:rsidRDefault="00DB093F" w:rsidP="00A650C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B0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Do's and Don'ts of setState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722C46B2" w:rsidR="00C1799B" w:rsidRPr="00F732F6" w:rsidRDefault="00DB093F" w:rsidP="00A650C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B0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Do's and Don'ts of setState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7691EBBE" w:rsidR="00805A21" w:rsidRDefault="00BE52FB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BE52FB">
        <w:rPr>
          <w:rFonts w:ascii="Segoe UI" w:hAnsi="Segoe UI" w:cs="Segoe UI"/>
          <w:color w:val="2F5496" w:themeColor="accent1" w:themeShade="BF"/>
          <w:sz w:val="20"/>
          <w:szCs w:val="20"/>
        </w:rPr>
        <w:t>Do's and Don'ts of setState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52FB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093F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2023-06-23T17:19:00Z</dcterms:modified>
</cp:coreProperties>
</file>