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D11B9C9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233AB4" w:rsidRPr="00233AB4">
              <w:rPr>
                <w:rFonts w:ascii="Segoe UI" w:hAnsi="Segoe UI" w:cs="Segoe UI"/>
                <w:b/>
                <w:bCs/>
                <w:sz w:val="20"/>
                <w:szCs w:val="20"/>
              </w:rPr>
              <w:t>33 - Basics of Form handling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12BE2FE8" w:rsidR="00C1799B" w:rsidRPr="00F732F6" w:rsidRDefault="00233AB4" w:rsidP="00233AB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33AB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Basics of Form handling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12BE2FE8" w:rsidR="00C1799B" w:rsidRPr="00F732F6" w:rsidRDefault="00233AB4" w:rsidP="00233AB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33AB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Basics of Form handling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7B77853" w:rsidR="00805A21" w:rsidRDefault="00233AB4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233AB4">
        <w:rPr>
          <w:rFonts w:ascii="Segoe UI" w:hAnsi="Segoe UI" w:cs="Segoe UI"/>
          <w:color w:val="2F5496" w:themeColor="accent1" w:themeShade="BF"/>
          <w:sz w:val="20"/>
          <w:szCs w:val="20"/>
        </w:rPr>
        <w:t>Basics of Form handling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3AB4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63B6E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2023-06-23T17:25:00Z</dcterms:modified>
</cp:coreProperties>
</file>