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2C30" w14:textId="77777777" w:rsidR="004D5E6F" w:rsidRDefault="00FC591B">
      <w:pPr>
        <w:spacing w:after="40"/>
      </w:pPr>
      <w:r>
        <w:rPr>
          <w:b/>
          <w:bCs/>
          <w:color w:val="1F3A5F"/>
          <w:sz w:val="52"/>
          <w:szCs w:val="52"/>
        </w:rPr>
        <w:t>The Uncertainty Navigator</w:t>
      </w:r>
    </w:p>
    <w:p w14:paraId="5388DA18" w14:textId="77777777" w:rsidR="004D5E6F" w:rsidRDefault="00FC591B">
      <w:pPr>
        <w:spacing w:after="160"/>
      </w:pPr>
      <w:r>
        <w:rPr>
          <w:i/>
          <w:iCs/>
          <w:color w:val="5A5A5A"/>
          <w:sz w:val="22"/>
          <w:szCs w:val="22"/>
        </w:rPr>
        <w:t>Turning “we can’t know” into “here’s what we can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E6F" w14:paraId="27E84E04" w14:textId="77777777">
        <w:tblPrEx>
          <w:tblCellMar>
            <w:top w:w="0" w:type="dxa"/>
            <w:bottom w:w="0" w:type="dxa"/>
          </w:tblCellMar>
        </w:tblPrEx>
        <w:tc>
          <w:tcPr>
            <w:tcW w:w="9360" w:type="dxa"/>
            <w:tcBorders>
              <w:top w:val="single" w:sz="4" w:space="0" w:color="BBBBBB"/>
              <w:left w:val="single" w:sz="24" w:space="0" w:color="1F3A5F"/>
              <w:bottom w:val="single" w:sz="4" w:space="0" w:color="BBBBBB"/>
              <w:right w:val="single" w:sz="4" w:space="0" w:color="BBBBBB"/>
            </w:tcBorders>
            <w:shd w:val="clear" w:color="auto" w:fill="E8EEF5"/>
            <w:tcMar>
              <w:top w:w="140" w:type="dxa"/>
              <w:left w:w="260" w:type="dxa"/>
              <w:bottom w:w="140" w:type="dxa"/>
              <w:right w:w="220" w:type="dxa"/>
            </w:tcMar>
          </w:tcPr>
          <w:p w14:paraId="4423AE73" w14:textId="77777777" w:rsidR="004D5E6F" w:rsidRPr="00F81FBC" w:rsidRDefault="00FC591B">
            <w:pPr>
              <w:spacing w:line="260" w:lineRule="auto"/>
              <w:rPr>
                <w:sz w:val="21"/>
                <w:szCs w:val="21"/>
              </w:rPr>
            </w:pPr>
            <w:r w:rsidRPr="00F81FBC">
              <w:rPr>
                <w:b/>
                <w:bCs/>
                <w:color w:val="1F3A5F"/>
                <w:sz w:val="21"/>
                <w:szCs w:val="21"/>
              </w:rPr>
              <w:t xml:space="preserve">In one sentence: </w:t>
            </w:r>
            <w:r w:rsidRPr="00F81FBC">
              <w:rPr>
                <w:color w:val="1A1A1A"/>
                <w:sz w:val="21"/>
                <w:szCs w:val="21"/>
              </w:rPr>
              <w:t xml:space="preserve">build a tool that helps a team commit to a concrete next step under uncertainty, by making </w:t>
            </w:r>
            <w:r w:rsidRPr="00F81FBC">
              <w:rPr>
                <w:b/>
                <w:bCs/>
                <w:color w:val="AB1A50"/>
                <w:sz w:val="21"/>
                <w:szCs w:val="21"/>
              </w:rPr>
              <w:t>Affordable Loss</w:t>
            </w:r>
            <w:r w:rsidRPr="00F81FBC">
              <w:rPr>
                <w:color w:val="1A1A1A"/>
                <w:sz w:val="21"/>
                <w:szCs w:val="21"/>
              </w:rPr>
              <w:t xml:space="preserve"> </w:t>
            </w:r>
            <w:r w:rsidRPr="00F81FBC">
              <w:rPr>
                <w:i/>
                <w:iCs/>
                <w:color w:val="5A5A5A"/>
                <w:sz w:val="21"/>
                <w:szCs w:val="21"/>
              </w:rPr>
              <w:t>(what they can put on the table without regret)</w:t>
            </w:r>
            <w:r w:rsidRPr="00F81FBC">
              <w:rPr>
                <w:color w:val="1A1A1A"/>
                <w:sz w:val="21"/>
                <w:szCs w:val="21"/>
              </w:rPr>
              <w:t xml:space="preserve"> the decision driver instead of expected return.</w:t>
            </w:r>
          </w:p>
        </w:tc>
      </w:tr>
    </w:tbl>
    <w:p w14:paraId="1605B9EF" w14:textId="77777777" w:rsidR="004D5E6F" w:rsidRDefault="004D5E6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E6F" w14:paraId="771E5B48" w14:textId="77777777">
        <w:tblPrEx>
          <w:tblCellMar>
            <w:top w:w="0" w:type="dxa"/>
            <w:bottom w:w="0" w:type="dxa"/>
          </w:tblCellMar>
        </w:tblPrEx>
        <w:tc>
          <w:tcPr>
            <w:tcW w:w="9360" w:type="dxa"/>
            <w:tcBorders>
              <w:top w:val="single" w:sz="4" w:space="0" w:color="BBBBBB"/>
              <w:left w:val="single" w:sz="24" w:space="0" w:color="AB1A50"/>
              <w:bottom w:val="single" w:sz="4" w:space="0" w:color="BBBBBB"/>
              <w:right w:val="single" w:sz="4" w:space="0" w:color="BBBBBB"/>
            </w:tcBorders>
            <w:shd w:val="clear" w:color="auto" w:fill="F8E4EC"/>
            <w:tcMar>
              <w:top w:w="140" w:type="dxa"/>
              <w:left w:w="260" w:type="dxa"/>
              <w:bottom w:w="140" w:type="dxa"/>
              <w:right w:w="220" w:type="dxa"/>
            </w:tcMar>
          </w:tcPr>
          <w:p w14:paraId="74BACE6D" w14:textId="77777777" w:rsidR="004D5E6F" w:rsidRDefault="00FC591B">
            <w:pPr>
              <w:spacing w:after="60" w:line="260" w:lineRule="auto"/>
            </w:pPr>
            <w:r>
              <w:rPr>
                <w:color w:val="1A1A1A"/>
              </w:rPr>
              <w:t xml:space="preserve">In 2025, researchers at MIT found that of $30 to $40 billion in enterprise spending on generative AI pilots, </w:t>
            </w:r>
            <w:r>
              <w:rPr>
                <w:b/>
                <w:bCs/>
                <w:color w:val="AB1A50"/>
              </w:rPr>
              <w:t>95% produced no measurable impact on profit and loss</w:t>
            </w:r>
            <w:r>
              <w:rPr>
                <w:color w:val="1A1A1A"/>
              </w:rPr>
              <w:t>.</w:t>
            </w:r>
          </w:p>
          <w:p w14:paraId="3D8E2C2D" w14:textId="42F11415" w:rsidR="004D5E6F" w:rsidRDefault="00FC591B">
            <w:pPr>
              <w:spacing w:after="60" w:line="260" w:lineRule="auto"/>
            </w:pPr>
            <w:r>
              <w:rPr>
                <w:color w:val="1A1A1A"/>
              </w:rPr>
              <w:t>Every one of those pilots had a team build or buy a pilot, demo it to executives, and launch it. Most corporate teams cannot answer how much it will return, how long it will take, or who will be using it in the long run, because the input data for a proper business case is not available. The expected ROI calculation is a guess</w:t>
            </w:r>
            <w:r w:rsidR="009C5DC0">
              <w:rPr>
                <w:color w:val="1A1A1A"/>
              </w:rPr>
              <w:t>, because t</w:t>
            </w:r>
            <w:r>
              <w:rPr>
                <w:color w:val="1A1A1A"/>
              </w:rPr>
              <w:t>he uncertainty is simply too high.</w:t>
            </w:r>
          </w:p>
          <w:p w14:paraId="12418880" w14:textId="77777777" w:rsidR="004D5E6F" w:rsidRDefault="00FC591B">
            <w:pPr>
              <w:spacing w:line="260" w:lineRule="auto"/>
            </w:pPr>
            <w:r>
              <w:rPr>
                <w:b/>
                <w:bCs/>
                <w:color w:val="1F3A5F"/>
              </w:rPr>
              <w:t>Companies are pouring billions into pilots that fail 95% of the time, often within months of launch.</w:t>
            </w:r>
          </w:p>
        </w:tc>
      </w:tr>
    </w:tbl>
    <w:p w14:paraId="4E49C0FB" w14:textId="2AD27CA1" w:rsidR="004D5E6F" w:rsidRDefault="004D5E6F">
      <w:pPr>
        <w:spacing w:after="80" w:line="260" w:lineRule="auto"/>
      </w:pPr>
    </w:p>
    <w:p w14:paraId="7E7D3C30" w14:textId="431DEC4E" w:rsidR="004D5E6F" w:rsidRDefault="00FC591B">
      <w:pPr>
        <w:spacing w:after="100" w:line="260" w:lineRule="auto"/>
      </w:pPr>
      <w:r>
        <w:rPr>
          <w:color w:val="1A1A1A"/>
        </w:rPr>
        <w:t xml:space="preserve">The Uncertainty Navigator Challenge is based on research into how </w:t>
      </w:r>
      <w:r w:rsidRPr="009C5DC0">
        <w:rPr>
          <w:b/>
          <w:bCs/>
          <w:color w:val="1A1A1A"/>
        </w:rPr>
        <w:t>expert entrepreneurs</w:t>
      </w:r>
      <w:r>
        <w:rPr>
          <w:color w:val="1A1A1A"/>
        </w:rPr>
        <w:t xml:space="preserve"> </w:t>
      </w:r>
      <w:proofErr w:type="gramStart"/>
      <w:r>
        <w:rPr>
          <w:color w:val="1A1A1A"/>
        </w:rPr>
        <w:t>actually make</w:t>
      </w:r>
      <w:proofErr w:type="gramEnd"/>
      <w:r>
        <w:rPr>
          <w:color w:val="1A1A1A"/>
        </w:rPr>
        <w:t xml:space="preserve"> </w:t>
      </w:r>
      <w:r w:rsidRPr="009C5DC0">
        <w:rPr>
          <w:b/>
          <w:bCs/>
          <w:color w:val="1A1A1A"/>
        </w:rPr>
        <w:t>decisions when prediction is impossible</w:t>
      </w:r>
      <w:r>
        <w:rPr>
          <w:color w:val="1A1A1A"/>
        </w:rPr>
        <w:t xml:space="preserve">. Their approach is called </w:t>
      </w:r>
      <w:r>
        <w:rPr>
          <w:b/>
          <w:bCs/>
          <w:color w:val="AB1A50"/>
        </w:rPr>
        <w:t>Affordable Loss</w:t>
      </w:r>
      <w:r>
        <w:rPr>
          <w:color w:val="1A1A1A"/>
        </w:rPr>
        <w:t xml:space="preserve">. Experts apply this kind of </w:t>
      </w:r>
      <w:r w:rsidR="009C5DC0">
        <w:rPr>
          <w:color w:val="1A1A1A"/>
        </w:rPr>
        <w:t xml:space="preserve">decision </w:t>
      </w:r>
      <w:r>
        <w:rPr>
          <w:color w:val="1A1A1A"/>
        </w:rPr>
        <w:t xml:space="preserve">logic </w:t>
      </w:r>
      <w:r>
        <w:rPr>
          <w:b/>
          <w:bCs/>
          <w:color w:val="1A1A1A"/>
        </w:rPr>
        <w:t>75% of the time</w:t>
      </w:r>
      <w:r>
        <w:rPr>
          <w:color w:val="1A1A1A"/>
        </w:rPr>
        <w:t>. Novices</w:t>
      </w:r>
      <w:r w:rsidR="009C5DC0">
        <w:rPr>
          <w:color w:val="1A1A1A"/>
        </w:rPr>
        <w:t>, like the average person,</w:t>
      </w:r>
      <w:r>
        <w:rPr>
          <w:color w:val="1A1A1A"/>
        </w:rPr>
        <w:t xml:space="preserve"> default to the opposite logic</w:t>
      </w:r>
      <w:r w:rsidR="009C5DC0">
        <w:rPr>
          <w:color w:val="1A1A1A"/>
        </w:rPr>
        <w:t xml:space="preserve"> (“Causation”)</w:t>
      </w:r>
      <w:r>
        <w:rPr>
          <w:color w:val="1A1A1A"/>
        </w:rPr>
        <w:t xml:space="preserve"> </w:t>
      </w:r>
      <w:r>
        <w:rPr>
          <w:b/>
          <w:bCs/>
          <w:color w:val="1A1A1A"/>
        </w:rPr>
        <w:t>80% of the time</w:t>
      </w:r>
      <w:r>
        <w:rPr>
          <w:color w:val="1A1A1A"/>
        </w:rPr>
        <w:t>, which is exactly the trap most corporate teams fall into.</w:t>
      </w:r>
      <w:r w:rsidR="009C5DC0">
        <w:rPr>
          <w:color w:val="1A1A1A"/>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E6F" w14:paraId="7C38B91D" w14:textId="77777777">
        <w:tblPrEx>
          <w:tblCellMar>
            <w:top w:w="0" w:type="dxa"/>
            <w:bottom w:w="0" w:type="dxa"/>
          </w:tblCellMar>
        </w:tblPrEx>
        <w:tc>
          <w:tcPr>
            <w:tcW w:w="9360" w:type="dxa"/>
            <w:tcBorders>
              <w:top w:val="single" w:sz="4" w:space="0" w:color="BBBBBB"/>
              <w:left w:val="single" w:sz="24" w:space="0" w:color="1F3A5F"/>
              <w:bottom w:val="single" w:sz="4" w:space="0" w:color="BBBBBB"/>
              <w:right w:val="single" w:sz="4" w:space="0" w:color="BBBBBB"/>
            </w:tcBorders>
            <w:shd w:val="clear" w:color="auto" w:fill="E8EEF5"/>
            <w:tcMar>
              <w:top w:w="140" w:type="dxa"/>
              <w:left w:w="260" w:type="dxa"/>
              <w:bottom w:w="140" w:type="dxa"/>
              <w:right w:w="220" w:type="dxa"/>
            </w:tcMar>
          </w:tcPr>
          <w:p w14:paraId="257B09EE" w14:textId="4CFCAD01" w:rsidR="004D5E6F" w:rsidRDefault="00FC591B">
            <w:pPr>
              <w:spacing w:line="260" w:lineRule="auto"/>
            </w:pPr>
            <w:r>
              <w:rPr>
                <w:b/>
                <w:bCs/>
                <w:color w:val="1F3A5F"/>
                <w:sz w:val="22"/>
                <w:szCs w:val="22"/>
              </w:rPr>
              <w:t>Your Uncertainty Navigator should guide and protect corporate teams</w:t>
            </w:r>
            <w:r w:rsidR="00F81FBC">
              <w:rPr>
                <w:b/>
                <w:bCs/>
                <w:color w:val="1F3A5F"/>
                <w:sz w:val="22"/>
                <w:szCs w:val="22"/>
              </w:rPr>
              <w:t xml:space="preserve"> </w:t>
            </w:r>
            <w:r>
              <w:rPr>
                <w:b/>
                <w:bCs/>
                <w:color w:val="1F3A5F"/>
                <w:sz w:val="22"/>
                <w:szCs w:val="22"/>
              </w:rPr>
              <w:t>from making decisions that run counter to the Affordable Loss principle.</w:t>
            </w:r>
          </w:p>
        </w:tc>
      </w:tr>
    </w:tbl>
    <w:p w14:paraId="27227C95" w14:textId="77777777" w:rsidR="004D5E6F" w:rsidRDefault="004D5E6F">
      <w:pPr>
        <w:spacing w:after="80"/>
      </w:pPr>
    </w:p>
    <w:p w14:paraId="71121AF2" w14:textId="14912F40" w:rsidR="004D5E6F" w:rsidRPr="00973F9C" w:rsidRDefault="00973F9C">
      <w:pPr>
        <w:spacing w:after="80" w:line="260" w:lineRule="auto"/>
        <w:rPr>
          <w:color w:val="B0285A"/>
        </w:rPr>
      </w:pPr>
      <w:r>
        <w:rPr>
          <w:b/>
          <w:bCs/>
          <w:color w:val="AB1A50"/>
        </w:rPr>
        <w:t>Affordable Loss</w:t>
      </w:r>
      <w:r w:rsidR="00FC591B">
        <w:rPr>
          <w:color w:val="1A1A1A"/>
        </w:rPr>
        <w:t xml:space="preserve"> reframes the question to one that uncertainty does not block: </w:t>
      </w:r>
      <w:r w:rsidR="00FC591B" w:rsidRPr="00973F9C">
        <w:rPr>
          <w:b/>
          <w:bCs/>
          <w:i/>
          <w:iCs/>
          <w:color w:val="B0285A"/>
        </w:rPr>
        <w:t>“What is the smallest amount we could put on the table to find out if our approach is real, while being genuinely fine losing it if this fails?”</w:t>
      </w:r>
    </w:p>
    <w:p w14:paraId="5EA0A64E" w14:textId="3D4A07EA" w:rsidR="004D5E6F" w:rsidRDefault="00FC591B">
      <w:pPr>
        <w:spacing w:after="80" w:line="260" w:lineRule="auto"/>
      </w:pPr>
      <w:r>
        <w:rPr>
          <w:color w:val="1A1A1A"/>
        </w:rPr>
        <w:t xml:space="preserve">There is no shared language for </w:t>
      </w:r>
      <w:r w:rsidR="009C5DC0">
        <w:rPr>
          <w:color w:val="1A1A1A"/>
        </w:rPr>
        <w:t>it</w:t>
      </w:r>
      <w:r>
        <w:rPr>
          <w:color w:val="1A1A1A"/>
        </w:rPr>
        <w:t xml:space="preserve"> inside companies. No visualization</w:t>
      </w:r>
      <w:r w:rsidR="009C5DC0">
        <w:rPr>
          <w:color w:val="1A1A1A"/>
        </w:rPr>
        <w:t xml:space="preserve"> or </w:t>
      </w:r>
      <w:r>
        <w:rPr>
          <w:color w:val="1A1A1A"/>
        </w:rPr>
        <w:t xml:space="preserve">metric a team can carry into a steering committee. </w:t>
      </w:r>
      <w:r w:rsidR="009C5DC0">
        <w:rPr>
          <w:color w:val="1A1A1A"/>
        </w:rPr>
        <w:t>Y</w:t>
      </w:r>
      <w:r>
        <w:rPr>
          <w:color w:val="1A1A1A"/>
        </w:rPr>
        <w:t>our tool fills</w:t>
      </w:r>
      <w:r w:rsidR="009C5DC0">
        <w:rPr>
          <w:color w:val="1A1A1A"/>
        </w:rPr>
        <w:t xml:space="preserve"> that gap</w:t>
      </w:r>
      <w:r>
        <w:rPr>
          <w:color w:val="1A1A1A"/>
        </w:rPr>
        <w:t>.</w:t>
      </w:r>
    </w:p>
    <w:p w14:paraId="5418E9DB" w14:textId="77777777" w:rsidR="004D5E6F" w:rsidRDefault="00FC591B">
      <w:pPr>
        <w:pStyle w:val="Heading1"/>
        <w:spacing w:before="160" w:after="60"/>
      </w:pPr>
      <w:r>
        <w:t>What you are building</w:t>
      </w:r>
    </w:p>
    <w:p w14:paraId="5AD0697F" w14:textId="115223E8" w:rsidR="004D5E6F" w:rsidRDefault="00FC591B">
      <w:pPr>
        <w:spacing w:after="80" w:line="260" w:lineRule="auto"/>
      </w:pPr>
      <w:r>
        <w:rPr>
          <w:color w:val="1A1A1A"/>
        </w:rPr>
        <w:t>Design and build a tool, in any form, that makes Affordable Loss the primary decision driver when teams face high uncertainty. Web app, mobile app, AI assistant, browser plug-in, Slack bot</w:t>
      </w:r>
      <w:r w:rsidR="009C5DC0">
        <w:rPr>
          <w:color w:val="1A1A1A"/>
        </w:rPr>
        <w:t xml:space="preserve">, </w:t>
      </w:r>
      <w:r w:rsidR="00973F9C">
        <w:rPr>
          <w:color w:val="1A1A1A"/>
        </w:rPr>
        <w:t>...</w:t>
      </w:r>
      <w:r>
        <w:rPr>
          <w:color w:val="1A1A1A"/>
        </w:rPr>
        <w:t xml:space="preserve">: the form is </w:t>
      </w:r>
      <w:r w:rsidR="009C5DC0">
        <w:rPr>
          <w:color w:val="1A1A1A"/>
        </w:rPr>
        <w:t xml:space="preserve">entirely </w:t>
      </w:r>
      <w:r>
        <w:rPr>
          <w:color w:val="1A1A1A"/>
        </w:rPr>
        <w:t>your call.</w:t>
      </w:r>
    </w:p>
    <w:p w14:paraId="086C1F68" w14:textId="14E023B1" w:rsidR="004D5E6F" w:rsidRDefault="00FC591B">
      <w:pPr>
        <w:spacing w:after="80" w:line="260" w:lineRule="auto"/>
      </w:pPr>
      <w:r>
        <w:rPr>
          <w:color w:val="1A1A1A"/>
        </w:rPr>
        <w:t xml:space="preserve">The point is not to produce a score that replaces ROI with another number. </w:t>
      </w:r>
      <w:r w:rsidR="009C5DC0">
        <w:rPr>
          <w:color w:val="1A1A1A"/>
        </w:rPr>
        <w:t>Instead, your tool should</w:t>
      </w:r>
      <w:r>
        <w:rPr>
          <w:color w:val="1A1A1A"/>
        </w:rPr>
        <w:t xml:space="preserve"> give the Affordable Loss question genuine weight in real-world decision-making, end with a concrete next step, and make the team’s commitments visible to themselves and to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5E6F" w14:paraId="37FD7185" w14:textId="77777777">
        <w:tblPrEx>
          <w:tblCellMar>
            <w:top w:w="0" w:type="dxa"/>
            <w:bottom w:w="0" w:type="dxa"/>
          </w:tblCellMar>
        </w:tblPrEx>
        <w:tc>
          <w:tcPr>
            <w:tcW w:w="9360" w:type="dxa"/>
            <w:tcBorders>
              <w:top w:val="single" w:sz="4" w:space="0" w:color="BBBBBB"/>
              <w:left w:val="single" w:sz="24" w:space="0" w:color="1F3A5F"/>
              <w:bottom w:val="single" w:sz="4" w:space="0" w:color="BBBBBB"/>
              <w:right w:val="single" w:sz="4" w:space="0" w:color="BBBBBB"/>
            </w:tcBorders>
            <w:shd w:val="clear" w:color="auto" w:fill="E8EEF5"/>
            <w:tcMar>
              <w:top w:w="140" w:type="dxa"/>
              <w:left w:w="260" w:type="dxa"/>
              <w:bottom w:w="140" w:type="dxa"/>
              <w:right w:w="220" w:type="dxa"/>
            </w:tcMar>
          </w:tcPr>
          <w:p w14:paraId="36FD8C55" w14:textId="1E12CE9E" w:rsidR="004D5E6F" w:rsidRDefault="00FC591B">
            <w:pPr>
              <w:spacing w:line="260" w:lineRule="auto"/>
            </w:pPr>
            <w:r>
              <w:rPr>
                <w:b/>
                <w:bCs/>
                <w:color w:val="1F3A5F"/>
              </w:rPr>
              <w:t xml:space="preserve">The criterion that </w:t>
            </w:r>
            <w:proofErr w:type="gramStart"/>
            <w:r>
              <w:rPr>
                <w:b/>
                <w:bCs/>
                <w:color w:val="1F3A5F"/>
              </w:rPr>
              <w:t>matters:</w:t>
            </w:r>
            <w:proofErr w:type="gramEnd"/>
            <w:r>
              <w:rPr>
                <w:b/>
                <w:bCs/>
                <w:color w:val="1F3A5F"/>
              </w:rPr>
              <w:t xml:space="preserve"> </w:t>
            </w:r>
            <w:r>
              <w:rPr>
                <w:i/>
                <w:iCs/>
                <w:color w:val="1A1A1A"/>
              </w:rPr>
              <w:t xml:space="preserve">whether your tool would </w:t>
            </w:r>
            <w:proofErr w:type="gramStart"/>
            <w:r>
              <w:rPr>
                <w:i/>
                <w:iCs/>
                <w:color w:val="1A1A1A"/>
              </w:rPr>
              <w:t>actually change</w:t>
            </w:r>
            <w:proofErr w:type="gramEnd"/>
            <w:r>
              <w:rPr>
                <w:i/>
                <w:iCs/>
                <w:color w:val="1A1A1A"/>
              </w:rPr>
              <w:t xml:space="preserve"> what a team </w:t>
            </w:r>
            <w:proofErr w:type="gramStart"/>
            <w:r>
              <w:rPr>
                <w:i/>
                <w:iCs/>
                <w:color w:val="1A1A1A"/>
              </w:rPr>
              <w:t>decide</w:t>
            </w:r>
            <w:r w:rsidR="009C5DC0">
              <w:rPr>
                <w:i/>
                <w:iCs/>
                <w:color w:val="1A1A1A"/>
              </w:rPr>
              <w:t>s</w:t>
            </w:r>
            <w:r>
              <w:rPr>
                <w:i/>
                <w:iCs/>
                <w:color w:val="1A1A1A"/>
              </w:rPr>
              <w:t>, and</w:t>
            </w:r>
            <w:proofErr w:type="gramEnd"/>
            <w:r>
              <w:rPr>
                <w:i/>
                <w:iCs/>
                <w:color w:val="1A1A1A"/>
              </w:rPr>
              <w:t xml:space="preserve"> prevent the 95% pilot-failure pattern from repeating.</w:t>
            </w:r>
          </w:p>
        </w:tc>
      </w:tr>
    </w:tbl>
    <w:p w14:paraId="10F8D097" w14:textId="77777777" w:rsidR="004D5E6F" w:rsidRDefault="004D5E6F">
      <w:pPr>
        <w:spacing w:after="60"/>
      </w:pPr>
    </w:p>
    <w:p w14:paraId="5387547E" w14:textId="77777777" w:rsidR="00973F9C" w:rsidRDefault="00973F9C" w:rsidP="00973F9C">
      <w:pPr>
        <w:pStyle w:val="Heading2"/>
        <w:spacing w:before="120" w:after="40"/>
      </w:pPr>
      <w:r>
        <w:t>Materials provided</w:t>
      </w:r>
    </w:p>
    <w:p w14:paraId="09C14DDA" w14:textId="77777777" w:rsidR="00973F9C" w:rsidRPr="00973F9C" w:rsidRDefault="00973F9C" w:rsidP="00973F9C">
      <w:pPr>
        <w:pStyle w:val="ListParagraph"/>
        <w:numPr>
          <w:ilvl w:val="0"/>
          <w:numId w:val="2"/>
        </w:numPr>
        <w:spacing w:after="60" w:line="270" w:lineRule="auto"/>
      </w:pPr>
      <w:r>
        <w:rPr>
          <w:b/>
          <w:bCs/>
          <w:color w:val="1F3A5F"/>
        </w:rPr>
        <w:t xml:space="preserve">Research Primer. </w:t>
      </w:r>
      <w:r>
        <w:rPr>
          <w:color w:val="1A1A1A"/>
        </w:rPr>
        <w:t xml:space="preserve">The minimum body of research you need. We put down the most important background knowledge, so you don’t have to read the full papers. </w:t>
      </w:r>
    </w:p>
    <w:p w14:paraId="57D46322" w14:textId="77777777" w:rsidR="00973F9C" w:rsidRDefault="00973F9C" w:rsidP="00973F9C">
      <w:pPr>
        <w:pStyle w:val="ListParagraph"/>
        <w:numPr>
          <w:ilvl w:val="0"/>
          <w:numId w:val="2"/>
        </w:numPr>
        <w:spacing w:after="60" w:line="270" w:lineRule="auto"/>
      </w:pPr>
      <w:r>
        <w:rPr>
          <w:b/>
          <w:bCs/>
          <w:color w:val="1F3A5F"/>
        </w:rPr>
        <w:t xml:space="preserve">Case Studies. </w:t>
      </w:r>
      <w:r>
        <w:rPr>
          <w:color w:val="1A1A1A"/>
        </w:rPr>
        <w:t>Five documented innovation dilemmas (Kodak, 3M, Google, Sony, MIT NANDA) with the specific design task for each. Your solution should be able to change the outcome.</w:t>
      </w:r>
    </w:p>
    <w:p w14:paraId="4CDCF3F1" w14:textId="77777777" w:rsidR="00973F9C" w:rsidRDefault="00973F9C">
      <w:pPr>
        <w:pStyle w:val="Heading2"/>
        <w:spacing w:before="120" w:after="40"/>
      </w:pPr>
    </w:p>
    <w:p w14:paraId="3466D918" w14:textId="2FBBA606" w:rsidR="004D5E6F" w:rsidRDefault="00FC591B">
      <w:pPr>
        <w:pStyle w:val="Heading2"/>
        <w:spacing w:before="120" w:after="40"/>
      </w:pPr>
      <w:r>
        <w:t xml:space="preserve">Five problems your design </w:t>
      </w:r>
      <w:proofErr w:type="gramStart"/>
      <w:r>
        <w:t>has to</w:t>
      </w:r>
      <w:proofErr w:type="gramEnd"/>
      <w:r>
        <w:t xml:space="preserve"> engage with</w:t>
      </w:r>
    </w:p>
    <w:p w14:paraId="68A335F3" w14:textId="77777777" w:rsidR="004D5E6F" w:rsidRDefault="00FC591B">
      <w:pPr>
        <w:pStyle w:val="Heading3"/>
        <w:spacing w:before="80" w:after="30"/>
      </w:pPr>
      <w:r>
        <w:t>1. What kind of uncertainty?</w:t>
      </w:r>
    </w:p>
    <w:p w14:paraId="58598903" w14:textId="033C4480" w:rsidR="004D5E6F" w:rsidRDefault="00FC591B">
      <w:pPr>
        <w:spacing w:after="80" w:line="260" w:lineRule="auto"/>
      </w:pPr>
      <w:r>
        <w:rPr>
          <w:color w:val="1A1A1A"/>
        </w:rPr>
        <w:t xml:space="preserve">“We don’t know how to start” </w:t>
      </w:r>
      <w:r w:rsidR="00973F9C">
        <w:rPr>
          <w:color w:val="1A1A1A"/>
        </w:rPr>
        <w:t>can</w:t>
      </w:r>
      <w:r>
        <w:rPr>
          <w:color w:val="1A1A1A"/>
        </w:rPr>
        <w:t xml:space="preserve"> </w:t>
      </w:r>
      <w:r w:rsidR="00973F9C">
        <w:rPr>
          <w:color w:val="1A1A1A"/>
        </w:rPr>
        <w:t>hide</w:t>
      </w:r>
      <w:r>
        <w:rPr>
          <w:color w:val="1A1A1A"/>
        </w:rPr>
        <w:t xml:space="preserve"> </w:t>
      </w:r>
      <w:r w:rsidR="00973F9C">
        <w:rPr>
          <w:color w:val="1A1A1A"/>
        </w:rPr>
        <w:t>several</w:t>
      </w:r>
      <w:r>
        <w:rPr>
          <w:color w:val="1A1A1A"/>
        </w:rPr>
        <w:t xml:space="preserve"> problems. The team might be uncertain about the technology, the market, the stakeholders, or the resources. Each one calls for a different first move. A good tool helps the team see which one they are </w:t>
      </w:r>
      <w:proofErr w:type="gramStart"/>
      <w:r>
        <w:rPr>
          <w:color w:val="1A1A1A"/>
        </w:rPr>
        <w:t>actually facing</w:t>
      </w:r>
      <w:proofErr w:type="gramEnd"/>
      <w:r>
        <w:rPr>
          <w:color w:val="1A1A1A"/>
        </w:rPr>
        <w:t>, and what to do next.</w:t>
      </w:r>
    </w:p>
    <w:p w14:paraId="7DEA1AD8" w14:textId="77777777" w:rsidR="004D5E6F" w:rsidRDefault="00FC591B">
      <w:pPr>
        <w:pStyle w:val="Heading3"/>
        <w:spacing w:before="80" w:after="30"/>
      </w:pPr>
      <w:r>
        <w:t>2. What is the Affordable Loss?</w:t>
      </w:r>
    </w:p>
    <w:p w14:paraId="1914B9BF" w14:textId="77777777" w:rsidR="004D5E6F" w:rsidRDefault="00FC591B">
      <w:pPr>
        <w:spacing w:after="80" w:line="260" w:lineRule="auto"/>
      </w:pPr>
      <w:r>
        <w:rPr>
          <w:color w:val="1A1A1A"/>
        </w:rPr>
        <w:t xml:space="preserve">Affordable Loss is not just about money. The five dimensions in the research literature are time, money, reputation, relationships, and reversibility. The conversation </w:t>
      </w:r>
      <w:proofErr w:type="gramStart"/>
      <w:r>
        <w:rPr>
          <w:color w:val="1A1A1A"/>
        </w:rPr>
        <w:t>has to</w:t>
      </w:r>
      <w:proofErr w:type="gramEnd"/>
      <w:r>
        <w:rPr>
          <w:color w:val="1A1A1A"/>
        </w:rPr>
        <w:t xml:space="preserve"> span all of them, because inside a large company, reputation and relationships are usually where the real constraint sits.</w:t>
      </w:r>
    </w:p>
    <w:p w14:paraId="4B268FCE" w14:textId="77777777" w:rsidR="004D5E6F" w:rsidRDefault="00FC591B">
      <w:pPr>
        <w:pStyle w:val="Heading3"/>
        <w:spacing w:before="80" w:after="30"/>
      </w:pPr>
      <w:r>
        <w:t>3</w:t>
      </w:r>
      <w:r>
        <w:t xml:space="preserve">. The output </w:t>
      </w:r>
      <w:proofErr w:type="gramStart"/>
      <w:r>
        <w:t>has to</w:t>
      </w:r>
      <w:proofErr w:type="gramEnd"/>
      <w:r>
        <w:t xml:space="preserve"> be concrete</w:t>
      </w:r>
    </w:p>
    <w:p w14:paraId="2167AD40" w14:textId="77777777" w:rsidR="004D5E6F" w:rsidRDefault="00FC591B">
      <w:pPr>
        <w:spacing w:after="80" w:line="260" w:lineRule="auto"/>
      </w:pPr>
      <w:r>
        <w:rPr>
          <w:color w:val="1A1A1A"/>
        </w:rPr>
        <w:t>Not “run an experiment.” The specific person to talk to this week. The specific question to ask them. The specific signal that says keep going, and the specific signal that says stop.</w:t>
      </w:r>
    </w:p>
    <w:p w14:paraId="216E3ACE" w14:textId="77777777" w:rsidR="004D5E6F" w:rsidRDefault="00FC591B">
      <w:pPr>
        <w:pStyle w:val="Heading3"/>
        <w:spacing w:before="80" w:after="30"/>
      </w:pPr>
      <w:r>
        <w:t>4. Re-evaluation matters more than the first calculation</w:t>
      </w:r>
    </w:p>
    <w:p w14:paraId="1CD2C06A" w14:textId="77777777" w:rsidR="004D5E6F" w:rsidRDefault="00FC591B">
      <w:pPr>
        <w:spacing w:after="80" w:line="260" w:lineRule="auto"/>
      </w:pPr>
      <w:r>
        <w:rPr>
          <w:color w:val="1A1A1A"/>
        </w:rPr>
        <w:t>A pilot that started at low risk becomes high risk once three more people join, leadership hears about it, and dependencies pile up. The hardest failures are silent escalations: nobody decided to keep going, but nobody decided to stop either. Your tool should help teams notice this shift before it becomes irreversible.</w:t>
      </w:r>
    </w:p>
    <w:p w14:paraId="5C2C523C" w14:textId="77777777" w:rsidR="004D5E6F" w:rsidRDefault="00FC591B">
      <w:pPr>
        <w:pStyle w:val="Heading3"/>
        <w:spacing w:before="80" w:after="30"/>
      </w:pPr>
      <w:r>
        <w:t>5. Comparison across experiments</w:t>
      </w:r>
    </w:p>
    <w:p w14:paraId="2B5BBCB0" w14:textId="77777777" w:rsidR="004D5E6F" w:rsidRDefault="00FC591B">
      <w:pPr>
        <w:spacing w:after="80" w:line="260" w:lineRule="auto"/>
        <w:rPr>
          <w:color w:val="1A1A1A"/>
        </w:rPr>
      </w:pPr>
      <w:r>
        <w:rPr>
          <w:color w:val="1A1A1A"/>
        </w:rPr>
        <w:t>Teams rarely face one decision at a time. How do you compare a high-money low-reputation bet against a low-money high-relationships bet? This is where the algorithm design gets interesting. Remember: support human judgment, do not replace it with a ranking.</w:t>
      </w:r>
    </w:p>
    <w:p w14:paraId="23BA7072" w14:textId="77777777" w:rsidR="00F81FBC" w:rsidRDefault="00F81FBC">
      <w:pPr>
        <w:spacing w:after="80" w:line="260" w:lineRule="auto"/>
      </w:pPr>
    </w:p>
    <w:p w14:paraId="79626D32" w14:textId="77777777" w:rsidR="004D5E6F" w:rsidRDefault="00FC591B">
      <w:pPr>
        <w:pStyle w:val="Heading2"/>
        <w:spacing w:before="120" w:after="40"/>
      </w:pPr>
      <w:r>
        <w:t>A note on framing</w:t>
      </w:r>
    </w:p>
    <w:p w14:paraId="50041F62" w14:textId="77777777" w:rsidR="004D5E6F" w:rsidRDefault="00FC591B">
      <w:pPr>
        <w:spacing w:after="80" w:line="260" w:lineRule="auto"/>
      </w:pPr>
      <w:r>
        <w:rPr>
          <w:color w:val="1A1A1A"/>
        </w:rPr>
        <w:t xml:space="preserve">People are bad at thinking clearly about loss. Kahneman and Tversky’s prospect theory, the work that won the 2002 Nobel in Economics, shows that losses feel roughly twice as painful as equivalent gains feel pleasurable. Practical consequence: if you </w:t>
      </w:r>
      <w:proofErr w:type="gramStart"/>
      <w:r>
        <w:rPr>
          <w:color w:val="1A1A1A"/>
        </w:rPr>
        <w:t>ask</w:t>
      </w:r>
      <w:proofErr w:type="gramEnd"/>
      <w:r>
        <w:rPr>
          <w:color w:val="1A1A1A"/>
        </w:rPr>
        <w:t xml:space="preserve"> “what would you be willing to lose?”, people under-commit. They name a number far smaller than what they could </w:t>
      </w:r>
      <w:proofErr w:type="gramStart"/>
      <w:r>
        <w:rPr>
          <w:color w:val="1A1A1A"/>
        </w:rPr>
        <w:t>actually absorb</w:t>
      </w:r>
      <w:proofErr w:type="gramEnd"/>
      <w:r>
        <w:rPr>
          <w:color w:val="1A1A1A"/>
        </w:rPr>
        <w:t>.</w:t>
      </w:r>
    </w:p>
    <w:p w14:paraId="4934D4FB" w14:textId="6665E950" w:rsidR="004D5E6F" w:rsidRDefault="00FC591B">
      <w:pPr>
        <w:spacing w:after="80" w:line="260" w:lineRule="auto"/>
      </w:pPr>
      <w:r>
        <w:rPr>
          <w:color w:val="1A1A1A"/>
        </w:rPr>
        <w:t>The way your tool frames the question changes the answer. “What’s the worst case here?” produces a different number than “what could you absorb without changing your operating budget?” Good tools manage this effect deliberately. Bad ones amplify</w:t>
      </w:r>
      <w:r>
        <w:rPr>
          <w:color w:val="1A1A1A"/>
        </w:rPr>
        <w:t xml:space="preserve"> it by accident</w:t>
      </w:r>
      <w:r>
        <w:rPr>
          <w:color w:val="1A1A1A"/>
        </w:rPr>
        <w:t xml:space="preserve">. </w:t>
      </w:r>
      <w:r w:rsidR="00973F9C">
        <w:rPr>
          <w:color w:val="1A1A1A"/>
        </w:rPr>
        <w:t xml:space="preserve">Consider nuances like these in your solution. </w:t>
      </w:r>
    </w:p>
    <w:p w14:paraId="0ADB8DFC" w14:textId="77777777" w:rsidR="004D5E6F" w:rsidRDefault="00FC591B">
      <w:pPr>
        <w:pStyle w:val="Heading1"/>
        <w:spacing w:before="160" w:after="60"/>
      </w:pPr>
      <w:r>
        <w:t>How you will be judged</w:t>
      </w:r>
    </w:p>
    <w:p w14:paraId="23E2A622" w14:textId="77777777" w:rsidR="004D5E6F" w:rsidRDefault="00FC591B">
      <w:pPr>
        <w:spacing w:after="80" w:line="260" w:lineRule="auto"/>
      </w:pPr>
      <w:r>
        <w:rPr>
          <w:color w:val="1A1A1A"/>
        </w:rPr>
        <w:t>You do not need to design for all five case studies. The judging panel will be more impressed by a tool that visibly grapples with one scenario in an innovative and brilliant way than by a generic tool that claims to handle “any uncertainty.”</w:t>
      </w:r>
    </w:p>
    <w:p w14:paraId="490C38EC" w14:textId="77777777" w:rsidR="004D5E6F" w:rsidRDefault="00FC591B">
      <w:pPr>
        <w:spacing w:after="80" w:line="260" w:lineRule="auto"/>
      </w:pPr>
      <w:r>
        <w:rPr>
          <w:color w:val="1A1A1A"/>
        </w:rPr>
        <w:t>By the end of 48 hours, your team should be able to demonstrate the tool against at least three case studies and answer the question: would this tool have changed the outcome?</w:t>
      </w:r>
    </w:p>
    <w:p w14:paraId="74F09604" w14:textId="77777777" w:rsidR="004D5E6F" w:rsidRDefault="00FC591B">
      <w:pPr>
        <w:spacing w:after="100" w:line="260" w:lineRule="auto"/>
      </w:pPr>
      <w:r>
        <w:rPr>
          <w:color w:val="1A1A1A"/>
        </w:rPr>
        <w:t xml:space="preserve">Output format is open. The four main judging criteria are: </w:t>
      </w:r>
      <w:r>
        <w:rPr>
          <w:b/>
          <w:bCs/>
          <w:color w:val="1F3A5F"/>
        </w:rPr>
        <w:t>creativity, depth of the Affordable Loss reasoning, market potential and feasibility, and uniqueness</w:t>
      </w:r>
      <w:r>
        <w:rPr>
          <w:color w:val="1A1A1A"/>
        </w:rPr>
        <w:t>.</w:t>
      </w:r>
    </w:p>
    <w:p w14:paraId="39BE68DA" w14:textId="28A0CA7A" w:rsidR="004D5E6F" w:rsidRDefault="004D5E6F" w:rsidP="00F81FBC">
      <w:pPr>
        <w:spacing w:after="60" w:line="270" w:lineRule="auto"/>
      </w:pPr>
    </w:p>
    <w:sectPr w:rsidR="004D5E6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2AAD6" w14:textId="77777777" w:rsidR="00FC591B" w:rsidRDefault="00FC591B">
      <w:r>
        <w:separator/>
      </w:r>
    </w:p>
  </w:endnote>
  <w:endnote w:type="continuationSeparator" w:id="0">
    <w:p w14:paraId="1BE86CC1" w14:textId="77777777" w:rsidR="00FC591B" w:rsidRDefault="00FC5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9B3D" w14:textId="77777777" w:rsidR="004D5E6F" w:rsidRDefault="00FC591B">
    <w:pPr>
      <w:jc w:val="center"/>
    </w:pPr>
    <w:r>
      <w:rPr>
        <w:color w:val="5A5A5A"/>
        <w:sz w:val="16"/>
        <w:szCs w:val="16"/>
      </w:rPr>
      <w:t xml:space="preserve">Page </w:t>
    </w:r>
    <w:r>
      <w:rPr>
        <w:b/>
        <w:bCs/>
        <w:color w:val="5A5A5A"/>
        <w:sz w:val="16"/>
        <w:szCs w:val="16"/>
      </w:rPr>
      <w:fldChar w:fldCharType="begin"/>
    </w:r>
    <w:r>
      <w:rPr>
        <w:b/>
        <w:bCs/>
        <w:color w:val="5A5A5A"/>
        <w:sz w:val="16"/>
        <w:szCs w:val="16"/>
      </w:rPr>
      <w:instrText>PAGE</w:instrText>
    </w:r>
    <w:r>
      <w:rPr>
        <w:b/>
        <w:bCs/>
        <w:color w:val="5A5A5A"/>
        <w:sz w:val="16"/>
        <w:szCs w:val="16"/>
      </w:rPr>
      <w:fldChar w:fldCharType="separate"/>
    </w:r>
    <w:r w:rsidR="009C5DC0">
      <w:rPr>
        <w:b/>
        <w:bCs/>
        <w:noProof/>
        <w:color w:val="5A5A5A"/>
        <w:sz w:val="16"/>
        <w:szCs w:val="16"/>
      </w:rPr>
      <w:t>1</w:t>
    </w:r>
    <w:r>
      <w:rPr>
        <w:b/>
        <w:bCs/>
        <w:color w:val="5A5A5A"/>
        <w:sz w:val="16"/>
        <w:szCs w:val="16"/>
      </w:rPr>
      <w:fldChar w:fldCharType="end"/>
    </w:r>
    <w:r>
      <w:rPr>
        <w:color w:val="5A5A5A"/>
        <w:sz w:val="16"/>
        <w:szCs w:val="16"/>
      </w:rPr>
      <w:t xml:space="preserve"> / </w:t>
    </w:r>
    <w:r>
      <w:rPr>
        <w:color w:val="5A5A5A"/>
        <w:sz w:val="16"/>
        <w:szCs w:val="16"/>
      </w:rPr>
      <w:fldChar w:fldCharType="begin"/>
    </w:r>
    <w:r>
      <w:rPr>
        <w:color w:val="5A5A5A"/>
        <w:sz w:val="16"/>
        <w:szCs w:val="16"/>
      </w:rPr>
      <w:instrText>NUMPAGES</w:instrText>
    </w:r>
    <w:r>
      <w:rPr>
        <w:color w:val="5A5A5A"/>
        <w:sz w:val="16"/>
        <w:szCs w:val="16"/>
      </w:rPr>
      <w:fldChar w:fldCharType="separate"/>
    </w:r>
    <w:r w:rsidR="009C5DC0">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16A68" w14:textId="77777777" w:rsidR="00FC591B" w:rsidRDefault="00FC591B">
      <w:r>
        <w:separator/>
      </w:r>
    </w:p>
  </w:footnote>
  <w:footnote w:type="continuationSeparator" w:id="0">
    <w:p w14:paraId="1BCC719B" w14:textId="77777777" w:rsidR="00FC591B" w:rsidRDefault="00FC59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E8BCC" w14:textId="77777777" w:rsidR="004D5E6F" w:rsidRDefault="00FC591B">
    <w:pPr>
      <w:pBdr>
        <w:bottom w:val="single" w:sz="4" w:space="6" w:color="1F3A5F"/>
      </w:pBdr>
      <w:tabs>
        <w:tab w:val="right" w:pos="9360"/>
      </w:tabs>
      <w:spacing w:after="80"/>
    </w:pPr>
    <w:proofErr w:type="gramStart"/>
    <w:r>
      <w:rPr>
        <w:b/>
        <w:bCs/>
        <w:color w:val="AB1A50"/>
        <w:spacing w:val="40"/>
        <w:sz w:val="16"/>
        <w:szCs w:val="16"/>
      </w:rPr>
      <w:t>INTRAPRISE</w:t>
    </w:r>
    <w:r>
      <w:rPr>
        <w:color w:val="5A5A5A"/>
        <w:sz w:val="16"/>
        <w:szCs w:val="16"/>
      </w:rPr>
      <w:t xml:space="preserve">  /</w:t>
    </w:r>
    <w:proofErr w:type="gramEnd"/>
    <w:r>
      <w:rPr>
        <w:color w:val="5A5A5A"/>
        <w:sz w:val="16"/>
        <w:szCs w:val="16"/>
      </w:rPr>
      <w:t xml:space="preserve">  The Uncertainty Navigator</w:t>
    </w:r>
    <w:r>
      <w:rPr>
        <w:sz w:val="16"/>
        <w:szCs w:val="16"/>
      </w:rPr>
      <w:tab/>
    </w:r>
    <w:r>
      <w:rPr>
        <w:i/>
        <w:iCs/>
        <w:color w:val="5A5A5A"/>
        <w:sz w:val="16"/>
        <w:szCs w:val="16"/>
      </w:rPr>
      <w:t>Challenge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C0420"/>
    <w:multiLevelType w:val="hybridMultilevel"/>
    <w:tmpl w:val="C94C012E"/>
    <w:lvl w:ilvl="0" w:tplc="A284217C">
      <w:start w:val="1"/>
      <w:numFmt w:val="bullet"/>
      <w:lvlText w:val="●"/>
      <w:lvlJc w:val="left"/>
      <w:pPr>
        <w:ind w:left="720" w:hanging="360"/>
      </w:pPr>
    </w:lvl>
    <w:lvl w:ilvl="1" w:tplc="185CEF00">
      <w:start w:val="1"/>
      <w:numFmt w:val="bullet"/>
      <w:lvlText w:val="○"/>
      <w:lvlJc w:val="left"/>
      <w:pPr>
        <w:ind w:left="1440" w:hanging="360"/>
      </w:pPr>
    </w:lvl>
    <w:lvl w:ilvl="2" w:tplc="819CD272">
      <w:start w:val="1"/>
      <w:numFmt w:val="bullet"/>
      <w:lvlText w:val="■"/>
      <w:lvlJc w:val="left"/>
      <w:pPr>
        <w:ind w:left="2160" w:hanging="360"/>
      </w:pPr>
    </w:lvl>
    <w:lvl w:ilvl="3" w:tplc="1C343E00">
      <w:start w:val="1"/>
      <w:numFmt w:val="bullet"/>
      <w:lvlText w:val="●"/>
      <w:lvlJc w:val="left"/>
      <w:pPr>
        <w:ind w:left="2880" w:hanging="360"/>
      </w:pPr>
    </w:lvl>
    <w:lvl w:ilvl="4" w:tplc="04AC9610">
      <w:start w:val="1"/>
      <w:numFmt w:val="bullet"/>
      <w:lvlText w:val="○"/>
      <w:lvlJc w:val="left"/>
      <w:pPr>
        <w:ind w:left="3600" w:hanging="360"/>
      </w:pPr>
    </w:lvl>
    <w:lvl w:ilvl="5" w:tplc="49CECE8E">
      <w:start w:val="1"/>
      <w:numFmt w:val="bullet"/>
      <w:lvlText w:val="■"/>
      <w:lvlJc w:val="left"/>
      <w:pPr>
        <w:ind w:left="4320" w:hanging="360"/>
      </w:pPr>
    </w:lvl>
    <w:lvl w:ilvl="6" w:tplc="CA083DDC">
      <w:start w:val="1"/>
      <w:numFmt w:val="bullet"/>
      <w:lvlText w:val="●"/>
      <w:lvlJc w:val="left"/>
      <w:pPr>
        <w:ind w:left="5040" w:hanging="360"/>
      </w:pPr>
    </w:lvl>
    <w:lvl w:ilvl="7" w:tplc="9C3AE58C">
      <w:start w:val="1"/>
      <w:numFmt w:val="bullet"/>
      <w:lvlText w:val="●"/>
      <w:lvlJc w:val="left"/>
      <w:pPr>
        <w:ind w:left="5760" w:hanging="360"/>
      </w:pPr>
    </w:lvl>
    <w:lvl w:ilvl="8" w:tplc="F3324DD0">
      <w:start w:val="1"/>
      <w:numFmt w:val="bullet"/>
      <w:lvlText w:val="●"/>
      <w:lvlJc w:val="left"/>
      <w:pPr>
        <w:ind w:left="6480" w:hanging="360"/>
      </w:pPr>
    </w:lvl>
  </w:abstractNum>
  <w:abstractNum w:abstractNumId="1" w15:restartNumberingAfterBreak="0">
    <w:nsid w:val="63DA67F7"/>
    <w:multiLevelType w:val="hybridMultilevel"/>
    <w:tmpl w:val="A1361868"/>
    <w:lvl w:ilvl="0" w:tplc="BC34B91A">
      <w:start w:val="1"/>
      <w:numFmt w:val="bullet"/>
      <w:lvlText w:val="•"/>
      <w:lvlJc w:val="left"/>
      <w:pPr>
        <w:ind w:left="420" w:hanging="240"/>
      </w:pPr>
    </w:lvl>
    <w:lvl w:ilvl="1" w:tplc="B678C286">
      <w:numFmt w:val="decimal"/>
      <w:lvlText w:val=""/>
      <w:lvlJc w:val="left"/>
    </w:lvl>
    <w:lvl w:ilvl="2" w:tplc="03AC4E92">
      <w:numFmt w:val="decimal"/>
      <w:lvlText w:val=""/>
      <w:lvlJc w:val="left"/>
    </w:lvl>
    <w:lvl w:ilvl="3" w:tplc="B2141C8A">
      <w:numFmt w:val="decimal"/>
      <w:lvlText w:val=""/>
      <w:lvlJc w:val="left"/>
    </w:lvl>
    <w:lvl w:ilvl="4" w:tplc="4B382F2E">
      <w:numFmt w:val="decimal"/>
      <w:lvlText w:val=""/>
      <w:lvlJc w:val="left"/>
    </w:lvl>
    <w:lvl w:ilvl="5" w:tplc="745A2986">
      <w:numFmt w:val="decimal"/>
      <w:lvlText w:val=""/>
      <w:lvlJc w:val="left"/>
    </w:lvl>
    <w:lvl w:ilvl="6" w:tplc="7BBC6E96">
      <w:numFmt w:val="decimal"/>
      <w:lvlText w:val=""/>
      <w:lvlJc w:val="left"/>
    </w:lvl>
    <w:lvl w:ilvl="7" w:tplc="113C6DB0">
      <w:numFmt w:val="decimal"/>
      <w:lvlText w:val=""/>
      <w:lvlJc w:val="left"/>
    </w:lvl>
    <w:lvl w:ilvl="8" w:tplc="8E168322">
      <w:numFmt w:val="decimal"/>
      <w:lvlText w:val=""/>
      <w:lvlJc w:val="left"/>
    </w:lvl>
  </w:abstractNum>
  <w:abstractNum w:abstractNumId="2" w15:restartNumberingAfterBreak="0">
    <w:nsid w:val="7D4A633E"/>
    <w:multiLevelType w:val="hybridMultilevel"/>
    <w:tmpl w:val="17A6A4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4803872">
    <w:abstractNumId w:val="0"/>
    <w:lvlOverride w:ilvl="0">
      <w:startOverride w:val="1"/>
    </w:lvlOverride>
  </w:num>
  <w:num w:numId="2" w16cid:durableId="2082558147">
    <w:abstractNumId w:val="1"/>
  </w:num>
  <w:num w:numId="3" w16cid:durableId="1682732479">
    <w:abstractNumId w:val="2"/>
  </w:num>
  <w:num w:numId="4" w16cid:durableId="1646087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E6F"/>
    <w:rsid w:val="004D5E6F"/>
    <w:rsid w:val="00973F9C"/>
    <w:rsid w:val="009C5DC0"/>
    <w:rsid w:val="00F37F87"/>
    <w:rsid w:val="00F81FBC"/>
    <w:rsid w:val="00FC5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E6901"/>
  <w15:docId w15:val="{8D3BA03F-AED9-7B4E-A2A8-5F4B4154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F3A5F"/>
      <w:sz w:val="32"/>
      <w:szCs w:val="32"/>
    </w:rPr>
  </w:style>
  <w:style w:type="paragraph" w:styleId="Heading2">
    <w:name w:val="heading 2"/>
    <w:uiPriority w:val="9"/>
    <w:unhideWhenUsed/>
    <w:qFormat/>
    <w:pPr>
      <w:spacing w:before="160" w:after="60"/>
      <w:outlineLvl w:val="1"/>
    </w:pPr>
    <w:rPr>
      <w:b/>
      <w:bCs/>
      <w:color w:val="1F3A5F"/>
      <w:sz w:val="24"/>
      <w:szCs w:val="24"/>
    </w:rPr>
  </w:style>
  <w:style w:type="paragraph" w:styleId="Heading3">
    <w:name w:val="heading 3"/>
    <w:uiPriority w:val="9"/>
    <w:unhideWhenUsed/>
    <w:qFormat/>
    <w:pPr>
      <w:spacing w:before="100" w:after="40"/>
      <w:outlineLvl w:val="2"/>
    </w:pPr>
    <w:rPr>
      <w:b/>
      <w:bCs/>
      <w:color w:val="AB1A5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5DC0"/>
    <w:pPr>
      <w:tabs>
        <w:tab w:val="center" w:pos="4680"/>
        <w:tab w:val="right" w:pos="9360"/>
      </w:tabs>
    </w:pPr>
  </w:style>
  <w:style w:type="character" w:customStyle="1" w:styleId="HeaderChar">
    <w:name w:val="Header Char"/>
    <w:basedOn w:val="DefaultParagraphFont"/>
    <w:link w:val="Header"/>
    <w:uiPriority w:val="99"/>
    <w:rsid w:val="009C5DC0"/>
  </w:style>
  <w:style w:type="paragraph" w:styleId="Footer">
    <w:name w:val="footer"/>
    <w:basedOn w:val="Normal"/>
    <w:link w:val="FooterChar"/>
    <w:uiPriority w:val="99"/>
    <w:unhideWhenUsed/>
    <w:rsid w:val="009C5DC0"/>
    <w:pPr>
      <w:tabs>
        <w:tab w:val="center" w:pos="4680"/>
        <w:tab w:val="right" w:pos="9360"/>
      </w:tabs>
    </w:pPr>
  </w:style>
  <w:style w:type="character" w:customStyle="1" w:styleId="FooterChar">
    <w:name w:val="Footer Char"/>
    <w:basedOn w:val="DefaultParagraphFont"/>
    <w:link w:val="Footer"/>
    <w:uiPriority w:val="99"/>
    <w:rsid w:val="009C5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The Uncertainty Navigator - Challenge Brief</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Uncertainty Navigator - Challenge Brief</dc:title>
  <dc:creator>Intraprise</dc:creator>
  <dc:description>Hackathon challenge brief</dc:description>
  <cp:lastModifiedBy>Katrin Schwab</cp:lastModifiedBy>
  <cp:revision>2</cp:revision>
  <dcterms:created xsi:type="dcterms:W3CDTF">2026-05-23T11:04:00Z</dcterms:created>
  <dcterms:modified xsi:type="dcterms:W3CDTF">2026-05-23T11:04:00Z</dcterms:modified>
</cp:coreProperties>
</file>