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A4A1" w14:textId="77777777" w:rsidR="00EF592D" w:rsidRDefault="0075409E">
      <w:pPr>
        <w:spacing w:after="60"/>
      </w:pPr>
      <w:r>
        <w:rPr>
          <w:b/>
          <w:bCs/>
          <w:color w:val="1F3A5F"/>
          <w:sz w:val="48"/>
          <w:szCs w:val="48"/>
        </w:rPr>
        <w:t>Research Primer</w:t>
      </w:r>
    </w:p>
    <w:p w14:paraId="39A99871" w14:textId="77777777" w:rsidR="00EF592D" w:rsidRDefault="0075409E">
      <w:pPr>
        <w:spacing w:after="200"/>
      </w:pPr>
      <w:r>
        <w:rPr>
          <w:i/>
          <w:iCs/>
          <w:color w:val="5A5A5A"/>
          <w:sz w:val="22"/>
          <w:szCs w:val="22"/>
        </w:rPr>
        <w:t>The minimum body of research you need to design the Uncertainty Navigator.</w:t>
      </w:r>
    </w:p>
    <w:p w14:paraId="6A28EE9D" w14:textId="77777777" w:rsidR="00EF592D" w:rsidRDefault="0075409E">
      <w:pPr>
        <w:pStyle w:val="Heading2"/>
      </w:pPr>
      <w:r>
        <w:t>1.  The foundational paper</w:t>
      </w:r>
    </w:p>
    <w:p w14:paraId="3F56E017" w14:textId="77777777" w:rsidR="00EF592D" w:rsidRDefault="0075409E">
      <w:pPr>
        <w:pStyle w:val="Heading3"/>
      </w:pPr>
      <w:proofErr w:type="spellStart"/>
      <w:r>
        <w:t>Sarasvathy</w:t>
      </w:r>
      <w:proofErr w:type="spellEnd"/>
      <w:r>
        <w:t xml:space="preserve"> (2001) on effectuation</w:t>
      </w:r>
    </w:p>
    <w:p w14:paraId="02DFB125" w14:textId="77777777" w:rsidR="00EF592D" w:rsidRDefault="0075409E">
      <w:pPr>
        <w:spacing w:before="40" w:after="160" w:line="260" w:lineRule="auto"/>
      </w:pPr>
      <w:r>
        <w:rPr>
          <w:i/>
          <w:iCs/>
          <w:color w:val="707070"/>
          <w:sz w:val="18"/>
          <w:szCs w:val="18"/>
        </w:rPr>
        <w:t>Sarasvathy, S. D. (2001). Causation and effectuation: Toward a theoretical shift from economic inevitability to entrepreneurial contingency. Academy of Management Review, 26(2), 243-263.</w:t>
      </w:r>
    </w:p>
    <w:p w14:paraId="5A9B834D" w14:textId="77777777" w:rsidR="00EF592D" w:rsidRDefault="0075409E">
      <w:pPr>
        <w:spacing w:after="100" w:line="280" w:lineRule="auto"/>
      </w:pPr>
      <w:r>
        <w:rPr>
          <w:b/>
          <w:bCs/>
          <w:color w:val="1F3A5F"/>
        </w:rPr>
        <w:t xml:space="preserve">What she did. </w:t>
      </w:r>
      <w:r>
        <w:rPr>
          <w:color w:val="1A1A1A"/>
        </w:rPr>
        <w:t>Saras Sarasvathy studied 27 expert entrepreneurs, each of whom had founded multiple companies, taken at least one public, and operated for ten or more years. She gave them the same hypothetical venture problem and asked them to think aloud as they worked out what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6DAD538D" w14:textId="77777777">
        <w:tblPrEx>
          <w:tblCellMar>
            <w:top w:w="0" w:type="dxa"/>
            <w:bottom w:w="0" w:type="dxa"/>
          </w:tblCellMar>
        </w:tblPrEx>
        <w:tc>
          <w:tcPr>
            <w:tcW w:w="9360" w:type="dxa"/>
            <w:tcBorders>
              <w:top w:val="single" w:sz="2" w:space="0" w:color="BBBBBB"/>
              <w:left w:val="single" w:sz="18" w:space="0" w:color="1F3A5F"/>
              <w:bottom w:val="single" w:sz="2" w:space="0" w:color="BBBBBB"/>
              <w:right w:val="single" w:sz="2" w:space="0" w:color="BBBBBB"/>
            </w:tcBorders>
            <w:shd w:val="clear" w:color="auto" w:fill="F1F3F6"/>
            <w:tcMar>
              <w:top w:w="160" w:type="dxa"/>
              <w:left w:w="240" w:type="dxa"/>
              <w:bottom w:w="160" w:type="dxa"/>
              <w:right w:w="220" w:type="dxa"/>
            </w:tcMar>
          </w:tcPr>
          <w:p w14:paraId="1B08F6EC" w14:textId="77777777" w:rsidR="00EF592D" w:rsidRDefault="0075409E">
            <w:pPr>
              <w:spacing w:after="80"/>
            </w:pPr>
            <w:r>
              <w:rPr>
                <w:b/>
                <w:bCs/>
                <w:color w:val="1F3A5F"/>
                <w:spacing w:val="40"/>
                <w:sz w:val="19"/>
                <w:szCs w:val="19"/>
              </w:rPr>
              <w:t>WHAT THEY FOUND</w:t>
            </w:r>
          </w:p>
          <w:p w14:paraId="41F56CF6" w14:textId="77777777" w:rsidR="00EF592D" w:rsidRDefault="0075409E">
            <w:pPr>
              <w:spacing w:after="100" w:line="280" w:lineRule="auto"/>
            </w:pPr>
            <w:r>
              <w:rPr>
                <w:color w:val="1A1A1A"/>
              </w:rPr>
              <w:t xml:space="preserve">The experts did not start from a goal and work backwards to the resources they would need. They started from the resources they already had (who they were, what they knew, who they knew) and worked forward toward whatever outcome those resources made possible. </w:t>
            </w:r>
            <w:proofErr w:type="spellStart"/>
            <w:r>
              <w:rPr>
                <w:color w:val="1A1A1A"/>
              </w:rPr>
              <w:t>Sarasvathy</w:t>
            </w:r>
            <w:proofErr w:type="spellEnd"/>
            <w:r>
              <w:rPr>
                <w:color w:val="1A1A1A"/>
              </w:rPr>
              <w:t xml:space="preserve"> called this approach </w:t>
            </w:r>
            <w:r>
              <w:rPr>
                <w:b/>
                <w:bCs/>
                <w:color w:val="1F3A5F"/>
              </w:rPr>
              <w:t>effectuation</w:t>
            </w:r>
            <w:r>
              <w:rPr>
                <w:color w:val="1A1A1A"/>
              </w:rPr>
              <w:t xml:space="preserve">, in contrast to the </w:t>
            </w:r>
            <w:r>
              <w:rPr>
                <w:i/>
                <w:iCs/>
                <w:color w:val="1A1A1A"/>
              </w:rPr>
              <w:t>causation</w:t>
            </w:r>
            <w:r>
              <w:rPr>
                <w:color w:val="1A1A1A"/>
              </w:rPr>
              <w:t xml:space="preserve"> logic taught in most MBA programs.</w:t>
            </w:r>
          </w:p>
          <w:p w14:paraId="7F62002A" w14:textId="77777777" w:rsidR="00EF592D" w:rsidRDefault="0075409E">
            <w:pPr>
              <w:spacing w:line="280" w:lineRule="auto"/>
            </w:pPr>
            <w:r>
              <w:rPr>
                <w:color w:val="1A1A1A"/>
              </w:rPr>
              <w:t xml:space="preserve">Five principles came out of the study: </w:t>
            </w:r>
            <w:r>
              <w:rPr>
                <w:b/>
                <w:bCs/>
                <w:color w:val="1A1A1A"/>
              </w:rPr>
              <w:t>Bird in Hand</w:t>
            </w:r>
            <w:r>
              <w:rPr>
                <w:color w:val="1A1A1A"/>
              </w:rPr>
              <w:t xml:space="preserve"> (start with your means). </w:t>
            </w:r>
            <w:r>
              <w:rPr>
                <w:b/>
                <w:bCs/>
                <w:color w:val="1A1A1A"/>
              </w:rPr>
              <w:t>Affordable Loss</w:t>
            </w:r>
            <w:r>
              <w:rPr>
                <w:color w:val="1A1A1A"/>
              </w:rPr>
              <w:t xml:space="preserve"> (commit only what you can afford to lose, not what you expect to gain). </w:t>
            </w:r>
            <w:r>
              <w:rPr>
                <w:b/>
                <w:bCs/>
                <w:color w:val="1A1A1A"/>
              </w:rPr>
              <w:t>Crazy Quilt</w:t>
            </w:r>
            <w:r>
              <w:rPr>
                <w:color w:val="1A1A1A"/>
              </w:rPr>
              <w:t xml:space="preserve"> (build with partners who self-select in). </w:t>
            </w:r>
            <w:r>
              <w:rPr>
                <w:b/>
                <w:bCs/>
                <w:color w:val="1A1A1A"/>
              </w:rPr>
              <w:t>Lemonade</w:t>
            </w:r>
            <w:r>
              <w:rPr>
                <w:color w:val="1A1A1A"/>
              </w:rPr>
              <w:t xml:space="preserve"> (treat surprises as input, not failure). </w:t>
            </w:r>
            <w:r>
              <w:rPr>
                <w:b/>
                <w:bCs/>
                <w:color w:val="1A1A1A"/>
              </w:rPr>
              <w:t>Pilot in the Plane</w:t>
            </w:r>
            <w:r>
              <w:rPr>
                <w:color w:val="1A1A1A"/>
              </w:rPr>
              <w:t xml:space="preserve"> (focus on what you can control, not what you can predict).</w:t>
            </w:r>
          </w:p>
        </w:tc>
      </w:tr>
    </w:tbl>
    <w:p w14:paraId="2D6B31A6" w14:textId="77777777" w:rsidR="00EF592D" w:rsidRDefault="00EF592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5B58F9FA" w14:textId="77777777">
        <w:tblPrEx>
          <w:tblCellMar>
            <w:top w:w="0" w:type="dxa"/>
            <w:bottom w:w="0" w:type="dxa"/>
          </w:tblCellMar>
        </w:tblPrEx>
        <w:tc>
          <w:tcPr>
            <w:tcW w:w="9360" w:type="dxa"/>
            <w:tcBorders>
              <w:top w:val="single" w:sz="2" w:space="0" w:color="BBBBBB"/>
              <w:left w:val="single" w:sz="18" w:space="0" w:color="AB1A50"/>
              <w:bottom w:val="single" w:sz="2" w:space="0" w:color="BBBBBB"/>
              <w:right w:val="single" w:sz="2" w:space="0" w:color="BBBBBB"/>
            </w:tcBorders>
            <w:shd w:val="clear" w:color="auto" w:fill="FAF3F0"/>
            <w:tcMar>
              <w:top w:w="160" w:type="dxa"/>
              <w:left w:w="240" w:type="dxa"/>
              <w:bottom w:w="160" w:type="dxa"/>
              <w:right w:w="220" w:type="dxa"/>
            </w:tcMar>
          </w:tcPr>
          <w:p w14:paraId="045C76AA" w14:textId="77777777" w:rsidR="00EF592D" w:rsidRDefault="0075409E">
            <w:pPr>
              <w:spacing w:after="80"/>
            </w:pPr>
            <w:r>
              <w:rPr>
                <w:b/>
                <w:bCs/>
                <w:color w:val="AB1A50"/>
                <w:spacing w:val="40"/>
                <w:sz w:val="19"/>
                <w:szCs w:val="19"/>
              </w:rPr>
              <w:t>WHY IT MATTERS FOR YOUR BUILD</w:t>
            </w:r>
          </w:p>
          <w:p w14:paraId="6A410490" w14:textId="77777777" w:rsidR="00EF592D" w:rsidRDefault="0075409E">
            <w:pPr>
              <w:spacing w:line="280" w:lineRule="auto"/>
            </w:pPr>
            <w:r>
              <w:rPr>
                <w:color w:val="1A1A1A"/>
              </w:rPr>
              <w:t>Affordable Loss is the principle the Uncertainty Navigator operationalizes directly. The other four are the surrounding context. A team using your tool well will end up doing all five, but Affordable Loss is the lever you are pulling on.</w:t>
            </w:r>
          </w:p>
        </w:tc>
      </w:tr>
    </w:tbl>
    <w:p w14:paraId="7F7ADAB6" w14:textId="77777777" w:rsidR="00EF592D" w:rsidRDefault="0075409E">
      <w:pPr>
        <w:pStyle w:val="Heading2"/>
      </w:pPr>
      <w:r>
        <w:t>2.  The behavioral economics paper</w:t>
      </w:r>
    </w:p>
    <w:p w14:paraId="272571BA" w14:textId="77777777" w:rsidR="00EF592D" w:rsidRDefault="0075409E">
      <w:pPr>
        <w:pStyle w:val="Heading3"/>
      </w:pPr>
      <w:r>
        <w:t xml:space="preserve">Dew, </w:t>
      </w:r>
      <w:proofErr w:type="spellStart"/>
      <w:r>
        <w:t>Sarasvathy</w:t>
      </w:r>
      <w:proofErr w:type="spellEnd"/>
      <w:r>
        <w:t>, Read &amp; Wiltbank (2009) on Affordable Loss</w:t>
      </w:r>
    </w:p>
    <w:p w14:paraId="6288BEEA" w14:textId="77777777" w:rsidR="00EF592D" w:rsidRDefault="0075409E">
      <w:pPr>
        <w:spacing w:before="40" w:after="160" w:line="260" w:lineRule="auto"/>
      </w:pPr>
      <w:r>
        <w:rPr>
          <w:i/>
          <w:iCs/>
          <w:color w:val="707070"/>
          <w:sz w:val="18"/>
          <w:szCs w:val="18"/>
        </w:rPr>
        <w:t xml:space="preserve">Dew, N., </w:t>
      </w:r>
      <w:proofErr w:type="spellStart"/>
      <w:r>
        <w:rPr>
          <w:i/>
          <w:iCs/>
          <w:color w:val="707070"/>
          <w:sz w:val="18"/>
          <w:szCs w:val="18"/>
        </w:rPr>
        <w:t>Sarasvathy</w:t>
      </w:r>
      <w:proofErr w:type="spellEnd"/>
      <w:r>
        <w:rPr>
          <w:i/>
          <w:iCs/>
          <w:color w:val="707070"/>
          <w:sz w:val="18"/>
          <w:szCs w:val="18"/>
        </w:rPr>
        <w:t>, S. D., Read, S., &amp; Wiltbank, R. (2009). Affordable loss: behavioral economic aspects of the plunge decision. Strategic Entrepreneurship Journal, 3(2), 105-126.</w:t>
      </w:r>
    </w:p>
    <w:p w14:paraId="331108C0" w14:textId="77777777" w:rsidR="00EF592D" w:rsidRDefault="0075409E">
      <w:pPr>
        <w:spacing w:after="100" w:line="280" w:lineRule="auto"/>
      </w:pPr>
      <w:r>
        <w:rPr>
          <w:b/>
          <w:bCs/>
          <w:color w:val="1F3A5F"/>
        </w:rPr>
        <w:t xml:space="preserve">What they did. </w:t>
      </w:r>
      <w:r>
        <w:rPr>
          <w:color w:val="1A1A1A"/>
        </w:rPr>
        <w:t xml:space="preserve">They took the Affordable Loss principle out of the wider effectuation framework and looked at it through behavioral economics: specifically, how people </w:t>
      </w:r>
      <w:proofErr w:type="gramStart"/>
      <w:r>
        <w:rPr>
          <w:color w:val="1A1A1A"/>
        </w:rPr>
        <w:t>actually do</w:t>
      </w:r>
      <w:proofErr w:type="gramEnd"/>
      <w:r>
        <w:rPr>
          <w:color w:val="1A1A1A"/>
        </w:rPr>
        <w:t xml:space="preserve"> mental accounting when they face a decision they cannot reverse.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57C34EB5" w14:textId="77777777">
        <w:tblPrEx>
          <w:tblCellMar>
            <w:top w:w="0" w:type="dxa"/>
            <w:bottom w:w="0" w:type="dxa"/>
          </w:tblCellMar>
        </w:tblPrEx>
        <w:tc>
          <w:tcPr>
            <w:tcW w:w="9360" w:type="dxa"/>
            <w:tcBorders>
              <w:top w:val="single" w:sz="2" w:space="0" w:color="BBBBBB"/>
              <w:left w:val="single" w:sz="18" w:space="0" w:color="1F3A5F"/>
              <w:bottom w:val="single" w:sz="2" w:space="0" w:color="BBBBBB"/>
              <w:right w:val="single" w:sz="2" w:space="0" w:color="BBBBBB"/>
            </w:tcBorders>
            <w:shd w:val="clear" w:color="auto" w:fill="F1F3F6"/>
            <w:tcMar>
              <w:top w:w="160" w:type="dxa"/>
              <w:left w:w="240" w:type="dxa"/>
              <w:bottom w:w="160" w:type="dxa"/>
              <w:right w:w="220" w:type="dxa"/>
            </w:tcMar>
          </w:tcPr>
          <w:p w14:paraId="2F897D40" w14:textId="77777777" w:rsidR="00EF592D" w:rsidRDefault="0075409E">
            <w:pPr>
              <w:spacing w:after="80"/>
            </w:pPr>
            <w:r>
              <w:rPr>
                <w:b/>
                <w:bCs/>
                <w:color w:val="1F3A5F"/>
                <w:spacing w:val="40"/>
                <w:sz w:val="19"/>
                <w:szCs w:val="19"/>
              </w:rPr>
              <w:t>WHAT THEY FOUND</w:t>
            </w:r>
          </w:p>
          <w:p w14:paraId="4896CF60" w14:textId="77777777" w:rsidR="00EF592D" w:rsidRDefault="0075409E">
            <w:pPr>
              <w:spacing w:after="80" w:line="280" w:lineRule="auto"/>
            </w:pPr>
            <w:r>
              <w:rPr>
                <w:b/>
                <w:bCs/>
                <w:color w:val="1A1A1A"/>
              </w:rPr>
              <w:t>Three things worth knowing.</w:t>
            </w:r>
          </w:p>
          <w:p w14:paraId="5C9E6885" w14:textId="77777777" w:rsidR="00EF592D" w:rsidRDefault="0075409E">
            <w:pPr>
              <w:spacing w:after="60" w:line="280" w:lineRule="auto"/>
            </w:pPr>
            <w:r>
              <w:rPr>
                <w:b/>
                <w:bCs/>
                <w:color w:val="1F3A5F"/>
              </w:rPr>
              <w:t xml:space="preserve">1.  </w:t>
            </w:r>
            <w:r>
              <w:rPr>
                <w:color w:val="1A1A1A"/>
              </w:rPr>
              <w:t xml:space="preserve">Affordable Loss is fundamentally an act of </w:t>
            </w:r>
            <w:r>
              <w:rPr>
                <w:b/>
                <w:bCs/>
                <w:color w:val="1A1A1A"/>
              </w:rPr>
              <w:t>constraint setting</w:t>
            </w:r>
            <w:r>
              <w:rPr>
                <w:color w:val="1A1A1A"/>
              </w:rPr>
              <w:t xml:space="preserve">, not </w:t>
            </w:r>
            <w:r>
              <w:rPr>
                <w:b/>
                <w:bCs/>
                <w:color w:val="1A1A1A"/>
              </w:rPr>
              <w:t>return calculation</w:t>
            </w:r>
            <w:r>
              <w:rPr>
                <w:color w:val="1A1A1A"/>
              </w:rPr>
              <w:t xml:space="preserve">. Entrepreneurs </w:t>
            </w:r>
            <w:proofErr w:type="gramStart"/>
            <w:r>
              <w:rPr>
                <w:color w:val="1A1A1A"/>
              </w:rPr>
              <w:t>ask</w:t>
            </w:r>
            <w:proofErr w:type="gramEnd"/>
            <w:r>
              <w:rPr>
                <w:color w:val="1A1A1A"/>
              </w:rPr>
              <w:t xml:space="preserve"> “what is the worst case here, and can I live with it?” They do not ask “what is the expected value of the bet?”</w:t>
            </w:r>
          </w:p>
          <w:p w14:paraId="441C9D91" w14:textId="77777777" w:rsidR="00EF592D" w:rsidRDefault="0075409E">
            <w:pPr>
              <w:spacing w:after="60" w:line="280" w:lineRule="auto"/>
            </w:pPr>
            <w:r>
              <w:rPr>
                <w:b/>
                <w:bCs/>
                <w:color w:val="1F3A5F"/>
              </w:rPr>
              <w:t xml:space="preserve">2.  </w:t>
            </w:r>
            <w:r>
              <w:rPr>
                <w:color w:val="1A1A1A"/>
              </w:rPr>
              <w:t>Loss is not just money. The paper documents entrepreneurs trading time, knowledge, unused physical resources, and reputation as substitutes for capital. Anything the entrepreneur can lose is on the table.</w:t>
            </w:r>
          </w:p>
          <w:p w14:paraId="18D5A90E" w14:textId="77777777" w:rsidR="00EF592D" w:rsidRDefault="0075409E">
            <w:pPr>
              <w:spacing w:line="280" w:lineRule="auto"/>
            </w:pPr>
            <w:r>
              <w:rPr>
                <w:b/>
                <w:bCs/>
                <w:color w:val="1F3A5F"/>
              </w:rPr>
              <w:lastRenderedPageBreak/>
              <w:t xml:space="preserve">3.  </w:t>
            </w:r>
            <w:r>
              <w:rPr>
                <w:color w:val="1A1A1A"/>
              </w:rPr>
              <w:t xml:space="preserve">People investing under Affordable Loss logic deliberately structure </w:t>
            </w:r>
            <w:proofErr w:type="gramStart"/>
            <w:r>
              <w:rPr>
                <w:color w:val="1A1A1A"/>
              </w:rPr>
              <w:t>commitments</w:t>
            </w:r>
            <w:proofErr w:type="gramEnd"/>
            <w:r>
              <w:rPr>
                <w:color w:val="1A1A1A"/>
              </w:rPr>
              <w:t xml:space="preserve"> so losses stay contained: staged investments, loans with flexible repayment terms, partnerships that spread the downside.</w:t>
            </w:r>
          </w:p>
        </w:tc>
      </w:tr>
    </w:tbl>
    <w:p w14:paraId="7AAF60AC" w14:textId="77777777" w:rsidR="00EF592D" w:rsidRDefault="00EF592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5C07F7CC" w14:textId="77777777">
        <w:tblPrEx>
          <w:tblCellMar>
            <w:top w:w="0" w:type="dxa"/>
            <w:bottom w:w="0" w:type="dxa"/>
          </w:tblCellMar>
        </w:tblPrEx>
        <w:tc>
          <w:tcPr>
            <w:tcW w:w="9360" w:type="dxa"/>
            <w:tcBorders>
              <w:top w:val="single" w:sz="2" w:space="0" w:color="BBBBBB"/>
              <w:left w:val="single" w:sz="18" w:space="0" w:color="AB1A50"/>
              <w:bottom w:val="single" w:sz="2" w:space="0" w:color="BBBBBB"/>
              <w:right w:val="single" w:sz="2" w:space="0" w:color="BBBBBB"/>
            </w:tcBorders>
            <w:shd w:val="clear" w:color="auto" w:fill="FAF3F0"/>
            <w:tcMar>
              <w:top w:w="160" w:type="dxa"/>
              <w:left w:w="240" w:type="dxa"/>
              <w:bottom w:w="160" w:type="dxa"/>
              <w:right w:w="220" w:type="dxa"/>
            </w:tcMar>
          </w:tcPr>
          <w:p w14:paraId="351CAE68" w14:textId="77777777" w:rsidR="00EF592D" w:rsidRDefault="0075409E">
            <w:pPr>
              <w:spacing w:after="80"/>
            </w:pPr>
            <w:r>
              <w:rPr>
                <w:b/>
                <w:bCs/>
                <w:color w:val="AB1A50"/>
                <w:spacing w:val="40"/>
                <w:sz w:val="19"/>
                <w:szCs w:val="19"/>
              </w:rPr>
              <w:t>WHY IT MATTERS FOR YOUR BUILD</w:t>
            </w:r>
          </w:p>
          <w:p w14:paraId="285B924A" w14:textId="77777777" w:rsidR="00EF592D" w:rsidRDefault="0075409E">
            <w:pPr>
              <w:spacing w:line="280" w:lineRule="auto"/>
            </w:pPr>
            <w:r>
              <w:rPr>
                <w:color w:val="1A1A1A"/>
              </w:rPr>
              <w:t>This paper is the closest thing in the literature to a specification for what your tool should do. The five loss dimensions in the challenge brief (time, money, reputation, relationships, reversibility) come directly from this work. The paper also gives you concrete methods and propositions for how to structure the Affordable Loss conversation. Read it twice.</w:t>
            </w:r>
          </w:p>
        </w:tc>
      </w:tr>
    </w:tbl>
    <w:p w14:paraId="38BA41EC" w14:textId="77777777" w:rsidR="00EF592D" w:rsidRDefault="0075409E">
      <w:pPr>
        <w:pStyle w:val="Heading2"/>
      </w:pPr>
      <w:r>
        <w:t>3.  The empirical evidence</w:t>
      </w:r>
    </w:p>
    <w:p w14:paraId="5C7FDB64" w14:textId="77777777" w:rsidR="00EF592D" w:rsidRDefault="0075409E">
      <w:pPr>
        <w:pStyle w:val="Heading3"/>
      </w:pPr>
      <w:r>
        <w:t xml:space="preserve">Dew, Read, </w:t>
      </w:r>
      <w:proofErr w:type="spellStart"/>
      <w:r>
        <w:t>Sarasvathy</w:t>
      </w:r>
      <w:proofErr w:type="spellEnd"/>
      <w:r>
        <w:t xml:space="preserve"> &amp; Wiltbank (2009) on experts vs. novices</w:t>
      </w:r>
    </w:p>
    <w:p w14:paraId="3010714F" w14:textId="77777777" w:rsidR="00EF592D" w:rsidRDefault="0075409E">
      <w:pPr>
        <w:spacing w:before="40" w:after="160" w:line="260" w:lineRule="auto"/>
      </w:pPr>
      <w:r>
        <w:rPr>
          <w:i/>
          <w:iCs/>
          <w:color w:val="707070"/>
          <w:sz w:val="18"/>
          <w:szCs w:val="18"/>
        </w:rPr>
        <w:t xml:space="preserve">Dew, N., Read, S., </w:t>
      </w:r>
      <w:proofErr w:type="spellStart"/>
      <w:r>
        <w:rPr>
          <w:i/>
          <w:iCs/>
          <w:color w:val="707070"/>
          <w:sz w:val="18"/>
          <w:szCs w:val="18"/>
        </w:rPr>
        <w:t>Sarasvathy</w:t>
      </w:r>
      <w:proofErr w:type="spellEnd"/>
      <w:r>
        <w:rPr>
          <w:i/>
          <w:iCs/>
          <w:color w:val="707070"/>
          <w:sz w:val="18"/>
          <w:szCs w:val="18"/>
        </w:rPr>
        <w:t>, S. D., &amp; Wiltbank, R. (2009). Effectual versus predictive logics in entrepreneurial decision-making: Differences between experts and novices. Journal of Business Venturing, 24(4), 287-309.</w:t>
      </w:r>
    </w:p>
    <w:p w14:paraId="01D79F59" w14:textId="77777777" w:rsidR="00EF592D" w:rsidRDefault="0075409E">
      <w:pPr>
        <w:spacing w:after="100" w:line="280" w:lineRule="auto"/>
      </w:pPr>
      <w:r>
        <w:rPr>
          <w:b/>
          <w:bCs/>
          <w:color w:val="1F3A5F"/>
        </w:rPr>
        <w:t xml:space="preserve">What they did. </w:t>
      </w:r>
      <w:r>
        <w:rPr>
          <w:color w:val="1A1A1A"/>
        </w:rPr>
        <w:t>A controlled comparison: 27 expert entrepreneurs (the same group from the 2001 paper) and 37 MBA students working through identical venture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6B139495" w14:textId="77777777">
        <w:tblPrEx>
          <w:tblCellMar>
            <w:top w:w="0" w:type="dxa"/>
            <w:bottom w:w="0" w:type="dxa"/>
          </w:tblCellMar>
        </w:tblPrEx>
        <w:tc>
          <w:tcPr>
            <w:tcW w:w="9360" w:type="dxa"/>
            <w:tcBorders>
              <w:top w:val="single" w:sz="2" w:space="0" w:color="BBBBBB"/>
              <w:left w:val="single" w:sz="18" w:space="0" w:color="1F3A5F"/>
              <w:bottom w:val="single" w:sz="2" w:space="0" w:color="BBBBBB"/>
              <w:right w:val="single" w:sz="2" w:space="0" w:color="BBBBBB"/>
            </w:tcBorders>
            <w:shd w:val="clear" w:color="auto" w:fill="F1F3F6"/>
            <w:tcMar>
              <w:top w:w="160" w:type="dxa"/>
              <w:left w:w="240" w:type="dxa"/>
              <w:bottom w:w="160" w:type="dxa"/>
              <w:right w:w="220" w:type="dxa"/>
            </w:tcMar>
          </w:tcPr>
          <w:p w14:paraId="4808BCEC" w14:textId="77777777" w:rsidR="00EF592D" w:rsidRDefault="0075409E">
            <w:pPr>
              <w:spacing w:after="80"/>
            </w:pPr>
            <w:r>
              <w:rPr>
                <w:b/>
                <w:bCs/>
                <w:color w:val="1F3A5F"/>
                <w:spacing w:val="40"/>
                <w:sz w:val="19"/>
                <w:szCs w:val="19"/>
              </w:rPr>
              <w:t>WHAT THEY FOUND</w:t>
            </w:r>
          </w:p>
          <w:p w14:paraId="12448E4B" w14:textId="77777777" w:rsidR="00EF592D" w:rsidRDefault="0075409E">
            <w:pPr>
              <w:spacing w:line="280" w:lineRule="auto"/>
            </w:pPr>
            <w:r>
              <w:rPr>
                <w:color w:val="1A1A1A"/>
              </w:rPr>
              <w:t xml:space="preserve">Experts used effectual logic </w:t>
            </w:r>
            <w:r>
              <w:rPr>
                <w:b/>
                <w:bCs/>
                <w:color w:val="1F3A5F"/>
              </w:rPr>
              <w:t>75% of the time on average</w:t>
            </w:r>
            <w:r>
              <w:rPr>
                <w:color w:val="1A1A1A"/>
              </w:rPr>
              <w:t xml:space="preserve">. Novices used causal (predictive ROI) logic </w:t>
            </w:r>
            <w:r>
              <w:rPr>
                <w:b/>
                <w:bCs/>
                <w:color w:val="1F3A5F"/>
              </w:rPr>
              <w:t>80% of the time</w:t>
            </w:r>
            <w:r>
              <w:rPr>
                <w:color w:val="1A1A1A"/>
              </w:rPr>
              <w:t xml:space="preserve">. On the specific question of how to handle uncertainty, experts and novices were thinking in </w:t>
            </w:r>
            <w:r>
              <w:rPr>
                <w:b/>
                <w:bCs/>
                <w:color w:val="1A1A1A"/>
              </w:rPr>
              <w:t>categorically different modes</w:t>
            </w:r>
            <w:r>
              <w:rPr>
                <w:color w:val="1A1A1A"/>
              </w:rPr>
              <w:t>, not just doing the same thing better or worse.</w:t>
            </w:r>
          </w:p>
        </w:tc>
      </w:tr>
    </w:tbl>
    <w:p w14:paraId="693800F4" w14:textId="77777777" w:rsidR="00EF592D" w:rsidRDefault="00EF592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60EE3441" w14:textId="77777777">
        <w:tblPrEx>
          <w:tblCellMar>
            <w:top w:w="0" w:type="dxa"/>
            <w:bottom w:w="0" w:type="dxa"/>
          </w:tblCellMar>
        </w:tblPrEx>
        <w:tc>
          <w:tcPr>
            <w:tcW w:w="9360" w:type="dxa"/>
            <w:tcBorders>
              <w:top w:val="single" w:sz="2" w:space="0" w:color="BBBBBB"/>
              <w:left w:val="single" w:sz="18" w:space="0" w:color="AB1A50"/>
              <w:bottom w:val="single" w:sz="2" w:space="0" w:color="BBBBBB"/>
              <w:right w:val="single" w:sz="2" w:space="0" w:color="BBBBBB"/>
            </w:tcBorders>
            <w:shd w:val="clear" w:color="auto" w:fill="FAF3F0"/>
            <w:tcMar>
              <w:top w:w="160" w:type="dxa"/>
              <w:left w:w="240" w:type="dxa"/>
              <w:bottom w:w="160" w:type="dxa"/>
              <w:right w:w="220" w:type="dxa"/>
            </w:tcMar>
          </w:tcPr>
          <w:p w14:paraId="24896EFA" w14:textId="77777777" w:rsidR="00EF592D" w:rsidRDefault="0075409E">
            <w:pPr>
              <w:spacing w:after="80"/>
            </w:pPr>
            <w:r>
              <w:rPr>
                <w:b/>
                <w:bCs/>
                <w:color w:val="AB1A50"/>
                <w:spacing w:val="40"/>
                <w:sz w:val="19"/>
                <w:szCs w:val="19"/>
              </w:rPr>
              <w:t>WHY IT MATTERS FOR YOUR BUILD</w:t>
            </w:r>
          </w:p>
          <w:p w14:paraId="47733A99" w14:textId="77777777" w:rsidR="00EF592D" w:rsidRDefault="0075409E">
            <w:pPr>
              <w:spacing w:after="80" w:line="280" w:lineRule="auto"/>
            </w:pPr>
            <w:r>
              <w:rPr>
                <w:color w:val="1A1A1A"/>
              </w:rPr>
              <w:t>This is the empirical backbone of the entire challenge. It shows that effectuation is not a philosophy or a style preference: it is a measurable, learnable expertise, and there is a large gap between how experts and non-experts handle uncertainty.</w:t>
            </w:r>
          </w:p>
          <w:p w14:paraId="2A9BC7E4" w14:textId="77777777" w:rsidR="00EF592D" w:rsidRDefault="0075409E">
            <w:pPr>
              <w:spacing w:after="80" w:line="280" w:lineRule="auto"/>
            </w:pPr>
            <w:r>
              <w:rPr>
                <w:color w:val="1A1A1A"/>
              </w:rPr>
              <w:t>Most corporate teams are novices in this specific sense. They default to predictive logic 80% of the time, which is exactly the trap that produces the 95% AI pilot failure rate.</w:t>
            </w:r>
          </w:p>
          <w:p w14:paraId="3550342B" w14:textId="77777777" w:rsidR="00EF592D" w:rsidRDefault="0075409E">
            <w:pPr>
              <w:spacing w:line="280" w:lineRule="auto"/>
            </w:pPr>
            <w:r>
              <w:rPr>
                <w:i/>
                <w:iCs/>
                <w:color w:val="1A1A1A"/>
              </w:rPr>
              <w:t xml:space="preserve">Your Uncertainty Navigator is trying to give a non-expert team access to the decision logic an expert would use by default. Whether software can </w:t>
            </w:r>
            <w:proofErr w:type="gramStart"/>
            <w:r>
              <w:rPr>
                <w:i/>
                <w:iCs/>
                <w:color w:val="1A1A1A"/>
              </w:rPr>
              <w:t>actually do</w:t>
            </w:r>
            <w:proofErr w:type="gramEnd"/>
            <w:r>
              <w:rPr>
                <w:i/>
                <w:iCs/>
                <w:color w:val="1A1A1A"/>
              </w:rPr>
              <w:t xml:space="preserve"> that is an open question. You are not asked to solve it. You are asked to take a swing at it.</w:t>
            </w:r>
          </w:p>
        </w:tc>
      </w:tr>
    </w:tbl>
    <w:p w14:paraId="2D578B43" w14:textId="77777777" w:rsidR="00EF592D" w:rsidRDefault="0075409E">
      <w:pPr>
        <w:pStyle w:val="Heading2"/>
      </w:pPr>
      <w:r>
        <w:t>4.  The design problem</w:t>
      </w:r>
    </w:p>
    <w:p w14:paraId="12866787" w14:textId="77777777" w:rsidR="00EF592D" w:rsidRDefault="0075409E">
      <w:pPr>
        <w:pStyle w:val="Heading3"/>
      </w:pPr>
      <w:r>
        <w:t>Kahneman &amp; Tversky (1979) on prospect theory</w:t>
      </w:r>
    </w:p>
    <w:p w14:paraId="493E65E2" w14:textId="77777777" w:rsidR="00EF592D" w:rsidRDefault="0075409E">
      <w:pPr>
        <w:spacing w:before="40" w:after="160" w:line="260" w:lineRule="auto"/>
      </w:pPr>
      <w:r>
        <w:rPr>
          <w:i/>
          <w:iCs/>
          <w:color w:val="707070"/>
          <w:sz w:val="18"/>
          <w:szCs w:val="18"/>
        </w:rPr>
        <w:t xml:space="preserve">Kahneman, D., &amp; Tversky, A. (1979). Prospect theory: An analysis of decision under risk. </w:t>
      </w:r>
      <w:proofErr w:type="spellStart"/>
      <w:r>
        <w:rPr>
          <w:i/>
          <w:iCs/>
          <w:color w:val="707070"/>
          <w:sz w:val="18"/>
          <w:szCs w:val="18"/>
        </w:rPr>
        <w:t>Econometrica</w:t>
      </w:r>
      <w:proofErr w:type="spellEnd"/>
      <w:r>
        <w:rPr>
          <w:i/>
          <w:iCs/>
          <w:color w:val="707070"/>
          <w:sz w:val="18"/>
          <w:szCs w:val="18"/>
        </w:rPr>
        <w:t>, 47(2), 263-292.   /   2002 Nobel Prize in Economics.</w:t>
      </w:r>
    </w:p>
    <w:p w14:paraId="79D75FA5" w14:textId="77777777" w:rsidR="00EF592D" w:rsidRDefault="0075409E">
      <w:pPr>
        <w:spacing w:after="100" w:line="280" w:lineRule="auto"/>
      </w:pPr>
      <w:r>
        <w:rPr>
          <w:b/>
          <w:bCs/>
          <w:color w:val="1F3A5F"/>
        </w:rPr>
        <w:t xml:space="preserve">What they did. </w:t>
      </w:r>
      <w:r>
        <w:rPr>
          <w:color w:val="1A1A1A"/>
        </w:rPr>
        <w:t>A series of choice experiments offering people the same expected-value bet, framed once as a potential gain and once as a potential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330AB72A" w14:textId="77777777">
        <w:tblPrEx>
          <w:tblCellMar>
            <w:top w:w="0" w:type="dxa"/>
            <w:bottom w:w="0" w:type="dxa"/>
          </w:tblCellMar>
        </w:tblPrEx>
        <w:tc>
          <w:tcPr>
            <w:tcW w:w="9360" w:type="dxa"/>
            <w:tcBorders>
              <w:top w:val="single" w:sz="2" w:space="0" w:color="BBBBBB"/>
              <w:left w:val="single" w:sz="18" w:space="0" w:color="1F3A5F"/>
              <w:bottom w:val="single" w:sz="2" w:space="0" w:color="BBBBBB"/>
              <w:right w:val="single" w:sz="2" w:space="0" w:color="BBBBBB"/>
            </w:tcBorders>
            <w:shd w:val="clear" w:color="auto" w:fill="F1F3F6"/>
            <w:tcMar>
              <w:top w:w="160" w:type="dxa"/>
              <w:left w:w="240" w:type="dxa"/>
              <w:bottom w:w="160" w:type="dxa"/>
              <w:right w:w="220" w:type="dxa"/>
            </w:tcMar>
          </w:tcPr>
          <w:p w14:paraId="567D4742" w14:textId="77777777" w:rsidR="00EF592D" w:rsidRDefault="0075409E">
            <w:pPr>
              <w:spacing w:after="80"/>
            </w:pPr>
            <w:r>
              <w:rPr>
                <w:b/>
                <w:bCs/>
                <w:color w:val="1F3A5F"/>
                <w:spacing w:val="40"/>
                <w:sz w:val="19"/>
                <w:szCs w:val="19"/>
              </w:rPr>
              <w:t>WHAT THEY FOUND</w:t>
            </w:r>
          </w:p>
          <w:p w14:paraId="1F2394A8" w14:textId="77777777" w:rsidR="00EF592D" w:rsidRDefault="0075409E">
            <w:pPr>
              <w:spacing w:line="280" w:lineRule="auto"/>
            </w:pPr>
            <w:r>
              <w:rPr>
                <w:color w:val="1A1A1A"/>
              </w:rPr>
              <w:lastRenderedPageBreak/>
              <w:t xml:space="preserve">People do not weigh gains and losses symmetrically. </w:t>
            </w:r>
            <w:r>
              <w:rPr>
                <w:b/>
                <w:bCs/>
                <w:color w:val="1F3A5F"/>
              </w:rPr>
              <w:t>Losses feel roughly twice as painful as equivalent gains feel pleasurable.</w:t>
            </w:r>
            <w:r>
              <w:rPr>
                <w:color w:val="1A1A1A"/>
              </w:rPr>
              <w:t xml:space="preserve"> This is loss aversion, and it is one of the most robust findings in behavioral economics.</w:t>
            </w:r>
          </w:p>
        </w:tc>
      </w:tr>
    </w:tbl>
    <w:p w14:paraId="3D21A0B2" w14:textId="77777777" w:rsidR="00EF592D" w:rsidRDefault="00EF592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92D" w14:paraId="143F9F67" w14:textId="77777777">
        <w:tblPrEx>
          <w:tblCellMar>
            <w:top w:w="0" w:type="dxa"/>
            <w:bottom w:w="0" w:type="dxa"/>
          </w:tblCellMar>
        </w:tblPrEx>
        <w:tc>
          <w:tcPr>
            <w:tcW w:w="9360" w:type="dxa"/>
            <w:tcBorders>
              <w:top w:val="single" w:sz="2" w:space="0" w:color="BBBBBB"/>
              <w:left w:val="single" w:sz="18" w:space="0" w:color="AB1A50"/>
              <w:bottom w:val="single" w:sz="2" w:space="0" w:color="BBBBBB"/>
              <w:right w:val="single" w:sz="2" w:space="0" w:color="BBBBBB"/>
            </w:tcBorders>
            <w:shd w:val="clear" w:color="auto" w:fill="FAF3F0"/>
            <w:tcMar>
              <w:top w:w="160" w:type="dxa"/>
              <w:left w:w="240" w:type="dxa"/>
              <w:bottom w:w="160" w:type="dxa"/>
              <w:right w:w="220" w:type="dxa"/>
            </w:tcMar>
          </w:tcPr>
          <w:p w14:paraId="4E1EAFB8" w14:textId="77777777" w:rsidR="00EF592D" w:rsidRDefault="0075409E">
            <w:pPr>
              <w:spacing w:after="80"/>
            </w:pPr>
            <w:r>
              <w:rPr>
                <w:b/>
                <w:bCs/>
                <w:color w:val="AB1A50"/>
                <w:spacing w:val="40"/>
                <w:sz w:val="19"/>
                <w:szCs w:val="19"/>
              </w:rPr>
              <w:t>WHY IT MATTERS FOR YOUR BUILD</w:t>
            </w:r>
          </w:p>
          <w:p w14:paraId="0A4804A2" w14:textId="77777777" w:rsidR="00EF592D" w:rsidRDefault="0075409E">
            <w:pPr>
              <w:spacing w:after="80" w:line="280" w:lineRule="auto"/>
            </w:pPr>
            <w:r>
              <w:rPr>
                <w:color w:val="1A1A1A"/>
              </w:rPr>
              <w:t>Your tool asks people to think clearly about what they could lose. But humans are not built to think clearly about loss. They systematically over-weight it. Two design implications:</w:t>
            </w:r>
          </w:p>
          <w:p w14:paraId="07E665B7" w14:textId="77777777" w:rsidR="00EF592D" w:rsidRDefault="0075409E">
            <w:pPr>
              <w:spacing w:after="80" w:line="280" w:lineRule="auto"/>
            </w:pPr>
            <w:r>
              <w:rPr>
                <w:color w:val="1A1A1A"/>
              </w:rPr>
              <w:t xml:space="preserve">Ask “what would you be willing to lose?” and people will under-commit. They will name a loss far smaller than what they could </w:t>
            </w:r>
            <w:proofErr w:type="gramStart"/>
            <w:r>
              <w:rPr>
                <w:color w:val="1A1A1A"/>
              </w:rPr>
              <w:t>actually absorb</w:t>
            </w:r>
            <w:proofErr w:type="gramEnd"/>
            <w:r>
              <w:rPr>
                <w:color w:val="1A1A1A"/>
              </w:rPr>
              <w:t>. The question itself triggers loss aversion.</w:t>
            </w:r>
          </w:p>
          <w:p w14:paraId="2CD8CD10" w14:textId="77777777" w:rsidR="00EF592D" w:rsidRDefault="0075409E">
            <w:pPr>
              <w:spacing w:line="280" w:lineRule="auto"/>
            </w:pPr>
            <w:r>
              <w:rPr>
                <w:color w:val="1A1A1A"/>
              </w:rPr>
              <w:t xml:space="preserve">The way you frame the question changes the answer. “What is the worst case here?” produces a different answer than “what could you absorb without changing your operating budget?” </w:t>
            </w:r>
            <w:r>
              <w:rPr>
                <w:b/>
                <w:bCs/>
                <w:color w:val="1A1A1A"/>
              </w:rPr>
              <w:t>Good tools manage this framing effect deliberately. Bad tools amplify it by accident.</w:t>
            </w:r>
            <w:r>
              <w:rPr>
                <w:color w:val="1A1A1A"/>
              </w:rPr>
              <w:t xml:space="preserve"> This is one of the more interesting design problems in the build.</w:t>
            </w:r>
          </w:p>
        </w:tc>
      </w:tr>
    </w:tbl>
    <w:p w14:paraId="67D2FBEC" w14:textId="77777777" w:rsidR="00EF592D" w:rsidRDefault="00EF592D">
      <w:pPr>
        <w:spacing w:after="200"/>
      </w:pPr>
    </w:p>
    <w:p w14:paraId="24176DD8" w14:textId="77777777" w:rsidR="00EF592D" w:rsidRDefault="0075409E">
      <w:pPr>
        <w:pStyle w:val="Heading3"/>
      </w:pPr>
      <w:r>
        <w:t>How these four papers fit together</w:t>
      </w:r>
    </w:p>
    <w:p w14:paraId="31DDBA88" w14:textId="77777777" w:rsidR="00EF592D" w:rsidRDefault="0075409E">
      <w:pPr>
        <w:spacing w:after="100" w:line="280" w:lineRule="auto"/>
      </w:pPr>
      <w:r>
        <w:rPr>
          <w:color w:val="1A1A1A"/>
        </w:rPr>
        <w:t>Paper 1 tells you that expert entrepreneurs use a different logic when prediction fails. Paper 2 specifies that logic: Affordable Loss, across five dimensions. Paper 3 shows the gap between expert and novice decision-making is large, measurable, and exactly where most corporate teams live. Paper 4 explains why teams cannot close the gap on their own, and what your tool has to do about it.</w:t>
      </w:r>
    </w:p>
    <w:p w14:paraId="2249BCB0" w14:textId="31FB5164" w:rsidR="00EF592D" w:rsidRDefault="0075409E">
      <w:pPr>
        <w:spacing w:after="100" w:line="280" w:lineRule="auto"/>
        <w:rPr>
          <w:i/>
          <w:iCs/>
          <w:color w:val="1A1A1A"/>
        </w:rPr>
      </w:pPr>
      <w:r>
        <w:rPr>
          <w:i/>
          <w:iCs/>
          <w:color w:val="1A1A1A"/>
        </w:rPr>
        <w:t>That is the case for the Uncertainty Navigator</w:t>
      </w:r>
      <w:r>
        <w:rPr>
          <w:i/>
          <w:iCs/>
          <w:color w:val="1A1A1A"/>
        </w:rPr>
        <w:t>.</w:t>
      </w:r>
    </w:p>
    <w:p w14:paraId="4C1F70CC" w14:textId="370514F4" w:rsidR="00170541" w:rsidRDefault="00170541">
      <w:pPr>
        <w:spacing w:after="100" w:line="280" w:lineRule="auto"/>
      </w:pPr>
      <w:r>
        <w:rPr>
          <w:i/>
          <w:iCs/>
          <w:color w:val="1A1A1A"/>
        </w:rPr>
        <w:t xml:space="preserve">Good luck! </w:t>
      </w:r>
    </w:p>
    <w:sectPr w:rsidR="0017054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D31F2" w14:textId="77777777" w:rsidR="0075409E" w:rsidRDefault="0075409E">
      <w:r>
        <w:separator/>
      </w:r>
    </w:p>
  </w:endnote>
  <w:endnote w:type="continuationSeparator" w:id="0">
    <w:p w14:paraId="3FF0E1ED" w14:textId="77777777" w:rsidR="0075409E" w:rsidRDefault="00754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6F4E" w14:textId="77777777" w:rsidR="00EF592D" w:rsidRDefault="0075409E">
    <w:pPr>
      <w:jc w:val="center"/>
    </w:pPr>
    <w:r>
      <w:rPr>
        <w:color w:val="5A5A5A"/>
        <w:sz w:val="16"/>
        <w:szCs w:val="16"/>
      </w:rPr>
      <w:t xml:space="preserve">Page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170541">
      <w:rPr>
        <w:b/>
        <w:bCs/>
        <w:noProof/>
        <w:color w:val="5A5A5A"/>
        <w:sz w:val="16"/>
        <w:szCs w:val="16"/>
      </w:rPr>
      <w:t>1</w:t>
    </w:r>
    <w:r>
      <w:rPr>
        <w:b/>
        <w:bCs/>
        <w:color w:val="5A5A5A"/>
        <w:sz w:val="16"/>
        <w:szCs w:val="16"/>
      </w:rPr>
      <w:fldChar w:fldCharType="end"/>
    </w:r>
    <w:r>
      <w:rPr>
        <w:color w:val="5A5A5A"/>
        <w:sz w:val="16"/>
        <w:szCs w:val="16"/>
      </w:rPr>
      <w:t xml:space="preserve"> / </w:t>
    </w:r>
    <w:r>
      <w:rPr>
        <w:color w:val="5A5A5A"/>
        <w:sz w:val="16"/>
        <w:szCs w:val="16"/>
      </w:rPr>
      <w:fldChar w:fldCharType="begin"/>
    </w:r>
    <w:r>
      <w:rPr>
        <w:color w:val="5A5A5A"/>
        <w:sz w:val="16"/>
        <w:szCs w:val="16"/>
      </w:rPr>
      <w:instrText>NUMPAGES</w:instrText>
    </w:r>
    <w:r>
      <w:rPr>
        <w:color w:val="5A5A5A"/>
        <w:sz w:val="16"/>
        <w:szCs w:val="16"/>
      </w:rPr>
      <w:fldChar w:fldCharType="separate"/>
    </w:r>
    <w:r w:rsidR="00170541">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E960" w14:textId="77777777" w:rsidR="0075409E" w:rsidRDefault="0075409E">
      <w:r>
        <w:separator/>
      </w:r>
    </w:p>
  </w:footnote>
  <w:footnote w:type="continuationSeparator" w:id="0">
    <w:p w14:paraId="4D0FD4B4" w14:textId="77777777" w:rsidR="0075409E" w:rsidRDefault="00754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22A4" w14:textId="77777777" w:rsidR="00EF592D" w:rsidRDefault="0075409E">
    <w:pPr>
      <w:pBdr>
        <w:bottom w:val="single" w:sz="4" w:space="6" w:color="1F3A5F"/>
      </w:pBdr>
      <w:tabs>
        <w:tab w:val="right" w:pos="9360"/>
      </w:tabs>
      <w:spacing w:after="80"/>
    </w:pPr>
    <w:proofErr w:type="gramStart"/>
    <w:r>
      <w:rPr>
        <w:b/>
        <w:bCs/>
        <w:color w:val="AB1A50"/>
        <w:spacing w:val="40"/>
        <w:sz w:val="16"/>
        <w:szCs w:val="16"/>
      </w:rPr>
      <w:t>INTRAPRISE</w:t>
    </w:r>
    <w:r>
      <w:rPr>
        <w:color w:val="5A5A5A"/>
        <w:sz w:val="16"/>
        <w:szCs w:val="16"/>
      </w:rPr>
      <w:t xml:space="preserve">  /</w:t>
    </w:r>
    <w:proofErr w:type="gramEnd"/>
    <w:r>
      <w:rPr>
        <w:color w:val="5A5A5A"/>
        <w:sz w:val="16"/>
        <w:szCs w:val="16"/>
      </w:rPr>
      <w:t xml:space="preserve">  The Uncertainty Navigator</w:t>
    </w:r>
    <w:r>
      <w:rPr>
        <w:sz w:val="16"/>
        <w:szCs w:val="16"/>
      </w:rPr>
      <w:tab/>
    </w:r>
    <w:r>
      <w:rPr>
        <w:i/>
        <w:iCs/>
        <w:color w:val="5A5A5A"/>
        <w:sz w:val="16"/>
        <w:szCs w:val="16"/>
      </w:rPr>
      <w:t>Research Primer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5EFB"/>
    <w:multiLevelType w:val="hybridMultilevel"/>
    <w:tmpl w:val="398AD5E0"/>
    <w:lvl w:ilvl="0" w:tplc="81D2D286">
      <w:start w:val="1"/>
      <w:numFmt w:val="bullet"/>
      <w:lvlText w:val="●"/>
      <w:lvlJc w:val="left"/>
      <w:pPr>
        <w:ind w:left="720" w:hanging="360"/>
      </w:pPr>
    </w:lvl>
    <w:lvl w:ilvl="1" w:tplc="13C26E6A">
      <w:start w:val="1"/>
      <w:numFmt w:val="bullet"/>
      <w:lvlText w:val="○"/>
      <w:lvlJc w:val="left"/>
      <w:pPr>
        <w:ind w:left="1440" w:hanging="360"/>
      </w:pPr>
    </w:lvl>
    <w:lvl w:ilvl="2" w:tplc="32DA3AA6">
      <w:start w:val="1"/>
      <w:numFmt w:val="bullet"/>
      <w:lvlText w:val="■"/>
      <w:lvlJc w:val="left"/>
      <w:pPr>
        <w:ind w:left="2160" w:hanging="360"/>
      </w:pPr>
    </w:lvl>
    <w:lvl w:ilvl="3" w:tplc="3DEA9FC6">
      <w:start w:val="1"/>
      <w:numFmt w:val="bullet"/>
      <w:lvlText w:val="●"/>
      <w:lvlJc w:val="left"/>
      <w:pPr>
        <w:ind w:left="2880" w:hanging="360"/>
      </w:pPr>
    </w:lvl>
    <w:lvl w:ilvl="4" w:tplc="04F6B9E6">
      <w:start w:val="1"/>
      <w:numFmt w:val="bullet"/>
      <w:lvlText w:val="○"/>
      <w:lvlJc w:val="left"/>
      <w:pPr>
        <w:ind w:left="3600" w:hanging="360"/>
      </w:pPr>
    </w:lvl>
    <w:lvl w:ilvl="5" w:tplc="3792443A">
      <w:start w:val="1"/>
      <w:numFmt w:val="bullet"/>
      <w:lvlText w:val="■"/>
      <w:lvlJc w:val="left"/>
      <w:pPr>
        <w:ind w:left="4320" w:hanging="360"/>
      </w:pPr>
    </w:lvl>
    <w:lvl w:ilvl="6" w:tplc="C9CE59D4">
      <w:start w:val="1"/>
      <w:numFmt w:val="bullet"/>
      <w:lvlText w:val="●"/>
      <w:lvlJc w:val="left"/>
      <w:pPr>
        <w:ind w:left="5040" w:hanging="360"/>
      </w:pPr>
    </w:lvl>
    <w:lvl w:ilvl="7" w:tplc="735E605C">
      <w:start w:val="1"/>
      <w:numFmt w:val="bullet"/>
      <w:lvlText w:val="●"/>
      <w:lvlJc w:val="left"/>
      <w:pPr>
        <w:ind w:left="5760" w:hanging="360"/>
      </w:pPr>
    </w:lvl>
    <w:lvl w:ilvl="8" w:tplc="14405C60">
      <w:start w:val="1"/>
      <w:numFmt w:val="bullet"/>
      <w:lvlText w:val="●"/>
      <w:lvlJc w:val="left"/>
      <w:pPr>
        <w:ind w:left="6480" w:hanging="360"/>
      </w:pPr>
    </w:lvl>
  </w:abstractNum>
  <w:num w:numId="1" w16cid:durableId="163322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92D"/>
    <w:rsid w:val="00170541"/>
    <w:rsid w:val="0075409E"/>
    <w:rsid w:val="00EF592D"/>
    <w:rsid w:val="00F3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51357"/>
  <w15:docId w15:val="{8D3BA03F-AED9-7B4E-A2A8-5F4B4154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A5F"/>
      <w:sz w:val="36"/>
      <w:szCs w:val="36"/>
    </w:rPr>
  </w:style>
  <w:style w:type="paragraph" w:styleId="Heading2">
    <w:name w:val="heading 2"/>
    <w:uiPriority w:val="9"/>
    <w:unhideWhenUsed/>
    <w:qFormat/>
    <w:pPr>
      <w:spacing w:before="200" w:after="80"/>
      <w:outlineLvl w:val="1"/>
    </w:pPr>
    <w:rPr>
      <w:b/>
      <w:bCs/>
      <w:color w:val="1F3A5F"/>
      <w:sz w:val="28"/>
      <w:szCs w:val="28"/>
    </w:rPr>
  </w:style>
  <w:style w:type="paragraph" w:styleId="Heading3">
    <w:name w:val="heading 3"/>
    <w:uiPriority w:val="9"/>
    <w:unhideWhenUsed/>
    <w:qFormat/>
    <w:pPr>
      <w:spacing w:before="120" w:after="60"/>
      <w:outlineLvl w:val="2"/>
    </w:pPr>
    <w:rPr>
      <w:b/>
      <w:bCs/>
      <w:color w:val="1F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976</Words>
  <Characters>5566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Primer - The Uncertainty Navigator</dc:title>
  <dc:creator>Intraprise</dc:creator>
  <cp:lastModifiedBy>Katrin Schwab</cp:lastModifiedBy>
  <cp:revision>2</cp:revision>
  <dcterms:created xsi:type="dcterms:W3CDTF">2026-05-23T11:08:00Z</dcterms:created>
  <dcterms:modified xsi:type="dcterms:W3CDTF">2026-05-23T11:08:00Z</dcterms:modified>
</cp:coreProperties>
</file>