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120"/>
      </w:pPr>
      <w:r>
        <w:rPr>
          <w:b/>
          <w:bCs/>
          <w:color w:val="C8511B"/>
          <w:sz w:val="52"/>
          <w:szCs w:val="52"/>
        </w:rPr>
        <w:t xml:space="preserve">AirPro AI Agents in the CX Supervisor View</w:t>
      </w:r>
    </w:p>
    <w:p>
      <w:pPr>
        <w:spacing w:after="80"/>
      </w:pPr>
      <w:r>
        <w:rPr>
          <w:color w:val="5B4B8A"/>
          <w:sz w:val="30"/>
          <w:szCs w:val="30"/>
        </w:rPr>
        <w:t xml:space="preserve">Initiative Brief, Competitive Context &amp; Design Next Steps</w:t>
      </w:r>
    </w:p>
    <w:p>
      <w:pPr>
        <w:spacing w:after="40"/>
      </w:pPr>
      <w:r>
        <w:rPr>
          <w:color w:val="595959"/>
          <w:sz w:val="22"/>
          <w:szCs w:val="22"/>
        </w:rPr>
        <w:t xml:space="preserve">Kickoff led by Nicole Quan (PM)  •  RingCX Product — Unified CX Workforce</w:t>
      </w:r>
    </w:p>
    <w:p>
      <w:pPr>
        <w:spacing w:after="600"/>
      </w:pPr>
      <w:r>
        <w:rPr>
          <w:i/>
          <w:iCs/>
          <w:color w:val="595959"/>
          <w:sz w:val="20"/>
          <w:szCs w:val="20"/>
        </w:rPr>
        <w:t xml:space="preserve">Prepared for Vipindas S  •  June 2, 2026  •  Internal working document</w:t>
      </w:r>
    </w:p>
    <w:p>
      <w:pPr>
        <w:pBdr>
          <w:top w:val="single" w:color="C8511B" w:sz="6" w:space="1"/>
        </w:pBdr>
      </w:pPr>
      <w:r>
        <w:t xml:space="preserve"/>
      </w:r>
    </w:p>
    <w:p>
      <w:pPr>
        <w:spacing w:before="200" w:after="120"/>
      </w:pPr>
      <w:r>
        <w:rPr>
          <w:b/>
          <w:bCs/>
        </w:rPr>
        <w:t xml:space="preserve">In one line:  </w:t>
      </w:r>
      <w:r>
        <w:t xml:space="preserve">Bring AirPro AI agents (“Digital Workers”) into the existing RingCX supervisor tooling so supervisors can see, monitor and eventually intervene on AI-handled interactions — with deliberately minimal UI change ahead of the coming React→Spring rebuild.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Meeting Context &amp; PM Intent</w:t>
      </w:r>
    </w:p>
    <w:p>
      <w:pPr>
        <w:spacing w:after="140" w:line="276"/>
      </w:pPr>
      <w:r>
        <w:t xml:space="preserve">This was a </w:t>
      </w:r>
      <w:r>
        <w:rPr>
          <w:b/>
          <w:bCs/>
        </w:rPr>
        <w:t xml:space="preserve">kickoff call led by Nicole Quan (Product)</w:t>
      </w:r>
      <w:r>
        <w:t xml:space="preserve"> to align the team on bringing </w:t>
      </w:r>
      <w:r>
        <w:rPr>
          <w:b/>
          <w:bCs/>
        </w:rPr>
        <w:t xml:space="preserve">AirPro AI agents</w:t>
      </w:r>
      <w:r>
        <w:t xml:space="preserve"> into the RingCX </w:t>
      </w:r>
      <w:r>
        <w:rPr>
          <w:b/>
          <w:bCs/>
        </w:rPr>
        <w:t xml:space="preserve">Supervisor View</w:t>
      </w:r>
      <w:r>
        <w:t xml:space="preserve">. AirPro agents are referred to by several names internally — “CX AIR / CXAIR,” “Digital Workers,” and they are powered by the “Nova” platform; the meeting explicitly reconciled this naming so everyone is talking about the same thing.</w:t>
      </w:r>
    </w:p>
    <w:p>
      <w:pPr>
        <w:spacing w:after="140" w:line="276"/>
      </w:pPr>
      <w:r>
        <w:rPr>
          <w:b/>
          <w:bCs/>
        </w:rPr>
        <w:t xml:space="preserve">Strategic backdrop. </w:t>
      </w:r>
      <w:r>
        <w:t xml:space="preserve">The effort sits under the 2026 “Unified CX Workforce” vision: blend human (“Live”) and AI (“Digital”) workers under one operating model so AI agents become first-class workforce members that supervisors, QM and admins can observe, control, teach and plan for — moving from MVP (IVA containment) toward Blended (Level 2: trusted &amp; observable digital workers), then continuous improvement and higher autonomy.</w:t>
      </w:r>
    </w:p>
    <w:p>
      <w:pPr>
        <w:spacing w:after="140" w:line="276"/>
      </w:pPr>
      <w:r>
        <w:rPr>
          <w:b/>
          <w:bCs/>
        </w:rPr>
        <w:t xml:space="preserve">The defining theme was scope conservatism. </w:t>
      </w:r>
      <w:r>
        <w:t xml:space="preserve">Nicole stressed repeatedly that the supervisor panel will be </w:t>
      </w:r>
      <w:r>
        <w:rPr>
          <w:b/>
          <w:bCs/>
        </w:rPr>
        <w:t xml:space="preserve">rebuilt from React to Spring</w:t>
      </w:r>
      <w:r>
        <w:t xml:space="preserve">, and that roughly </w:t>
      </w:r>
      <w:r>
        <w:rPr>
          <w:b/>
          <w:bCs/>
        </w:rPr>
        <w:t xml:space="preserve">ten supervisor initiatives across multiple teams</w:t>
      </w:r>
      <w:r>
        <w:t xml:space="preserve"> will eventually force a structural rebuild. To avoid wasted work she asked the team to (a) adopt the </w:t>
      </w:r>
      <w:r>
        <w:rPr>
          <w:b/>
          <w:bCs/>
        </w:rPr>
        <w:t xml:space="preserve">exact existing formatting</w:t>
      </w:r>
      <w:r>
        <w:t xml:space="preserve"> with no new visual patterns, (b) focus effort on the </w:t>
      </w:r>
      <w:r>
        <w:rPr>
          <w:b/>
          <w:bCs/>
        </w:rPr>
        <w:t xml:space="preserve">backend work of tapping into the Workflow</w:t>
      </w:r>
      <w:r>
        <w:t xml:space="preserve"> to extract AI interaction data, and (c) keep UI change minimal.</w:t>
      </w:r>
    </w:p>
    <w:p>
      <w:pPr>
        <w:spacing w:after="140" w:line="276"/>
      </w:pPr>
      <w:r>
        <w:rPr>
          <w:b/>
          <w:bCs/>
        </w:rPr>
        <w:t xml:space="preserve">Timeline reality. </w:t>
      </w:r>
      <w:r>
        <w:t xml:space="preserve">The current GA date is </w:t>
      </w:r>
      <w:r>
        <w:rPr>
          <w:b/>
          <w:bCs/>
        </w:rPr>
        <w:t xml:space="preserve">November 2026</w:t>
      </w:r>
      <w:r>
        <w:t xml:space="preserve">, but Nicole framed this as an “optimistic” QBR goal. The expectation is that </w:t>
      </w:r>
      <w:r>
        <w:rPr>
          <w:b/>
          <w:bCs/>
        </w:rPr>
        <w:t xml:space="preserve">something must be shown in November</w:t>
      </w:r>
      <w:r>
        <w:t xml:space="preserve"> — possibly a proof-of-concept or closed beta rather than a full GA phase — and that scope/fidelity will be negotiated after technical discovery. Quality is not to be sacrificed for the date.</w:t>
      </w:r>
    </w:p>
    <w:p>
      <w:pPr>
        <w:spacing w:after="140" w:line="276"/>
      </w:pPr>
      <w:r>
        <w:rPr>
          <w:b/>
          <w:bCs/>
        </w:rPr>
        <w:t xml:space="preserve">Scope guardrails confirmed in the call: </w:t>
      </w:r>
      <w:r>
        <w:t xml:space="preserve">only AI agents that are actually </w:t>
      </w:r>
      <w:r>
        <w:rPr>
          <w:b/>
          <w:bCs/>
        </w:rPr>
        <w:t xml:space="preserve">configured in RingCX Workflow Studio</w:t>
      </w:r>
      <w:r>
        <w:t xml:space="preserve"> are in scope (not all published Nova workers, and </w:t>
      </w:r>
      <w:r>
        <w:rPr>
          <w:b/>
          <w:bCs/>
        </w:rPr>
        <w:t xml:space="preserve">not</w:t>
      </w:r>
      <w:r>
        <w:t xml:space="preserve"> the Phase-0 “third-party IVA via CP URL” demo agents); </w:t>
      </w:r>
      <w:r>
        <w:rPr>
          <w:b/>
          <w:bCs/>
        </w:rPr>
        <w:t xml:space="preserve">legacy Supervisor Assist</w:t>
      </w:r>
      <w:r>
        <w:t xml:space="preserve"> is the integration target (the new SA/agent-assist dashboard lands ~Q3 and will coexist long-term); and Phase-1 access control is </w:t>
      </w:r>
      <w:r>
        <w:rPr>
          <w:b/>
          <w:bCs/>
        </w:rPr>
        <w:t xml:space="preserve">all-or-nothing</w:t>
      </w:r>
      <w:r>
        <w:t xml:space="preserve"> because Nova has no granular access model today.</w:t>
      </w:r>
    </w:p>
    <w:p>
      <w:pPr>
        <w:pStyle w:val="Heading1"/>
      </w:pPr>
      <w:r>
        <w:t xml:space="preserve">2. The Three-Phase Roadmap</w:t>
      </w:r>
    </w:p>
    <w:p>
      <w:pPr>
        <w:spacing w:after="140" w:line="276"/>
      </w:pPr>
      <w:r>
        <w:t xml:space="preserve">The program is broken into three initiatives (Nicole noted “phase” is disfavored by executives, so these may be re-labelled “initiatives”). Only the first two are active now; the third is deferred pending technical discovery.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60"/>
        <w:gridCol w:w="1400"/>
        <w:gridCol w:w="1300"/>
        <w:gridCol w:w="1300"/>
      </w:tblGrid>
      <w:tr>
        <w:trPr>
          <w:cantSplit/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 / Initiative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Jira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 — Visibility / Observability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agents &amp; their interactions appear in the supervisor dashboard with real-time metrics (state, duration, current interactions).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INIT-28001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2026-11-11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Req. Definition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 — Monitoring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Live voice &amp; digital monitoring, threshold alerts, disengage AI and redirect; stretch: pause-and-barge, coaching.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INIT-28002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2026-11-11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Req. Definition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3 — Intervention / Collaborative Feedback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Coach agents live, barge in and take over; send feedback to AirPro to improve the AI. Deferred.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INIT-28028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2026-11-30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Req. Definition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Related Analytics initiative: </w:t>
      </w:r>
      <w:r>
        <w:t xml:space="preserve">INIT-28013 — “Realtime metrics for AirPro agents” (due 2026-08-31, Q2) introduces a new Product Type = IVA, a Virtual Agent Widget, and AI-specific metrics (containment, handoff/transfer rate, remaining token “runway”). It is closely adjacent and should be tracked alongside these two.</w:t>
      </w:r>
    </w:p>
    <w:p>
      <w:pPr>
        <w:pStyle w:val="Heading1"/>
      </w:pPr>
      <w:r>
        <w:t xml:space="preserve">3. Initiative 1 — INIT-28001: Observability</w:t>
      </w:r>
    </w:p>
    <w:p>
      <w:pPr>
        <w:spacing w:after="140" w:line="276"/>
      </w:pPr>
      <w:r>
        <w:rPr>
          <w:b/>
          <w:bCs/>
        </w:rPr>
        <w:t xml:space="preserve">Feature: </w:t>
      </w:r>
      <w:r>
        <w:t xml:space="preserve">Supervisors can see Digital Workers and their interactions in the Supervisor View. Everything must be available to the internal CX context and exposed to Workflows.</w:t>
      </w:r>
    </w:p>
    <w:p>
      <w:pPr>
        <w:spacing w:after="140" w:line="276"/>
      </w:pPr>
      <w:r>
        <w:t xml:space="preserve">Per the spec wiki, the impact is mapped field-by-field against today’s supervisor views. The principle is “same as human” wherever possible, with a handful of AI-specific changes (marked below).</w:t>
      </w:r>
    </w:p>
    <w:p>
      <w:pPr>
        <w:pStyle w:val="Heading2"/>
      </w:pPr>
      <w:r>
        <w:t xml:space="preserve">3.1 Agent List View — 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AI-agent interpretation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open question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AirPro Agent 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Must be a single identifier traceable to an agent configuration &amp; usage.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Engaged / Available / Inactive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agents don’t log out. “Inactive” (turned off) must still be visible so a supervisor can re-activate.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 Duration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 in Engaged or Available. No duration needed for Inactive.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Pending Disposition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Going away in future iterations anyway.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Active Interactions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Longest Active Interaction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Interaction Roll-up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Talk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Average Time Per Call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login/logout concept for AI agents.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TBD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PM investigating an equivalent; Ally suggested Workflow could be the surfaced label/filter.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Utilization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TBD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 to decide if it makes sense to track as for humans (login/engagement based). Likely N/A for Phase 1.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Filters, states &amp; supervisor actions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New filter — Agent Type: </w:t>
      </w:r>
      <w:r>
        <w:t xml:space="preserve">Air / Human / All.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New filter — (when Air agents visible): </w:t>
      </w:r>
      <w:r>
        <w:t xml:space="preserve">Active / Inactive / All.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States &amp; Channels filters: </w:t>
      </w:r>
      <w:r>
        <w:t xml:space="preserve">same as human.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Supervisor action — Change agent state: </w:t>
      </w:r>
      <w:r>
        <w:t xml:space="preserve">toggle Inactive ↔ Available only (Engaged happens automatically). If an agent is set Inactive while engaged, it must show a transitional state (e.g. “Pending Inactive”) and only go inactive after current engagements disconnect or transfer.</w:t>
      </w:r>
    </w:p>
    <w:p>
      <w:pPr>
        <w:spacing w:after="140" w:line="276"/>
      </w:pPr>
      <w:r>
        <w:rPr>
          <w:b/>
          <w:bCs/>
        </w:rPr>
        <w:t xml:space="preserve">Admin side (single, simple control): </w:t>
      </w:r>
      <w:r>
        <w:t xml:space="preserve">one checkbox on the agent-roles page that allows a supervisor to view AirPro agents or not. All-or-nothing for Phase 1; source-/group-based restriction is a possible future iteration once Nova supports it.</w:t>
      </w:r>
    </w:p>
    <w:p>
      <w:pPr>
        <w:pStyle w:val="Heading2"/>
      </w:pPr>
      <w:r>
        <w:t xml:space="preserve">3.3 Interactions Tab — field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AI-agent interpretation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Must include “Workflow” as a product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Interaction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AirPro ID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From / Subject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Same as human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Pending Disposition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States / Channels / Categories (same as human) + Agent Type: Air / Human / All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Supervisor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Requeue, Hang up (same as human)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P1 (may move to INIT-28002)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Transcripts, Category Alerts, Supervisor Assist — same as human</w:t>
            </w:r>
          </w:p>
        </w:tc>
      </w:tr>
    </w:tbl>
    <w:p>
      <w:pPr>
        <w:pStyle w:val="Heading1"/>
      </w:pPr>
      <w:r>
        <w:t xml:space="preserve">4. Initiative 2 — INIT-28002: Monitoring (Voice &amp; Digital)</w:t>
      </w:r>
    </w:p>
    <w:p>
      <w:pPr>
        <w:spacing w:after="140" w:line="276"/>
      </w:pPr>
      <w:r>
        <w:t xml:space="preserve">The “big push” is accessing interactions taking place in the Workflow and surfacing the information related to them. P1 items from INIT-28001 become P0 here.</w:t>
      </w:r>
    </w:p>
    <w:p>
      <w:pPr>
        <w:pStyle w:val="Heading2"/>
      </w:pPr>
      <w:r>
        <w:t xml:space="preserve">4.1 P0 scope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Carried from INIT-28001 (now P0): </w:t>
      </w:r>
      <w:r>
        <w:t xml:space="preserve">Transcripts, Category Alerts, Supervisor Assist — same as human.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Voice Monitoring: </w:t>
      </w:r>
      <w:r>
        <w:t xml:space="preserve">same as human (listen-in).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Digital Monitoring: </w:t>
      </w:r>
      <w:r>
        <w:t xml:space="preserve">same as human — but note AI conversations have no native UI, so a supervisor-facing rendering must be built.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New field — Confidence score: </w:t>
      </w:r>
      <w:r>
        <w:t xml:space="preserve">real-time.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New field — Sentiment score: </w:t>
      </w:r>
      <w:r>
        <w:t xml:space="preserve">real-time, for both AirPro and human-handled interactions.</w:t>
      </w:r>
    </w:p>
    <w:p>
      <w:pPr>
        <w:pStyle w:val="Heading2"/>
      </w:pPr>
      <w:r>
        <w:t xml:space="preserve">4.2 Intervention stretch goals (P1 / P2)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(P1) Pause &amp; Barge — digital and voice: </w:t>
      </w:r>
      <w:r>
        <w:t xml:space="preserve">a supervisor stops the AI agent in voice or digital and takes over, then can unpause and hand the interaction back to the AI. Treated as ONE combined action — never just pause.</w:t>
      </w:r>
    </w:p>
    <w:p>
      <w:pPr>
        <w:pStyle w:val="ListParagraph"/>
        <w:numPr>
          <w:ilvl w:val="1"/>
          <w:numId w:val="2"/>
        </w:numPr>
        <w:spacing w:after="60" w:line="270"/>
      </w:pPr>
      <w:r>
        <w:rPr>
          <w:b/>
          <w:bCs/>
        </w:rPr>
        <w:t xml:space="preserve">Handoff phrase: </w:t>
      </w:r>
      <w:r>
        <w:t xml:space="preserve">required. Digital may be seamless/anonymous (customer needn’t notice the change); voice will be noticeable, so a customizable handoff phrase is needed (e.g. “let me loop in one of my coworkers to assist”). Open design choice: anonymous vs named barge.</w:t>
      </w:r>
    </w:p>
    <w:p>
      <w:pPr>
        <w:pStyle w:val="ListParagraph"/>
        <w:numPr>
          <w:ilvl w:val="1"/>
          <w:numId w:val="2"/>
        </w:numPr>
        <w:spacing w:after="60" w:line="270"/>
      </w:pPr>
      <w:r>
        <w:rPr>
          <w:b/>
          <w:bCs/>
        </w:rPr>
        <w:t xml:space="preserve">Recue / Transfer: </w:t>
      </w:r>
      <w:r>
        <w:t xml:space="preserve">use Requeue to hand to another agent/queue. Transfer does not exist today and will likely be added in a later initiative.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(P2) Coaching — digital and voice: </w:t>
      </w:r>
      <w:r>
        <w:t xml:space="preserve">provide real-time training/steering when the AI goes off course. Furthest out; depends on AirPro’s ability to accept real-time feedback. Nova is reportedly exploring agent “states” / automatic coaching.</w:t>
      </w:r>
    </w:p>
    <w:p>
      <w:pPr>
        <w:pStyle w:val="Heading1"/>
      </w:pPr>
      <w:r>
        <w:t xml:space="preserve">5. Competitive Landscape</w:t>
      </w:r>
    </w:p>
    <w:p>
      <w:pPr>
        <w:spacing w:after="140" w:line="276"/>
      </w:pPr>
      <w:r>
        <w:t xml:space="preserve">Both initiatives are tagged </w:t>
      </w:r>
      <w:r>
        <w:rPr>
          <w:b/>
          <w:bCs/>
        </w:rPr>
        <w:t xml:space="preserve">“Competitive gap” / executive-report-2026</w:t>
      </w:r>
      <w:r>
        <w:t xml:space="preserve"> — live supervision of AI agents is becoming table stakes in CCaaS. External scan: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Vendor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51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Relevant supervisor / AI-agent oversight capability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Genesys Cloud CX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Real-time sentiment with dynamic reroute to high-empathy agents; AI scoring of 100% of interactions; native Agent Assist (live transcription, next-best-action).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NICE CXone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Captures 100% of interactions; AI evaluation, coaching and insight surfacing; compliance-heavy enterprise focus.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Five9 (Genius AI)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Real-time transcription + multi-role supervisor dashboards with live KPI/SLA alerts; AI virtual agents and agent assist.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Talkdesk (Ascend AI)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Autopilot autonomous voice agents; real-time customizable scoring (Forms); Copilot agent assist with warm transfer.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</w:pPr>
      <w:r>
        <w:rPr>
          <w:b/>
          <w:bCs/>
        </w:rPr>
        <w:t xml:space="preserve">Common pattern across the field: </w:t>
      </w:r>
      <w:r>
        <w:t xml:space="preserve">live transcript, sentiment scoring (often 0–10), sentiment/threshold-based escalation alerts, barge/whisper/monitor controls, and PII redaction at the transcription layer — which maps almost exactly onto INIT-28001/28002’s confidence/sentiment fields, alerts, and pause-and-barge.</w:t>
      </w:r>
    </w:p>
    <w:p>
      <w:pPr>
        <w:spacing w:after="140" w:line="276"/>
      </w:pPr>
      <w:r>
        <w:rPr>
          <w:b/>
          <w:bCs/>
        </w:rPr>
        <w:t xml:space="preserve">Internal positioning (AIR Pro Enablement Deck, Apr 2026, in Google Drive): </w:t>
      </w:r>
      <w:r>
        <w:t xml:space="preserve">RingCentral frames competitors as built on legacy tech with retrofitted (non-native) agentic AI, rigid workflows and heavy pro-services, naming </w:t>
      </w:r>
      <w:r>
        <w:rPr>
          <w:b/>
          <w:bCs/>
        </w:rPr>
        <w:t xml:space="preserve">Cognigy, Omilia and Capacity</w:t>
      </w:r>
      <w:r>
        <w:t xml:space="preserve"> as comparison points, and positions AIR Pro on radical simplicity, vertical-readiness and defined autonomy (scalable, secure, observable, open). “Observable” is precisely the supervisor work in these tickets.</w:t>
      </w:r>
    </w:p>
    <w:p>
      <w:pPr>
        <w:spacing w:after="140" w:line="276"/>
      </w:pPr>
      <w:r>
        <w:rPr>
          <w:i/>
          <w:iCs/>
          <w:color w:val="595959"/>
          <w:sz w:val="20"/>
          <w:szCs w:val="20"/>
        </w:rPr>
        <w:t xml:space="preserve">Note: no Google Drive deck specific to a competitor supervisor view (e.g. CXone) was found; the most relevant internal asset is the AIR Pro Enablement deck and the Unified CX Workforce vision deck.</w:t>
      </w:r>
    </w:p>
    <w:p>
      <w:pPr>
        <w:pStyle w:val="Heading1"/>
      </w:pPr>
      <w:r>
        <w:t xml:space="preserve">6. Design — What Needs to Be Designed &amp; Next Steps</w:t>
      </w:r>
    </w:p>
    <w:p>
      <w:pPr>
        <w:spacing w:after="140" w:line="276"/>
      </w:pPr>
      <w:r>
        <w:rPr>
          <w:b/>
          <w:bCs/>
        </w:rPr>
        <w:t xml:space="preserve">Guiding constraint (from Nicole, aligned with Allora in design): </w:t>
      </w:r>
      <w:r>
        <w:t xml:space="preserve">keep the UI transition change very limited. Adopt the existing supervisor formatting verbatim so nothing has to be redone in the React→Spring rebuild. Crucially, </w:t>
      </w:r>
      <w:r>
        <w:rPr>
          <w:b/>
          <w:bCs/>
        </w:rPr>
        <w:t xml:space="preserve">do NOT reuse the conceptual mockups that were in the Jira tickets</w:t>
      </w:r>
      <w:r>
        <w:t xml:space="preserve"> — Nicole deleted them because they were built for a different (executive) audience; the design team should produce fresh, low-impact mocks.</w:t>
      </w:r>
    </w:p>
    <w:p>
      <w:pPr>
        <w:pStyle w:val="Heading2"/>
      </w:pPr>
      <w:r>
        <w:t xml:space="preserve">6.1 Phase 1 (INIT-28001) — design deliverables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AI agents in the Agent List View</w:t>
      </w:r>
      <w:r>
        <w:t xml:space="preserve"> using the existing row/column format — no new layout.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New state chips: </w:t>
      </w:r>
      <w:r>
        <w:t xml:space="preserve">“Inactive” and the transitional “Pending Inactive” (drain-then-inactive) treatment. These are the main net-new visual elements.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Two new filters: </w:t>
      </w:r>
      <w:r>
        <w:t xml:space="preserve">Agent Type (Air / Human / All) and — when Air is visible — Active / Inactive / All, on both the Agent List and Interactions tabs.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“Change agent state” action: </w:t>
      </w:r>
      <w:r>
        <w:t xml:space="preserve">the Inactive ↔ Available toggle, including the mid-engagement “Pending Inactive” behavior.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Interactions Tab: </w:t>
      </w:r>
      <w:r>
        <w:t xml:space="preserve">AI interactions in the existing format, with “Workflow” added to the Product column and AirPro ID in the Agent column.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N/A field handling: </w:t>
      </w:r>
      <w:r>
        <w:t xml:space="preserve">decide how fields that don’t apply to AI (Login, Pending Disposition, possibly Utilization/Skill) render — dash, blank, or hidden — consistently.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</w:rPr>
        <w:t xml:space="preserve">Admin: </w:t>
      </w:r>
      <w:r>
        <w:t xml:space="preserve">a single “allow supervisor to view AirPro agents” checkbox on the agent-roles page (minimal admin UI).</w:t>
      </w:r>
    </w:p>
    <w:p>
      <w:pPr>
        <w:pStyle w:val="Heading2"/>
      </w:pPr>
      <w:r>
        <w:t xml:space="preserve">6.2 Phase 2 (INIT-28002) — design deliverables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Digital monitoring view (net-new): </w:t>
      </w:r>
      <w:r>
        <w:t xml:space="preserve">AI agents have no conversation UI, so design a supervisor-facing rendering of the live AI/digital conversation in the unified transcript format. This is the largest genuinely new piece.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Voice monitoring: </w:t>
      </w:r>
      <w:r>
        <w:t xml:space="preserve">reuse existing listen-in; surface the live transcript alongside.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Confidence &amp; Sentiment indicators: </w:t>
      </w:r>
      <w:r>
        <w:t xml:space="preserve">design the two new real-time fields/columns (numeric vs gauge vs color), and apply sentiment to human-handled interactions too, wherever it is recorded.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Threshold alerts: </w:t>
      </w:r>
      <w:r>
        <w:t xml:space="preserve">flag/alert treatment when sentiment dips or confidence drops below a threshold (the proactive-intervention signal).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Pause-and-barge flow: </w:t>
      </w:r>
      <w:r>
        <w:t xml:space="preserve">combined pause+barge entry point; the customizable handoff-phrase configuration; and the anonymous-vs-named barge option (digital seamless, voice noticeable); plus the unpause / hand-back-to-AI step.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b/>
          <w:bCs/>
        </w:rPr>
        <w:t xml:space="preserve">Coaching (P2, exploratory): </w:t>
      </w:r>
      <w:r>
        <w:t xml:space="preserve">low-fidelity concept only until AirPro’s real-time feedback capability is understood.</w:t>
      </w:r>
    </w:p>
    <w:p>
      <w:pPr>
        <w:pStyle w:val="Heading2"/>
      </w:pPr>
      <w:r>
        <w:t xml:space="preserve">6.3 Recommended sequence for the designer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Review the two spec wiki pages and this brief; explicitly ignore the deleted ticket mockups.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Audit the current supervisor components (Agent List, Interactions Tab, filters, monitoring panels) and catalogue the exact patterns to reuse.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Produce Phase-1 mocks first (lower-risk, mostly reuse): agent list + new state chips, the two filters, change-state action, interactions tab, and N/A handling; plus the admin checkbox.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Then Phase-2 mocks: the net-new digital monitoring view, confidence/sentiment indicators, threshold alerts, and the pause-and-barge flow with handoff-phrase config.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Flag any element that would require a structural component change — escalate it, as it may belong to the supervisor rebuild rather than these initiatives.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Hold high-fidelity until the open questions in Section 7 are answered by Nicole / Nova.</w:t>
      </w:r>
    </w:p>
    <w:p>
      <w:pPr>
        <w:pStyle w:val="Heading1"/>
      </w:pPr>
      <w:r>
        <w:t xml:space="preserve">7. Open Questions for Nicole (and Ally / Nova / Eigor)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Confidence &amp; sentiment — Phase 1 or Phase 2? </w:t>
      </w:r>
      <w:r>
        <w:t xml:space="preserve">INIT-28001’s ticket lists them on interactions, but the spec wiki places them as “New Fields” under INIT-28002 P0. Which initiative owns them, and is the column added in Phase 1 or Phase 2?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“Skill” equivalent for AI agents: </w:t>
      </w:r>
      <w:r>
        <w:t xml:space="preserve">is there a label (skill vs workflow) to surface per agent? Ally leaned toward Workflow as the filter — confirm.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Utilization metric: </w:t>
      </w:r>
      <w:r>
        <w:t xml:space="preserve">does it apply to AI agents, and what is a meaningful definition (the human metric is login/engagement based)? Likely N/A for Phase 1 — confirm; Eigor to advise.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Sub-account classification (Nova limitation): </w:t>
      </w:r>
      <w:r>
        <w:t xml:space="preserve">Nova has no sub-account concept, so all AI agents appear equally in every sub-account. How do we classify/group them per sub-account in the dashboard, and does a state change in one sub-account affect enablement in others?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“Change agent state” priority: </w:t>
      </w:r>
      <w:r>
        <w:t xml:space="preserve">Nicole moved it to P0 but is open to P1 after technical discovery — confirm.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Agent identifier: </w:t>
      </w:r>
      <w:r>
        <w:t xml:space="preserve">confirm the single AirPro Agent ID that traces back to configuration + usage.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“Pending Inactive” behavior: </w:t>
      </w:r>
      <w:r>
        <w:t xml:space="preserve">confirm the desired drain-then-inactive treatment and copy when set inactive mid-engagement.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Barge specifics: </w:t>
      </w:r>
      <w:r>
        <w:t xml:space="preserve">offer both anonymous and named barge? Is the handoff phrase configured per agent or globally?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Supervisor Assist target: </w:t>
      </w:r>
      <w:r>
        <w:t xml:space="preserve">legacy confirmed for now — confirm there’s no near-term need to design for the new SA dashboard given the coexistence plan.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November deliverable &amp; design fidelity: </w:t>
      </w:r>
      <w:r>
        <w:t xml:space="preserve">GA vs closed beta vs POC — what fidelity should design target for November?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b/>
          <w:bCs/>
        </w:rPr>
        <w:t xml:space="preserve">Scope confirmation: </w:t>
      </w:r>
      <w:r>
        <w:t xml:space="preserve">confirm Phase-0 third-party-IVA (CP URL) agents are out, and only Workflow Studio agents are in (stated in the call — worth recording).</w:t>
      </w:r>
    </w:p>
    <w:p>
      <w:pPr>
        <w:pStyle w:val="Heading1"/>
      </w:pPr>
      <w:r>
        <w:t xml:space="preserve">8. Data Caveats &amp; Sources</w:t>
      </w:r>
    </w:p>
    <w:p>
      <w:pPr>
        <w:spacing w:after="140" w:line="276"/>
      </w:pPr>
      <w:r>
        <w:rPr>
          <w:b/>
          <w:bCs/>
        </w:rPr>
        <w:t xml:space="preserve">Data caveat: </w:t>
      </w:r>
      <w:r>
        <w:t xml:space="preserve">INIT-28001 carries a comment from Alexey Dzyubenko stating it is “a test ticket left by a local gwen3.5 via an automation.” The spec wiki pages are clearly authored by Nicole Quan and are authoritative; worth confirming the ticket itself is the real tracking item and not a test artifact. The Confluence wiki could not be read via API (Jira-only token); content was read directly in the browser where you were logged in.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pfccsfcmfpcta8gyxpo6g">
        <w:r>
          <w:rPr>
            <w:rStyle w:val="Hyperlink"/>
          </w:rPr>
          <w:t xml:space="preserve">INIT-28001 — AI Agents in CX Supervisor View (Observability)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96fhx7dz06voxcsl9s3ax">
        <w:r>
          <w:rPr>
            <w:rStyle w:val="Hyperlink"/>
          </w:rPr>
          <w:t xml:space="preserve">INIT-28002 — Monitoring (Voice, Digital)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cnwka2v3bl3nljeesrcrd">
        <w:r>
          <w:rPr>
            <w:rStyle w:val="Hyperlink"/>
          </w:rPr>
          <w:t xml:space="preserve">INIT-28028 — Collaborative Feedback for Agents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evtgd71koiin8qnnpycrs">
        <w:r>
          <w:rPr>
            <w:rStyle w:val="Hyperlink"/>
          </w:rPr>
          <w:t xml:space="preserve">INIT-28013 — Realtime metrics for AirPro agents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wlyzqpvto3enppk3t8jd9">
        <w:r>
          <w:rPr>
            <w:rStyle w:val="Hyperlink"/>
          </w:rPr>
          <w:t xml:space="preserve">Wiki — AirPro Agents in CX Supervisor View (context)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yqrz1mngtupvgm69_rqpm">
        <w:r>
          <w:rPr>
            <w:rStyle w:val="Hyperlink"/>
          </w:rPr>
          <w:t xml:space="preserve">Wiki — INIT-28001 Observability (field mapping)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5dytpcnttrsmqi-_e2mot">
        <w:r>
          <w:rPr>
            <w:rStyle w:val="Hyperlink"/>
          </w:rPr>
          <w:t xml:space="preserve">Wiki — INIT-28002 Monitoring (field mapping)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fhdelmgkyj7qshxnlr7x2">
        <w:r>
          <w:rPr>
            <w:rStyle w:val="Hyperlink"/>
          </w:rPr>
          <w:t xml:space="preserve">Unified CX Workforce — 2026 Vision deck (Google Slides)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hyperlink w:history="1" r:id="rIdurjsoxuroz2yh3ghgcnof">
        <w:r>
          <w:rPr>
            <w:rStyle w:val="Hyperlink"/>
          </w:rPr>
          <w:t xml:space="preserve">AIR Pro Enablement Deck — April 2026 (Google Slides)</w:t>
        </w:r>
      </w:hyperlink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External: Finsmes, Nextiva, GetVoIP, CloudTalk, Crescendo, The Level AI (CCaaS AI supervision comparisons, 2026).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AirPro AI Agents in CX Supervisor View — Internal Brief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0D2C4" w:sz="4" w:space="4"/>
      </w:pBdr>
      <w:spacing w:before="280" w:after="160"/>
      <w:outlineLvl w:val="0"/>
    </w:pPr>
    <w:rPr>
      <w:rFonts w:ascii="Arial" w:cs="Arial" w:eastAsia="Arial" w:hAnsi="Arial"/>
      <w:b/>
      <w:bCs/>
      <w:color w:val="C8511B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5B4B8A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pfccsfcmfpcta8gyxpo6g" Type="http://schemas.openxmlformats.org/officeDocument/2006/relationships/hyperlink" Target="https://jira.ringcentral.com/browse/INIT-28001" TargetMode="External"/><Relationship Id="rId96fhx7dz06voxcsl9s3ax" Type="http://schemas.openxmlformats.org/officeDocument/2006/relationships/hyperlink" Target="https://jira.ringcentral.com/browse/INIT-28002" TargetMode="External"/><Relationship Id="rIdcnwka2v3bl3nljeesrcrd" Type="http://schemas.openxmlformats.org/officeDocument/2006/relationships/hyperlink" Target="https://jira.ringcentral.com/browse/INIT-28028" TargetMode="External"/><Relationship Id="rIdevtgd71koiin8qnnpycrs" Type="http://schemas.openxmlformats.org/officeDocument/2006/relationships/hyperlink" Target="https://jira.ringcentral.com/browse/INIT-28013" TargetMode="External"/><Relationship Id="rIdwlyzqpvto3enppk3t8jd9" Type="http://schemas.openxmlformats.org/officeDocument/2006/relationships/hyperlink" Target="https://wiki.ringcentral.com/spaces/RCE/pages/1100338788/AirPro+Agents+in+CX+Supervisor+View" TargetMode="External"/><Relationship Id="rIdyqrz1mngtupvgm69_rqpm" Type="http://schemas.openxmlformats.org/officeDocument/2006/relationships/hyperlink" Target="https://wiki.ringcentral.com/spaces/RCE/pages/1100338807/INIT-28001+-Observability" TargetMode="External"/><Relationship Id="rId5dytpcnttrsmqi-_e2mot" Type="http://schemas.openxmlformats.org/officeDocument/2006/relationships/hyperlink" Target="https://wiki.ringcentral.com/spaces/RCE/pages/1100345966/INIT-28002+-+Monitoring" TargetMode="External"/><Relationship Id="rIdfhdelmgkyj7qshxnlr7x2" Type="http://schemas.openxmlformats.org/officeDocument/2006/relationships/hyperlink" Target="https://docs.google.com/presentation/d/1Fe9bw059E7Itg330yDCjlDDC2O056O3ktzJGFOL7E0M/edit" TargetMode="External"/><Relationship Id="rIdurjsoxuroz2yh3ghgcnof" Type="http://schemas.openxmlformats.org/officeDocument/2006/relationships/hyperlink" Target="https://docs.google.com/presentation/d/1cIpNAsOp52CJo2vMvlGYPkxkL-ctk0hzOAXewkqYP4Y/edit" TargetMode="External"/><Relationship Id="rId1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2026-06-02T08:52:38.533Z</dcterms:created>
  <dcterms:modified xsi:type="dcterms:W3CDTF">2026-06-02T08:52:38.533Z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