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3D2CB">
      <w:pPr>
        <w:pStyle w:val="37"/>
        <w:rPr>
          <w:rFonts w:hint="default" w:asciiTheme="minorAscii" w:hAnsiTheme="minorAscii"/>
          <w:b/>
          <w:bCs/>
          <w:sz w:val="28"/>
          <w:szCs w:val="28"/>
        </w:rPr>
      </w:pPr>
      <w:r>
        <w:rPr>
          <w:rFonts w:hint="default" w:asciiTheme="minorAscii" w:hAnsiTheme="minorAscii"/>
          <w:b/>
          <w:bCs/>
          <w:sz w:val="28"/>
          <w:szCs w:val="28"/>
        </w:rPr>
        <w:t>Fina</w:t>
      </w:r>
      <w:bookmarkStart w:id="0" w:name="_GoBack"/>
      <w:bookmarkEnd w:id="0"/>
      <w:r>
        <w:rPr>
          <w:rFonts w:hint="default" w:asciiTheme="minorAscii" w:hAnsiTheme="minorAscii"/>
          <w:b/>
          <w:bCs/>
          <w:sz w:val="28"/>
          <w:szCs w:val="28"/>
        </w:rPr>
        <w:t>ncial Fraud Risk Analytics Using Databricks SQL</w:t>
      </w:r>
    </w:p>
    <w:p w14:paraId="34DF0A52">
      <w:pPr>
        <w:pStyle w:val="2"/>
        <w:rPr>
          <w:rFonts w:hint="default" w:asciiTheme="minorAscii" w:hAnsiTheme="minorAscii"/>
          <w:sz w:val="22"/>
          <w:szCs w:val="22"/>
        </w:rPr>
      </w:pPr>
      <w:r>
        <w:rPr>
          <w:rFonts w:hint="default" w:asciiTheme="minorAscii" w:hAnsiTheme="minorAscii"/>
          <w:sz w:val="22"/>
          <w:szCs w:val="22"/>
        </w:rPr>
        <w:t>Executive Summary</w:t>
      </w:r>
    </w:p>
    <w:p w14:paraId="55084FC2">
      <w:pPr>
        <w:rPr>
          <w:rFonts w:hint="default" w:asciiTheme="minorAscii" w:hAnsiTheme="minorAscii"/>
          <w:sz w:val="22"/>
          <w:szCs w:val="22"/>
        </w:rPr>
      </w:pPr>
      <w:r>
        <w:rPr>
          <w:rFonts w:hint="default" w:asciiTheme="minorAscii" w:hAnsiTheme="minorAscii"/>
          <w:sz w:val="22"/>
          <w:szCs w:val="22"/>
        </w:rPr>
        <w:t>Financial institutions process millions of digital transactions every day. Detecting fraudulent transactions within this large volume of activity is a critical challenge for banks and payment platforms.</w:t>
      </w:r>
    </w:p>
    <w:p w14:paraId="401103C0">
      <w:pPr>
        <w:rPr>
          <w:rFonts w:hint="default" w:asciiTheme="minorAscii" w:hAnsiTheme="minorAscii"/>
          <w:sz w:val="22"/>
          <w:szCs w:val="22"/>
        </w:rPr>
      </w:pPr>
      <w:r>
        <w:rPr>
          <w:rFonts w:hint="default" w:asciiTheme="minorAscii" w:hAnsiTheme="minorAscii"/>
          <w:sz w:val="22"/>
          <w:szCs w:val="22"/>
        </w:rPr>
        <w:t>This project demonstrates how SQL-based analytics can be used to identify suspicious transaction patterns and evaluate fraud risk using</w:t>
      </w:r>
      <w:r>
        <w:rPr>
          <w:rFonts w:hint="default" w:asciiTheme="minorAscii" w:hAnsiTheme="minorAscii"/>
          <w:sz w:val="22"/>
          <w:szCs w:val="22"/>
          <w:lang w:val="en-US"/>
        </w:rPr>
        <w:t xml:space="preserve"> SQL in</w:t>
      </w:r>
      <w:r>
        <w:rPr>
          <w:rFonts w:hint="default" w:asciiTheme="minorAscii" w:hAnsiTheme="minorAscii"/>
          <w:sz w:val="22"/>
          <w:szCs w:val="22"/>
        </w:rPr>
        <w:t xml:space="preserve"> Databricks. The analysis focuses on identifying behavioural anomalies, statistical irregularities, and high‑risk transaction characteristics.</w:t>
      </w:r>
    </w:p>
    <w:p w14:paraId="3A658AFA">
      <w:pPr>
        <w:rPr>
          <w:rFonts w:hint="default" w:asciiTheme="minorAscii" w:hAnsiTheme="minorAscii"/>
          <w:sz w:val="22"/>
          <w:szCs w:val="22"/>
        </w:rPr>
      </w:pPr>
      <w:r>
        <w:rPr>
          <w:rFonts w:hint="default" w:asciiTheme="minorAscii" w:hAnsiTheme="minorAscii"/>
          <w:sz w:val="22"/>
          <w:szCs w:val="22"/>
        </w:rPr>
        <w:t>By combining transaction pattern analysis, customer behaviour analysis, and anomaly detection techniques such as Benford’s Law, this project develops a rule‑based fraud risk scoring approach that highlights transactions requiring further investigation.</w:t>
      </w:r>
    </w:p>
    <w:p w14:paraId="2959BD3A">
      <w:pPr>
        <w:pStyle w:val="2"/>
        <w:rPr>
          <w:rFonts w:hint="default" w:asciiTheme="minorAscii" w:hAnsiTheme="minorAscii"/>
          <w:sz w:val="22"/>
          <w:szCs w:val="22"/>
        </w:rPr>
      </w:pPr>
      <w:r>
        <w:rPr>
          <w:rFonts w:hint="default" w:asciiTheme="minorAscii" w:hAnsiTheme="minorAscii"/>
          <w:sz w:val="22"/>
          <w:szCs w:val="22"/>
        </w:rPr>
        <w:t>Business Context</w:t>
      </w:r>
    </w:p>
    <w:p w14:paraId="225AB350">
      <w:pPr>
        <w:rPr>
          <w:rFonts w:hint="default" w:asciiTheme="minorAscii" w:hAnsiTheme="minorAscii"/>
          <w:sz w:val="22"/>
          <w:szCs w:val="22"/>
        </w:rPr>
      </w:pPr>
      <w:r>
        <w:rPr>
          <w:rFonts w:hint="default" w:asciiTheme="minorAscii" w:hAnsiTheme="minorAscii"/>
          <w:sz w:val="22"/>
          <w:szCs w:val="22"/>
        </w:rPr>
        <w:t>With the rapid growth of digital payments, financial institutions must monitor enormous volumes of transactions in real time. Fraudulent activity often represents a very small portion of overall transactions, but the financial and reputational impact can be significant.</w:t>
      </w:r>
    </w:p>
    <w:p w14:paraId="2D86CA70">
      <w:pPr>
        <w:rPr>
          <w:rFonts w:hint="default" w:asciiTheme="minorAscii" w:hAnsiTheme="minorAscii"/>
          <w:sz w:val="22"/>
          <w:szCs w:val="22"/>
        </w:rPr>
      </w:pPr>
      <w:r>
        <w:rPr>
          <w:rFonts w:hint="default" w:asciiTheme="minorAscii" w:hAnsiTheme="minorAscii"/>
          <w:sz w:val="22"/>
          <w:szCs w:val="22"/>
        </w:rPr>
        <w:t>Traditional manual monitoring approaches are not sufficient at scale. Organizations therefore rely on analytical techniques and automated systems to detect unusual behaviour, identify suspicious accounts, and prioritize high‑risk transactions for investigation.</w:t>
      </w:r>
    </w:p>
    <w:p w14:paraId="38F8CC3B">
      <w:pPr>
        <w:rPr>
          <w:rFonts w:hint="default" w:asciiTheme="minorAscii" w:hAnsiTheme="minorAscii"/>
          <w:sz w:val="22"/>
          <w:szCs w:val="22"/>
        </w:rPr>
      </w:pPr>
      <w:r>
        <w:rPr>
          <w:rFonts w:hint="default" w:asciiTheme="minorAscii" w:hAnsiTheme="minorAscii"/>
          <w:sz w:val="22"/>
          <w:szCs w:val="22"/>
        </w:rPr>
        <w:t>This project simulates a simplified fraud analytics framework using transaction data and SQL‑based analysis.</w:t>
      </w:r>
    </w:p>
    <w:p w14:paraId="5E6AFCA3">
      <w:pPr>
        <w:pStyle w:val="2"/>
        <w:rPr>
          <w:rFonts w:hint="default" w:asciiTheme="minorAscii" w:hAnsiTheme="minorAscii"/>
          <w:sz w:val="22"/>
          <w:szCs w:val="22"/>
        </w:rPr>
      </w:pPr>
      <w:r>
        <w:rPr>
          <w:rFonts w:hint="default" w:asciiTheme="minorAscii" w:hAnsiTheme="minorAscii"/>
          <w:sz w:val="22"/>
          <w:szCs w:val="22"/>
        </w:rPr>
        <w:t>Project Objectives</w:t>
      </w:r>
    </w:p>
    <w:p w14:paraId="58532F56">
      <w:pPr>
        <w:rPr>
          <w:rFonts w:hint="default" w:asciiTheme="minorAscii" w:hAnsiTheme="minorAscii"/>
          <w:sz w:val="22"/>
          <w:szCs w:val="22"/>
        </w:rPr>
      </w:pPr>
      <w:r>
        <w:rPr>
          <w:rFonts w:hint="default" w:asciiTheme="minorAscii" w:hAnsiTheme="minorAscii"/>
          <w:sz w:val="22"/>
          <w:szCs w:val="22"/>
        </w:rPr>
        <w:t>The objectives of this project are:</w:t>
      </w:r>
    </w:p>
    <w:p w14:paraId="3F6D0150">
      <w:pPr>
        <w:rPr>
          <w:rFonts w:hint="default" w:asciiTheme="minorAscii" w:hAnsiTheme="minorAscii"/>
          <w:sz w:val="22"/>
          <w:szCs w:val="22"/>
        </w:rPr>
      </w:pPr>
      <w:r>
        <w:rPr>
          <w:rFonts w:hint="default" w:asciiTheme="minorAscii" w:hAnsiTheme="minorAscii"/>
          <w:sz w:val="22"/>
          <w:szCs w:val="22"/>
        </w:rPr>
        <w:t>• Analyze transaction data to identify fraud patterns.</w:t>
      </w:r>
      <w:r>
        <w:rPr>
          <w:rFonts w:hint="default" w:asciiTheme="minorAscii" w:hAnsiTheme="minorAscii"/>
          <w:sz w:val="22"/>
          <w:szCs w:val="22"/>
        </w:rPr>
        <w:br w:type="textWrapping"/>
      </w:r>
      <w:r>
        <w:rPr>
          <w:rFonts w:hint="default" w:asciiTheme="minorAscii" w:hAnsiTheme="minorAscii"/>
          <w:sz w:val="22"/>
          <w:szCs w:val="22"/>
        </w:rPr>
        <w:t>• Perform feature engineering to highlight suspicious behaviour.</w:t>
      </w:r>
      <w:r>
        <w:rPr>
          <w:rFonts w:hint="default" w:asciiTheme="minorAscii" w:hAnsiTheme="minorAscii"/>
          <w:sz w:val="22"/>
          <w:szCs w:val="22"/>
        </w:rPr>
        <w:br w:type="textWrapping"/>
      </w:r>
      <w:r>
        <w:rPr>
          <w:rFonts w:hint="default" w:asciiTheme="minorAscii" w:hAnsiTheme="minorAscii"/>
          <w:sz w:val="22"/>
          <w:szCs w:val="22"/>
        </w:rPr>
        <w:t>• Detect statistical anomalies using Benford’s Law.</w:t>
      </w:r>
      <w:r>
        <w:rPr>
          <w:rFonts w:hint="default" w:asciiTheme="minorAscii" w:hAnsiTheme="minorAscii"/>
          <w:sz w:val="22"/>
          <w:szCs w:val="22"/>
        </w:rPr>
        <w:br w:type="textWrapping"/>
      </w:r>
      <w:r>
        <w:rPr>
          <w:rFonts w:hint="default" w:asciiTheme="minorAscii" w:hAnsiTheme="minorAscii"/>
          <w:sz w:val="22"/>
          <w:szCs w:val="22"/>
        </w:rPr>
        <w:t>• Analyze customer transaction behaviour and identify deviations.</w:t>
      </w:r>
      <w:r>
        <w:rPr>
          <w:rFonts w:hint="default" w:asciiTheme="minorAscii" w:hAnsiTheme="minorAscii"/>
          <w:sz w:val="22"/>
          <w:szCs w:val="22"/>
        </w:rPr>
        <w:br w:type="textWrapping"/>
      </w:r>
      <w:r>
        <w:rPr>
          <w:rFonts w:hint="default" w:asciiTheme="minorAscii" w:hAnsiTheme="minorAscii"/>
          <w:sz w:val="22"/>
          <w:szCs w:val="22"/>
        </w:rPr>
        <w:t>• Evaluate recipient accounts for potential fraud exposure.</w:t>
      </w:r>
      <w:r>
        <w:rPr>
          <w:rFonts w:hint="default" w:asciiTheme="minorAscii" w:hAnsiTheme="minorAscii"/>
          <w:sz w:val="22"/>
          <w:szCs w:val="22"/>
        </w:rPr>
        <w:br w:type="textWrapping"/>
      </w:r>
      <w:r>
        <w:rPr>
          <w:rFonts w:hint="default" w:asciiTheme="minorAscii" w:hAnsiTheme="minorAscii"/>
          <w:sz w:val="22"/>
          <w:szCs w:val="22"/>
        </w:rPr>
        <w:t>• Build a rule‑based fraud risk scoring model.</w:t>
      </w:r>
      <w:r>
        <w:rPr>
          <w:rFonts w:hint="default" w:asciiTheme="minorAscii" w:hAnsiTheme="minorAscii"/>
          <w:sz w:val="22"/>
          <w:szCs w:val="22"/>
        </w:rPr>
        <w:br w:type="textWrapping"/>
      </w:r>
      <w:r>
        <w:rPr>
          <w:rFonts w:hint="default" w:asciiTheme="minorAscii" w:hAnsiTheme="minorAscii"/>
          <w:sz w:val="22"/>
          <w:szCs w:val="22"/>
        </w:rPr>
        <w:t>• Generate analytical views that support dashboard reporting and fraud monitoring.</w:t>
      </w:r>
    </w:p>
    <w:p w14:paraId="299A9E3D">
      <w:pPr>
        <w:pStyle w:val="2"/>
        <w:rPr>
          <w:rFonts w:hint="default" w:asciiTheme="minorAscii" w:hAnsiTheme="minorAscii"/>
          <w:sz w:val="22"/>
          <w:szCs w:val="22"/>
        </w:rPr>
      </w:pPr>
      <w:r>
        <w:rPr>
          <w:rFonts w:hint="default" w:asciiTheme="minorAscii" w:hAnsiTheme="minorAscii"/>
          <w:sz w:val="22"/>
          <w:szCs w:val="22"/>
        </w:rPr>
        <w:t>Dataset Source</w:t>
      </w:r>
    </w:p>
    <w:p w14:paraId="1A1EFFF1">
      <w:pPr>
        <w:rPr>
          <w:rFonts w:hint="default" w:asciiTheme="minorAscii" w:hAnsiTheme="minorAscii"/>
          <w:sz w:val="22"/>
          <w:szCs w:val="22"/>
        </w:rPr>
      </w:pPr>
      <w:r>
        <w:rPr>
          <w:rFonts w:hint="default" w:asciiTheme="minorAscii" w:hAnsiTheme="minorAscii"/>
          <w:sz w:val="22"/>
          <w:szCs w:val="22"/>
        </w:rPr>
        <w:t>This project uses the PaySim synthetic financial transactions dataset.</w:t>
      </w:r>
    </w:p>
    <w:p w14:paraId="42D2F71A">
      <w:pPr>
        <w:rPr>
          <w:rFonts w:hint="default" w:asciiTheme="minorAscii" w:hAnsiTheme="minorAscii"/>
          <w:sz w:val="22"/>
          <w:szCs w:val="22"/>
        </w:rPr>
      </w:pPr>
      <w:r>
        <w:rPr>
          <w:rFonts w:hint="default" w:asciiTheme="minorAscii" w:hAnsiTheme="minorAscii"/>
          <w:sz w:val="22"/>
          <w:szCs w:val="22"/>
        </w:rPr>
        <w:t>The dataset is publicly available on Kaggle and is commonly used for fraud detection research and analytics projects.</w:t>
      </w:r>
    </w:p>
    <w:p w14:paraId="4E657FFF">
      <w:pPr>
        <w:keepNext w:val="0"/>
        <w:keepLines w:val="0"/>
        <w:widowControl/>
        <w:suppressLineNumbers w:val="0"/>
        <w:jc w:val="left"/>
        <w:rPr>
          <w:rFonts w:hint="default" w:eastAsia="SimSun" w:cs="SimSun" w:asciiTheme="minorAscii" w:hAnsiTheme="minorAscii"/>
          <w:kern w:val="0"/>
          <w:sz w:val="22"/>
          <w:szCs w:val="22"/>
          <w:lang w:val="en-US" w:eastAsia="zh-CN" w:bidi="ar"/>
        </w:rPr>
      </w:pPr>
      <w:r>
        <w:rPr>
          <w:rFonts w:hint="default" w:asciiTheme="minorAscii" w:hAnsiTheme="minorAscii"/>
          <w:sz w:val="22"/>
          <w:szCs w:val="22"/>
        </w:rPr>
        <w:t>Dataset link:</w:t>
      </w:r>
      <w:r>
        <w:rPr>
          <w:rFonts w:hint="default" w:asciiTheme="minorAscii" w:hAnsiTheme="minorAscii"/>
          <w:sz w:val="22"/>
          <w:szCs w:val="22"/>
        </w:rPr>
        <w:br w:type="textWrapping"/>
      </w:r>
      <w:r>
        <w:rPr>
          <w:rFonts w:hint="default" w:eastAsia="SimSun" w:cs="SimSun" w:asciiTheme="minorAscii" w:hAnsiTheme="minorAscii"/>
          <w:kern w:val="0"/>
          <w:sz w:val="22"/>
          <w:szCs w:val="22"/>
          <w:lang w:val="en-US" w:eastAsia="zh-CN" w:bidi="ar"/>
        </w:rPr>
        <w:fldChar w:fldCharType="begin"/>
      </w:r>
      <w:r>
        <w:rPr>
          <w:rFonts w:hint="default" w:eastAsia="SimSun" w:cs="SimSun" w:asciiTheme="minorAscii" w:hAnsiTheme="minorAscii"/>
          <w:kern w:val="0"/>
          <w:sz w:val="22"/>
          <w:szCs w:val="22"/>
          <w:lang w:val="en-US" w:eastAsia="zh-CN" w:bidi="ar"/>
        </w:rPr>
        <w:instrText xml:space="preserve"> HYPERLINK "https://www.kaggle.com/datasets/ealaxi/paysim1" </w:instrText>
      </w:r>
      <w:r>
        <w:rPr>
          <w:rFonts w:hint="default" w:eastAsia="SimSun" w:cs="SimSun" w:asciiTheme="minorAscii" w:hAnsiTheme="minorAscii"/>
          <w:kern w:val="0"/>
          <w:sz w:val="22"/>
          <w:szCs w:val="22"/>
          <w:lang w:val="en-US" w:eastAsia="zh-CN" w:bidi="ar"/>
        </w:rPr>
        <w:fldChar w:fldCharType="separate"/>
      </w:r>
      <w:r>
        <w:rPr>
          <w:rStyle w:val="20"/>
          <w:rFonts w:hint="default" w:eastAsia="SimSun" w:cs="SimSun" w:asciiTheme="minorAscii" w:hAnsiTheme="minorAscii"/>
          <w:kern w:val="0"/>
          <w:sz w:val="22"/>
          <w:szCs w:val="22"/>
          <w:lang w:val="en-US" w:eastAsia="zh-CN" w:bidi="ar"/>
        </w:rPr>
        <w:t>https://www.kaggle.com/datasets/ealaxi/paysim1</w:t>
      </w:r>
      <w:r>
        <w:rPr>
          <w:rFonts w:hint="default" w:eastAsia="SimSun" w:cs="SimSun" w:asciiTheme="minorAscii" w:hAnsiTheme="minorAscii"/>
          <w:kern w:val="0"/>
          <w:sz w:val="22"/>
          <w:szCs w:val="22"/>
          <w:lang w:val="en-US" w:eastAsia="zh-CN" w:bidi="ar"/>
        </w:rPr>
        <w:fldChar w:fldCharType="end"/>
      </w:r>
    </w:p>
    <w:p w14:paraId="3FEBAEB1">
      <w:pPr>
        <w:keepNext w:val="0"/>
        <w:keepLines w:val="0"/>
        <w:widowControl/>
        <w:suppressLineNumbers w:val="0"/>
        <w:jc w:val="left"/>
        <w:rPr>
          <w:rFonts w:hint="default" w:eastAsia="SimSun" w:cs="SimSun" w:asciiTheme="minorAscii" w:hAnsiTheme="minorAscii"/>
          <w:kern w:val="0"/>
          <w:sz w:val="22"/>
          <w:szCs w:val="22"/>
          <w:lang w:val="en-US" w:eastAsia="zh-CN" w:bidi="ar"/>
        </w:rPr>
      </w:pPr>
    </w:p>
    <w:p w14:paraId="191C044D">
      <w:pPr>
        <w:rPr>
          <w:rFonts w:hint="default" w:asciiTheme="minorAscii" w:hAnsiTheme="minorAscii"/>
          <w:sz w:val="22"/>
          <w:szCs w:val="22"/>
        </w:rPr>
      </w:pPr>
      <w:r>
        <w:rPr>
          <w:rFonts w:hint="default" w:asciiTheme="minorAscii" w:hAnsiTheme="minorAscii"/>
          <w:sz w:val="22"/>
          <w:szCs w:val="22"/>
        </w:rPr>
        <w:t>The dataset simulates mobile money transactions and contains fields such as:</w:t>
      </w:r>
    </w:p>
    <w:p w14:paraId="25569A67">
      <w:pPr>
        <w:rPr>
          <w:rFonts w:hint="default" w:asciiTheme="minorAscii" w:hAnsiTheme="minorAscii"/>
          <w:sz w:val="22"/>
          <w:szCs w:val="22"/>
        </w:rPr>
      </w:pPr>
      <w:r>
        <w:rPr>
          <w:rFonts w:hint="default" w:asciiTheme="minorAscii" w:hAnsiTheme="minorAscii"/>
          <w:sz w:val="22"/>
          <w:szCs w:val="22"/>
        </w:rPr>
        <w:t>• transaction type</w:t>
      </w:r>
      <w:r>
        <w:rPr>
          <w:rFonts w:hint="default" w:asciiTheme="minorAscii" w:hAnsiTheme="minorAscii"/>
          <w:sz w:val="22"/>
          <w:szCs w:val="22"/>
        </w:rPr>
        <w:br w:type="textWrapping"/>
      </w:r>
      <w:r>
        <w:rPr>
          <w:rFonts w:hint="default" w:asciiTheme="minorAscii" w:hAnsiTheme="minorAscii"/>
          <w:sz w:val="22"/>
          <w:szCs w:val="22"/>
        </w:rPr>
        <w:t>• transaction amount</w:t>
      </w:r>
      <w:r>
        <w:rPr>
          <w:rFonts w:hint="default" w:asciiTheme="minorAscii" w:hAnsiTheme="minorAscii"/>
          <w:sz w:val="22"/>
          <w:szCs w:val="22"/>
        </w:rPr>
        <w:br w:type="textWrapping"/>
      </w:r>
      <w:r>
        <w:rPr>
          <w:rFonts w:hint="default" w:asciiTheme="minorAscii" w:hAnsiTheme="minorAscii"/>
          <w:sz w:val="22"/>
          <w:szCs w:val="22"/>
        </w:rPr>
        <w:t>• sender account</w:t>
      </w:r>
      <w:r>
        <w:rPr>
          <w:rFonts w:hint="default" w:asciiTheme="minorAscii" w:hAnsiTheme="minorAscii"/>
          <w:sz w:val="22"/>
          <w:szCs w:val="22"/>
        </w:rPr>
        <w:br w:type="textWrapping"/>
      </w:r>
      <w:r>
        <w:rPr>
          <w:rFonts w:hint="default" w:asciiTheme="minorAscii" w:hAnsiTheme="minorAscii"/>
          <w:sz w:val="22"/>
          <w:szCs w:val="22"/>
        </w:rPr>
        <w:t>• recipient account</w:t>
      </w:r>
      <w:r>
        <w:rPr>
          <w:rFonts w:hint="default" w:asciiTheme="minorAscii" w:hAnsiTheme="minorAscii"/>
          <w:sz w:val="22"/>
          <w:szCs w:val="22"/>
        </w:rPr>
        <w:br w:type="textWrapping"/>
      </w:r>
      <w:r>
        <w:rPr>
          <w:rFonts w:hint="default" w:asciiTheme="minorAscii" w:hAnsiTheme="minorAscii"/>
          <w:sz w:val="22"/>
          <w:szCs w:val="22"/>
        </w:rPr>
        <w:t>• account balances before and after transactions</w:t>
      </w:r>
      <w:r>
        <w:rPr>
          <w:rFonts w:hint="default" w:asciiTheme="minorAscii" w:hAnsiTheme="minorAscii"/>
          <w:sz w:val="22"/>
          <w:szCs w:val="22"/>
        </w:rPr>
        <w:br w:type="textWrapping"/>
      </w:r>
      <w:r>
        <w:rPr>
          <w:rFonts w:hint="default" w:asciiTheme="minorAscii" w:hAnsiTheme="minorAscii"/>
          <w:sz w:val="22"/>
          <w:szCs w:val="22"/>
        </w:rPr>
        <w:t>• fraud indicator flag</w:t>
      </w:r>
    </w:p>
    <w:p w14:paraId="7623E63B">
      <w:pPr>
        <w:rPr>
          <w:rFonts w:hint="default" w:asciiTheme="minorAscii" w:hAnsiTheme="minorAscii"/>
          <w:sz w:val="22"/>
          <w:szCs w:val="22"/>
        </w:rPr>
      </w:pPr>
      <w:r>
        <w:rPr>
          <w:rFonts w:hint="default" w:asciiTheme="minorAscii" w:hAnsiTheme="minorAscii"/>
          <w:sz w:val="22"/>
          <w:szCs w:val="22"/>
        </w:rPr>
        <w:t>The dataset is synthetically generated and does not contain real customer information.</w:t>
      </w:r>
    </w:p>
    <w:p w14:paraId="5F939D84">
      <w:pPr>
        <w:pStyle w:val="2"/>
        <w:rPr>
          <w:rFonts w:hint="default" w:asciiTheme="minorAscii" w:hAnsiTheme="minorAscii"/>
          <w:sz w:val="22"/>
          <w:szCs w:val="22"/>
        </w:rPr>
      </w:pPr>
      <w:r>
        <w:rPr>
          <w:rFonts w:hint="default" w:asciiTheme="minorAscii" w:hAnsiTheme="minorAscii"/>
          <w:sz w:val="22"/>
          <w:szCs w:val="22"/>
        </w:rPr>
        <w:t>Data Disclaimer</w:t>
      </w:r>
    </w:p>
    <w:p w14:paraId="6E5BE707">
      <w:pPr>
        <w:rPr>
          <w:rFonts w:hint="default" w:asciiTheme="minorAscii" w:hAnsiTheme="minorAscii"/>
          <w:sz w:val="22"/>
          <w:szCs w:val="22"/>
        </w:rPr>
      </w:pPr>
      <w:r>
        <w:rPr>
          <w:rFonts w:hint="default" w:asciiTheme="minorAscii" w:hAnsiTheme="minorAscii"/>
          <w:sz w:val="22"/>
          <w:szCs w:val="22"/>
        </w:rPr>
        <w:t>The dataset used in this project is synthetically generated for research and educational purposes. It does not represent real financial transactions and does not contain personally identifiable information.</w:t>
      </w:r>
    </w:p>
    <w:p w14:paraId="6B963A51">
      <w:pPr>
        <w:rPr>
          <w:rFonts w:hint="default" w:asciiTheme="minorAscii" w:hAnsiTheme="minorAscii"/>
          <w:sz w:val="22"/>
          <w:szCs w:val="22"/>
        </w:rPr>
      </w:pPr>
      <w:r>
        <w:rPr>
          <w:rFonts w:hint="default" w:asciiTheme="minorAscii" w:hAnsiTheme="minorAscii"/>
          <w:sz w:val="22"/>
          <w:szCs w:val="22"/>
        </w:rPr>
        <w:t>The analysis presented in this project is intended to demonstrate fraud analytics techniques rather than reflect real‑world financial institution data.</w:t>
      </w:r>
    </w:p>
    <w:p w14:paraId="4EC176E7">
      <w:pPr>
        <w:pStyle w:val="2"/>
        <w:rPr>
          <w:rFonts w:hint="default" w:asciiTheme="minorAscii" w:hAnsiTheme="minorAscii"/>
          <w:sz w:val="22"/>
          <w:szCs w:val="22"/>
        </w:rPr>
      </w:pPr>
      <w:r>
        <w:rPr>
          <w:rFonts w:hint="default" w:asciiTheme="minorAscii" w:hAnsiTheme="minorAscii"/>
          <w:sz w:val="22"/>
          <w:szCs w:val="22"/>
        </w:rPr>
        <w:t>Data Preparation</w:t>
      </w:r>
    </w:p>
    <w:p w14:paraId="086C65F4">
      <w:pPr>
        <w:rPr>
          <w:rFonts w:hint="default" w:asciiTheme="minorAscii" w:hAnsiTheme="minorAscii"/>
          <w:sz w:val="22"/>
          <w:szCs w:val="22"/>
        </w:rPr>
      </w:pPr>
      <w:r>
        <w:rPr>
          <w:rFonts w:hint="default" w:asciiTheme="minorAscii" w:hAnsiTheme="minorAscii"/>
          <w:sz w:val="22"/>
          <w:szCs w:val="22"/>
        </w:rPr>
        <w:t>Before analysis, the dataset was cleaned and standardized.</w:t>
      </w:r>
    </w:p>
    <w:p w14:paraId="649255BF">
      <w:pPr>
        <w:rPr>
          <w:rFonts w:hint="default" w:asciiTheme="minorAscii" w:hAnsiTheme="minorAscii"/>
          <w:sz w:val="22"/>
          <w:szCs w:val="22"/>
        </w:rPr>
      </w:pPr>
      <w:r>
        <w:rPr>
          <w:rFonts w:hint="default" w:asciiTheme="minorAscii" w:hAnsiTheme="minorAscii"/>
          <w:sz w:val="22"/>
          <w:szCs w:val="22"/>
        </w:rPr>
        <w:t>Preparation steps included:</w:t>
      </w:r>
    </w:p>
    <w:p w14:paraId="6603EF2A">
      <w:pPr>
        <w:rPr>
          <w:rFonts w:hint="default" w:asciiTheme="minorAscii" w:hAnsiTheme="minorAscii"/>
          <w:sz w:val="22"/>
          <w:szCs w:val="22"/>
        </w:rPr>
      </w:pPr>
      <w:r>
        <w:rPr>
          <w:rFonts w:hint="default" w:asciiTheme="minorAscii" w:hAnsiTheme="minorAscii"/>
          <w:sz w:val="22"/>
          <w:szCs w:val="22"/>
        </w:rPr>
        <w:t>• removing invalid or zero‑value transactions</w:t>
      </w:r>
      <w:r>
        <w:rPr>
          <w:rFonts w:hint="default" w:asciiTheme="minorAscii" w:hAnsiTheme="minorAscii"/>
          <w:sz w:val="22"/>
          <w:szCs w:val="22"/>
        </w:rPr>
        <w:br w:type="textWrapping"/>
      </w:r>
      <w:r>
        <w:rPr>
          <w:rFonts w:hint="default" w:asciiTheme="minorAscii" w:hAnsiTheme="minorAscii"/>
          <w:sz w:val="22"/>
          <w:szCs w:val="22"/>
        </w:rPr>
        <w:t>• standardizing column names</w:t>
      </w:r>
      <w:r>
        <w:rPr>
          <w:rFonts w:hint="default" w:asciiTheme="minorAscii" w:hAnsiTheme="minorAscii"/>
          <w:sz w:val="22"/>
          <w:szCs w:val="22"/>
        </w:rPr>
        <w:br w:type="textWrapping"/>
      </w:r>
      <w:r>
        <w:rPr>
          <w:rFonts w:hint="default" w:asciiTheme="minorAscii" w:hAnsiTheme="minorAscii"/>
          <w:sz w:val="22"/>
          <w:szCs w:val="22"/>
        </w:rPr>
        <w:t>• identifying sender and recipient account types</w:t>
      </w:r>
      <w:r>
        <w:rPr>
          <w:rFonts w:hint="default" w:asciiTheme="minorAscii" w:hAnsiTheme="minorAscii"/>
          <w:sz w:val="22"/>
          <w:szCs w:val="22"/>
        </w:rPr>
        <w:br w:type="textWrapping"/>
      </w:r>
      <w:r>
        <w:rPr>
          <w:rFonts w:hint="default" w:asciiTheme="minorAscii" w:hAnsiTheme="minorAscii"/>
          <w:sz w:val="22"/>
          <w:szCs w:val="22"/>
        </w:rPr>
        <w:t>• creating transaction size categories</w:t>
      </w:r>
    </w:p>
    <w:p w14:paraId="436CFD03">
      <w:pPr>
        <w:rPr>
          <w:rFonts w:hint="default" w:asciiTheme="minorAscii" w:hAnsiTheme="minorAscii"/>
          <w:sz w:val="22"/>
          <w:szCs w:val="22"/>
        </w:rPr>
      </w:pPr>
      <w:r>
        <w:rPr>
          <w:rFonts w:hint="default" w:asciiTheme="minorAscii" w:hAnsiTheme="minorAscii"/>
          <w:sz w:val="22"/>
          <w:szCs w:val="22"/>
        </w:rPr>
        <w:t>A cleaned analytical dataset named 'clean_transactions' was created to support further analysis.</w:t>
      </w:r>
    </w:p>
    <w:p w14:paraId="3A6D88D3">
      <w:pPr>
        <w:pStyle w:val="2"/>
        <w:rPr>
          <w:rFonts w:hint="default" w:asciiTheme="minorAscii" w:hAnsiTheme="minorAscii"/>
          <w:sz w:val="22"/>
          <w:szCs w:val="22"/>
        </w:rPr>
      </w:pPr>
    </w:p>
    <w:p w14:paraId="76134197">
      <w:pPr>
        <w:pStyle w:val="2"/>
        <w:rPr>
          <w:rFonts w:hint="default" w:asciiTheme="minorAscii" w:hAnsiTheme="minorAscii"/>
          <w:sz w:val="22"/>
          <w:szCs w:val="22"/>
        </w:rPr>
      </w:pPr>
      <w:r>
        <w:rPr>
          <w:rFonts w:hint="default" w:asciiTheme="minorAscii" w:hAnsiTheme="minorAscii"/>
          <w:sz w:val="22"/>
          <w:szCs w:val="22"/>
        </w:rPr>
        <w:t>Feature Engineering</w:t>
      </w:r>
    </w:p>
    <w:p w14:paraId="1DF2BAED">
      <w:pPr>
        <w:rPr>
          <w:rFonts w:hint="default" w:asciiTheme="minorAscii" w:hAnsiTheme="minorAscii"/>
          <w:sz w:val="22"/>
          <w:szCs w:val="22"/>
        </w:rPr>
      </w:pPr>
      <w:r>
        <w:rPr>
          <w:rFonts w:hint="default" w:asciiTheme="minorAscii" w:hAnsiTheme="minorAscii"/>
          <w:sz w:val="22"/>
          <w:szCs w:val="22"/>
        </w:rPr>
        <w:t>Several analytical features were engineered from the raw dataset.</w:t>
      </w:r>
    </w:p>
    <w:p w14:paraId="0C700CF9">
      <w:pPr>
        <w:rPr>
          <w:rFonts w:hint="default" w:asciiTheme="minorAscii" w:hAnsiTheme="minorAscii"/>
          <w:sz w:val="22"/>
          <w:szCs w:val="22"/>
        </w:rPr>
      </w:pPr>
      <w:r>
        <w:rPr>
          <w:rFonts w:hint="default" w:asciiTheme="minorAscii" w:hAnsiTheme="minorAscii"/>
          <w:sz w:val="22"/>
          <w:szCs w:val="22"/>
        </w:rPr>
        <w:t>Transaction Size Categories:</w:t>
      </w:r>
      <w:r>
        <w:rPr>
          <w:rFonts w:hint="default" w:asciiTheme="minorAscii" w:hAnsiTheme="minorAscii"/>
          <w:sz w:val="22"/>
          <w:szCs w:val="22"/>
        </w:rPr>
        <w:br w:type="textWrapping"/>
      </w:r>
      <w:r>
        <w:rPr>
          <w:rFonts w:hint="default" w:asciiTheme="minorAscii" w:hAnsiTheme="minorAscii"/>
          <w:sz w:val="22"/>
          <w:szCs w:val="22"/>
        </w:rPr>
        <w:t>Transactions were categorized based on their value:</w:t>
      </w:r>
    </w:p>
    <w:p w14:paraId="0D2AFB7D">
      <w:pPr>
        <w:rPr>
          <w:rFonts w:hint="default" w:asciiTheme="minorAscii" w:hAnsiTheme="minorAscii"/>
          <w:sz w:val="22"/>
          <w:szCs w:val="22"/>
        </w:rPr>
      </w:pPr>
      <w:r>
        <w:rPr>
          <w:rFonts w:hint="default" w:asciiTheme="minorAscii" w:hAnsiTheme="minorAscii"/>
          <w:sz w:val="22"/>
          <w:szCs w:val="22"/>
        </w:rPr>
        <w:t>• Small (&lt;10,000)</w:t>
      </w:r>
      <w:r>
        <w:rPr>
          <w:rFonts w:hint="default" w:asciiTheme="minorAscii" w:hAnsiTheme="minorAscii"/>
          <w:sz w:val="22"/>
          <w:szCs w:val="22"/>
        </w:rPr>
        <w:br w:type="textWrapping"/>
      </w:r>
      <w:r>
        <w:rPr>
          <w:rFonts w:hint="default" w:asciiTheme="minorAscii" w:hAnsiTheme="minorAscii"/>
          <w:sz w:val="22"/>
          <w:szCs w:val="22"/>
        </w:rPr>
        <w:t>• Medium (10,000–100,000)</w:t>
      </w:r>
      <w:r>
        <w:rPr>
          <w:rFonts w:hint="default" w:asciiTheme="minorAscii" w:hAnsiTheme="minorAscii"/>
          <w:sz w:val="22"/>
          <w:szCs w:val="22"/>
        </w:rPr>
        <w:br w:type="textWrapping"/>
      </w:r>
      <w:r>
        <w:rPr>
          <w:rFonts w:hint="default" w:asciiTheme="minorAscii" w:hAnsiTheme="minorAscii"/>
          <w:sz w:val="22"/>
          <w:szCs w:val="22"/>
        </w:rPr>
        <w:t>• Large (100,000–500,000)</w:t>
      </w:r>
      <w:r>
        <w:rPr>
          <w:rFonts w:hint="default" w:asciiTheme="minorAscii" w:hAnsiTheme="minorAscii"/>
          <w:sz w:val="22"/>
          <w:szCs w:val="22"/>
        </w:rPr>
        <w:br w:type="textWrapping"/>
      </w:r>
      <w:r>
        <w:rPr>
          <w:rFonts w:hint="default" w:asciiTheme="minorAscii" w:hAnsiTheme="minorAscii"/>
          <w:sz w:val="22"/>
          <w:szCs w:val="22"/>
        </w:rPr>
        <w:t>• Very Large (&gt;500,000)</w:t>
      </w:r>
    </w:p>
    <w:p w14:paraId="2651DA62">
      <w:pPr>
        <w:rPr>
          <w:rFonts w:hint="default" w:asciiTheme="minorAscii" w:hAnsiTheme="minorAscii"/>
          <w:sz w:val="22"/>
          <w:szCs w:val="22"/>
        </w:rPr>
      </w:pPr>
      <w:r>
        <w:rPr>
          <w:rFonts w:hint="default" w:asciiTheme="minorAscii" w:hAnsiTheme="minorAscii"/>
          <w:sz w:val="22"/>
          <w:szCs w:val="22"/>
        </w:rPr>
        <w:t>These categories help identify whether fraudulent transactions are concentrated within specific value ranges.</w:t>
      </w:r>
    </w:p>
    <w:p w14:paraId="64847248">
      <w:pPr>
        <w:pStyle w:val="2"/>
        <w:rPr>
          <w:rFonts w:hint="default" w:asciiTheme="minorAscii" w:hAnsiTheme="minorAscii"/>
          <w:sz w:val="22"/>
          <w:szCs w:val="22"/>
        </w:rPr>
      </w:pPr>
      <w:r>
        <w:rPr>
          <w:rFonts w:hint="default" w:asciiTheme="minorAscii" w:hAnsiTheme="minorAscii"/>
          <w:sz w:val="22"/>
          <w:szCs w:val="22"/>
        </w:rPr>
        <w:t>Time-Based Transaction Analysis</w:t>
      </w:r>
    </w:p>
    <w:p w14:paraId="7B74ED09">
      <w:pPr>
        <w:rPr>
          <w:rFonts w:hint="default" w:asciiTheme="minorAscii" w:hAnsiTheme="minorAscii"/>
          <w:sz w:val="22"/>
          <w:szCs w:val="22"/>
        </w:rPr>
      </w:pPr>
      <w:r>
        <w:rPr>
          <w:rFonts w:hint="default" w:asciiTheme="minorAscii" w:hAnsiTheme="minorAscii"/>
          <w:sz w:val="22"/>
          <w:szCs w:val="22"/>
        </w:rPr>
        <w:t>Transaction timestamps were converted into meaningful time dimensions to analyze time‑based patterns.</w:t>
      </w:r>
    </w:p>
    <w:p w14:paraId="1E02C83E">
      <w:pPr>
        <w:rPr>
          <w:rFonts w:hint="default" w:asciiTheme="minorAscii" w:hAnsiTheme="minorAscii"/>
          <w:sz w:val="22"/>
          <w:szCs w:val="22"/>
        </w:rPr>
      </w:pPr>
      <w:r>
        <w:rPr>
          <w:rFonts w:hint="default" w:asciiTheme="minorAscii" w:hAnsiTheme="minorAscii"/>
          <w:sz w:val="22"/>
          <w:szCs w:val="22"/>
        </w:rPr>
        <w:t>Derived attributes include:</w:t>
      </w:r>
    </w:p>
    <w:p w14:paraId="1A6A9ACE">
      <w:pPr>
        <w:rPr>
          <w:rFonts w:hint="default" w:asciiTheme="minorAscii" w:hAnsiTheme="minorAscii"/>
          <w:sz w:val="22"/>
          <w:szCs w:val="22"/>
        </w:rPr>
      </w:pPr>
      <w:r>
        <w:rPr>
          <w:rFonts w:hint="default" w:asciiTheme="minorAscii" w:hAnsiTheme="minorAscii"/>
          <w:sz w:val="22"/>
          <w:szCs w:val="22"/>
        </w:rPr>
        <w:t>• hour of day</w:t>
      </w:r>
      <w:r>
        <w:rPr>
          <w:rFonts w:hint="default" w:asciiTheme="minorAscii" w:hAnsiTheme="minorAscii"/>
          <w:sz w:val="22"/>
          <w:szCs w:val="22"/>
        </w:rPr>
        <w:br w:type="textWrapping"/>
      </w:r>
      <w:r>
        <w:rPr>
          <w:rFonts w:hint="default" w:asciiTheme="minorAscii" w:hAnsiTheme="minorAscii"/>
          <w:sz w:val="22"/>
          <w:szCs w:val="22"/>
        </w:rPr>
        <w:t>• day number</w:t>
      </w:r>
      <w:r>
        <w:rPr>
          <w:rFonts w:hint="default" w:asciiTheme="minorAscii" w:hAnsiTheme="minorAscii"/>
          <w:sz w:val="22"/>
          <w:szCs w:val="22"/>
        </w:rPr>
        <w:br w:type="textWrapping"/>
      </w:r>
      <w:r>
        <w:rPr>
          <w:rFonts w:hint="default" w:asciiTheme="minorAscii" w:hAnsiTheme="minorAscii"/>
          <w:sz w:val="22"/>
          <w:szCs w:val="22"/>
        </w:rPr>
        <w:t>• day of week</w:t>
      </w:r>
      <w:r>
        <w:rPr>
          <w:rFonts w:hint="default" w:asciiTheme="minorAscii" w:hAnsiTheme="minorAscii"/>
          <w:sz w:val="22"/>
          <w:szCs w:val="22"/>
        </w:rPr>
        <w:br w:type="textWrapping"/>
      </w:r>
      <w:r>
        <w:rPr>
          <w:rFonts w:hint="default" w:asciiTheme="minorAscii" w:hAnsiTheme="minorAscii"/>
          <w:sz w:val="22"/>
          <w:szCs w:val="22"/>
        </w:rPr>
        <w:t>• time period classification</w:t>
      </w:r>
    </w:p>
    <w:p w14:paraId="01E130D4">
      <w:pPr>
        <w:rPr>
          <w:rFonts w:hint="default" w:asciiTheme="minorAscii" w:hAnsiTheme="minorAscii"/>
          <w:sz w:val="22"/>
          <w:szCs w:val="22"/>
        </w:rPr>
      </w:pPr>
      <w:r>
        <w:rPr>
          <w:rFonts w:hint="default" w:asciiTheme="minorAscii" w:hAnsiTheme="minorAscii"/>
          <w:sz w:val="22"/>
          <w:szCs w:val="22"/>
        </w:rPr>
        <w:t>Transactions were also grouped into periods such as Morning, Afternoon, Evening, and Late Night to identify potential fraud patterns.</w:t>
      </w:r>
    </w:p>
    <w:p w14:paraId="71CE3447">
      <w:pPr>
        <w:pStyle w:val="2"/>
        <w:rPr>
          <w:rFonts w:hint="default" w:asciiTheme="minorAscii" w:hAnsiTheme="minorAscii"/>
          <w:sz w:val="22"/>
          <w:szCs w:val="22"/>
        </w:rPr>
      </w:pPr>
      <w:r>
        <w:rPr>
          <w:rFonts w:hint="default" w:asciiTheme="minorAscii" w:hAnsiTheme="minorAscii"/>
          <w:sz w:val="22"/>
          <w:szCs w:val="22"/>
        </w:rPr>
        <w:t>Fraud Detection Indicators</w:t>
      </w:r>
    </w:p>
    <w:p w14:paraId="0BAC3752">
      <w:pPr>
        <w:rPr>
          <w:rFonts w:hint="default" w:asciiTheme="minorAscii" w:hAnsiTheme="minorAscii"/>
          <w:sz w:val="22"/>
          <w:szCs w:val="22"/>
        </w:rPr>
      </w:pPr>
      <w:r>
        <w:rPr>
          <w:rFonts w:hint="default" w:asciiTheme="minorAscii" w:hAnsiTheme="minorAscii"/>
          <w:sz w:val="22"/>
          <w:szCs w:val="22"/>
        </w:rPr>
        <w:t>Several rule‑based indicators were created to detect suspicious transactions.</w:t>
      </w:r>
    </w:p>
    <w:p w14:paraId="24BCFA63">
      <w:pPr>
        <w:rPr>
          <w:rFonts w:hint="default" w:asciiTheme="minorAscii" w:hAnsiTheme="minorAscii"/>
          <w:sz w:val="22"/>
          <w:szCs w:val="22"/>
        </w:rPr>
      </w:pPr>
      <w:r>
        <w:rPr>
          <w:rFonts w:hint="default" w:asciiTheme="minorAscii" w:hAnsiTheme="minorAscii"/>
          <w:sz w:val="22"/>
          <w:szCs w:val="22"/>
        </w:rPr>
        <w:t>Large Transfer Indicator:</w:t>
      </w:r>
      <w:r>
        <w:rPr>
          <w:rFonts w:hint="default" w:asciiTheme="minorAscii" w:hAnsiTheme="minorAscii"/>
          <w:sz w:val="22"/>
          <w:szCs w:val="22"/>
        </w:rPr>
        <w:br w:type="textWrapping"/>
      </w:r>
      <w:r>
        <w:rPr>
          <w:rFonts w:hint="default" w:asciiTheme="minorAscii" w:hAnsiTheme="minorAscii"/>
          <w:sz w:val="22"/>
          <w:szCs w:val="22"/>
        </w:rPr>
        <w:t>Flags transactions above a defined threshold that may represent abnormal behaviour.</w:t>
      </w:r>
    </w:p>
    <w:p w14:paraId="1ECD8B4B">
      <w:pPr>
        <w:rPr>
          <w:rFonts w:hint="default" w:asciiTheme="minorAscii" w:hAnsiTheme="minorAscii"/>
          <w:sz w:val="22"/>
          <w:szCs w:val="22"/>
        </w:rPr>
      </w:pPr>
      <w:r>
        <w:rPr>
          <w:rFonts w:hint="default" w:asciiTheme="minorAscii" w:hAnsiTheme="minorAscii"/>
          <w:sz w:val="22"/>
          <w:szCs w:val="22"/>
        </w:rPr>
        <w:t>Balance Mismatch Indicator:</w:t>
      </w:r>
      <w:r>
        <w:rPr>
          <w:rFonts w:hint="default" w:asciiTheme="minorAscii" w:hAnsiTheme="minorAscii"/>
          <w:sz w:val="22"/>
          <w:szCs w:val="22"/>
        </w:rPr>
        <w:br w:type="textWrapping"/>
      </w:r>
      <w:r>
        <w:rPr>
          <w:rFonts w:hint="default" w:asciiTheme="minorAscii" w:hAnsiTheme="minorAscii"/>
          <w:sz w:val="22"/>
          <w:szCs w:val="22"/>
        </w:rPr>
        <w:t>Detects transactions where account balance changes do not match expected calculations.</w:t>
      </w:r>
    </w:p>
    <w:p w14:paraId="64327717">
      <w:pPr>
        <w:rPr>
          <w:rFonts w:hint="default" w:asciiTheme="minorAscii" w:hAnsiTheme="minorAscii"/>
          <w:sz w:val="22"/>
          <w:szCs w:val="22"/>
        </w:rPr>
      </w:pPr>
      <w:r>
        <w:rPr>
          <w:rFonts w:hint="default" w:asciiTheme="minorAscii" w:hAnsiTheme="minorAscii"/>
          <w:sz w:val="22"/>
          <w:szCs w:val="22"/>
        </w:rPr>
        <w:t>No Balance Change Indicator:</w:t>
      </w:r>
      <w:r>
        <w:rPr>
          <w:rFonts w:hint="default" w:asciiTheme="minorAscii" w:hAnsiTheme="minorAscii"/>
          <w:sz w:val="22"/>
          <w:szCs w:val="22"/>
        </w:rPr>
        <w:br w:type="textWrapping"/>
      </w:r>
      <w:r>
        <w:rPr>
          <w:rFonts w:hint="default" w:asciiTheme="minorAscii" w:hAnsiTheme="minorAscii"/>
          <w:sz w:val="22"/>
          <w:szCs w:val="22"/>
        </w:rPr>
        <w:t>Flags cases where funds are transferred but account balances remain unchanged.</w:t>
      </w:r>
    </w:p>
    <w:p w14:paraId="42511672">
      <w:pPr>
        <w:rPr>
          <w:rFonts w:hint="default" w:asciiTheme="minorAscii" w:hAnsiTheme="minorAscii"/>
          <w:sz w:val="22"/>
          <w:szCs w:val="22"/>
        </w:rPr>
      </w:pPr>
      <w:r>
        <w:rPr>
          <w:rFonts w:hint="default" w:asciiTheme="minorAscii" w:hAnsiTheme="minorAscii"/>
          <w:sz w:val="22"/>
          <w:szCs w:val="22"/>
        </w:rPr>
        <w:t>Zero Balance After Transaction:</w:t>
      </w:r>
      <w:r>
        <w:rPr>
          <w:rFonts w:hint="default" w:asciiTheme="minorAscii" w:hAnsiTheme="minorAscii"/>
          <w:sz w:val="22"/>
          <w:szCs w:val="22"/>
        </w:rPr>
        <w:br w:type="textWrapping"/>
      </w:r>
      <w:r>
        <w:rPr>
          <w:rFonts w:hint="default" w:asciiTheme="minorAscii" w:hAnsiTheme="minorAscii"/>
          <w:sz w:val="22"/>
          <w:szCs w:val="22"/>
        </w:rPr>
        <w:t>Identifies accounts that become empty immediately after a transfer, which may indicate money mule activity.</w:t>
      </w:r>
    </w:p>
    <w:p w14:paraId="6F42EB1E">
      <w:pPr>
        <w:pStyle w:val="2"/>
        <w:rPr>
          <w:rFonts w:hint="default" w:asciiTheme="minorAscii" w:hAnsiTheme="minorAscii"/>
          <w:sz w:val="22"/>
          <w:szCs w:val="22"/>
        </w:rPr>
      </w:pPr>
      <w:r>
        <w:rPr>
          <w:rFonts w:hint="default" w:asciiTheme="minorAscii" w:hAnsiTheme="minorAscii"/>
          <w:sz w:val="22"/>
          <w:szCs w:val="22"/>
        </w:rPr>
        <w:t>Benford’s Law Analysis</w:t>
      </w:r>
    </w:p>
    <w:p w14:paraId="08401FFB">
      <w:pPr>
        <w:rPr>
          <w:rFonts w:hint="default" w:asciiTheme="minorAscii" w:hAnsiTheme="minorAscii"/>
          <w:sz w:val="22"/>
          <w:szCs w:val="22"/>
        </w:rPr>
      </w:pPr>
      <w:r>
        <w:rPr>
          <w:rFonts w:hint="default" w:asciiTheme="minorAscii" w:hAnsiTheme="minorAscii"/>
          <w:sz w:val="22"/>
          <w:szCs w:val="22"/>
        </w:rPr>
        <w:t>Benford’s Law describes the expected distribution of leading digits in naturally occurring numerical datasets.</w:t>
      </w:r>
    </w:p>
    <w:p w14:paraId="16F1A479">
      <w:pPr>
        <w:rPr>
          <w:rFonts w:hint="default" w:asciiTheme="minorAscii" w:hAnsiTheme="minorAscii"/>
          <w:sz w:val="22"/>
          <w:szCs w:val="22"/>
        </w:rPr>
      </w:pPr>
      <w:r>
        <w:rPr>
          <w:rFonts w:hint="default" w:asciiTheme="minorAscii" w:hAnsiTheme="minorAscii"/>
          <w:sz w:val="22"/>
          <w:szCs w:val="22"/>
        </w:rPr>
        <w:t>Fraudulent or manipulated data sometimes deviates from this distribution.</w:t>
      </w:r>
    </w:p>
    <w:p w14:paraId="369C5462">
      <w:pPr>
        <w:rPr>
          <w:rFonts w:hint="default" w:asciiTheme="minorAscii" w:hAnsiTheme="minorAscii"/>
          <w:sz w:val="22"/>
          <w:szCs w:val="22"/>
        </w:rPr>
      </w:pPr>
      <w:r>
        <w:rPr>
          <w:rFonts w:hint="default" w:asciiTheme="minorAscii" w:hAnsiTheme="minorAscii"/>
          <w:sz w:val="22"/>
          <w:szCs w:val="22"/>
        </w:rPr>
        <w:t>This project extracts the first digit of each transaction amount and compares the observed distribution with the expected Benford distribution to detect anomalies.</w:t>
      </w:r>
    </w:p>
    <w:p w14:paraId="239D7E7B">
      <w:pPr>
        <w:rPr>
          <w:rFonts w:hint="default" w:asciiTheme="minorAscii" w:hAnsiTheme="minorAscii"/>
          <w:sz w:val="22"/>
          <w:szCs w:val="22"/>
        </w:rPr>
      </w:pPr>
      <w:r>
        <w:rPr>
          <w:rFonts w:hint="default" w:asciiTheme="minorAscii" w:hAnsiTheme="minorAscii"/>
          <w:sz w:val="22"/>
          <w:szCs w:val="22"/>
        </w:rPr>
        <w:t>Transactions beginning with digits 7, 8, or 9 were flagged as potential anomalies.</w:t>
      </w:r>
    </w:p>
    <w:p w14:paraId="0BB8CD84">
      <w:pPr>
        <w:pStyle w:val="2"/>
        <w:rPr>
          <w:rFonts w:hint="default" w:asciiTheme="minorAscii" w:hAnsiTheme="minorAscii"/>
          <w:sz w:val="22"/>
          <w:szCs w:val="22"/>
        </w:rPr>
      </w:pPr>
      <w:r>
        <w:rPr>
          <w:rFonts w:hint="default" w:asciiTheme="minorAscii" w:hAnsiTheme="minorAscii"/>
          <w:sz w:val="22"/>
          <w:szCs w:val="22"/>
        </w:rPr>
        <w:t>Customer Behaviour Analysis</w:t>
      </w:r>
    </w:p>
    <w:p w14:paraId="0042DD2C">
      <w:pPr>
        <w:rPr>
          <w:rFonts w:hint="default" w:asciiTheme="minorAscii" w:hAnsiTheme="minorAscii"/>
          <w:sz w:val="22"/>
          <w:szCs w:val="22"/>
        </w:rPr>
      </w:pPr>
      <w:r>
        <w:rPr>
          <w:rFonts w:hint="default" w:asciiTheme="minorAscii" w:hAnsiTheme="minorAscii"/>
          <w:sz w:val="22"/>
          <w:szCs w:val="22"/>
        </w:rPr>
        <w:t>Customer transaction history was analyzed to identify behavioural deviations.</w:t>
      </w:r>
    </w:p>
    <w:p w14:paraId="367046D9">
      <w:pPr>
        <w:rPr>
          <w:rFonts w:hint="default" w:asciiTheme="minorAscii" w:hAnsiTheme="minorAscii"/>
          <w:sz w:val="22"/>
          <w:szCs w:val="22"/>
        </w:rPr>
      </w:pPr>
      <w:r>
        <w:rPr>
          <w:rFonts w:hint="default" w:asciiTheme="minorAscii" w:hAnsiTheme="minorAscii"/>
          <w:sz w:val="22"/>
          <w:szCs w:val="22"/>
        </w:rPr>
        <w:t>Key metrics calculated include:</w:t>
      </w:r>
    </w:p>
    <w:p w14:paraId="34D3B3A5">
      <w:pPr>
        <w:rPr>
          <w:rFonts w:hint="default" w:asciiTheme="minorAscii" w:hAnsiTheme="minorAscii"/>
          <w:sz w:val="22"/>
          <w:szCs w:val="22"/>
        </w:rPr>
      </w:pPr>
      <w:r>
        <w:rPr>
          <w:rFonts w:hint="default" w:asciiTheme="minorAscii" w:hAnsiTheme="minorAscii"/>
          <w:sz w:val="22"/>
          <w:szCs w:val="22"/>
        </w:rPr>
        <w:t>• number of transactions per customer</w:t>
      </w:r>
      <w:r>
        <w:rPr>
          <w:rFonts w:hint="default" w:asciiTheme="minorAscii" w:hAnsiTheme="minorAscii"/>
          <w:sz w:val="22"/>
          <w:szCs w:val="22"/>
        </w:rPr>
        <w:br w:type="textWrapping"/>
      </w:r>
      <w:r>
        <w:rPr>
          <w:rFonts w:hint="default" w:asciiTheme="minorAscii" w:hAnsiTheme="minorAscii"/>
          <w:sz w:val="22"/>
          <w:szCs w:val="22"/>
        </w:rPr>
        <w:t>• average transaction amount</w:t>
      </w:r>
      <w:r>
        <w:rPr>
          <w:rFonts w:hint="default" w:asciiTheme="minorAscii" w:hAnsiTheme="minorAscii"/>
          <w:sz w:val="22"/>
          <w:szCs w:val="22"/>
        </w:rPr>
        <w:br w:type="textWrapping"/>
      </w:r>
      <w:r>
        <w:rPr>
          <w:rFonts w:hint="default" w:asciiTheme="minorAscii" w:hAnsiTheme="minorAscii"/>
          <w:sz w:val="22"/>
          <w:szCs w:val="22"/>
        </w:rPr>
        <w:t>• maximum transaction value</w:t>
      </w:r>
      <w:r>
        <w:rPr>
          <w:rFonts w:hint="default" w:asciiTheme="minorAscii" w:hAnsiTheme="minorAscii"/>
          <w:sz w:val="22"/>
          <w:szCs w:val="22"/>
        </w:rPr>
        <w:br w:type="textWrapping"/>
      </w:r>
      <w:r>
        <w:rPr>
          <w:rFonts w:hint="default" w:asciiTheme="minorAscii" w:hAnsiTheme="minorAscii"/>
          <w:sz w:val="22"/>
          <w:szCs w:val="22"/>
        </w:rPr>
        <w:t>• ratio of unusual digit transactions</w:t>
      </w:r>
    </w:p>
    <w:p w14:paraId="06447F80">
      <w:pPr>
        <w:rPr>
          <w:rFonts w:hint="default" w:asciiTheme="minorAscii" w:hAnsiTheme="minorAscii"/>
          <w:sz w:val="22"/>
          <w:szCs w:val="22"/>
        </w:rPr>
      </w:pPr>
      <w:r>
        <w:rPr>
          <w:rFonts w:hint="default" w:asciiTheme="minorAscii" w:hAnsiTheme="minorAscii"/>
          <w:sz w:val="22"/>
          <w:szCs w:val="22"/>
        </w:rPr>
        <w:t>Transactions significantly larger than a customer's historical behaviour were flagged as suspicious.</w:t>
      </w:r>
    </w:p>
    <w:p w14:paraId="4661C977">
      <w:pPr>
        <w:pStyle w:val="2"/>
        <w:rPr>
          <w:rFonts w:hint="default" w:asciiTheme="minorAscii" w:hAnsiTheme="minorAscii"/>
          <w:sz w:val="22"/>
          <w:szCs w:val="22"/>
        </w:rPr>
      </w:pPr>
      <w:r>
        <w:rPr>
          <w:rFonts w:hint="default" w:asciiTheme="minorAscii" w:hAnsiTheme="minorAscii"/>
          <w:sz w:val="22"/>
          <w:szCs w:val="22"/>
        </w:rPr>
        <w:t>Transaction Velocity Analysis</w:t>
      </w:r>
    </w:p>
    <w:p w14:paraId="76BCA1A9">
      <w:pPr>
        <w:rPr>
          <w:rFonts w:hint="default" w:asciiTheme="minorAscii" w:hAnsiTheme="minorAscii"/>
          <w:sz w:val="22"/>
          <w:szCs w:val="22"/>
        </w:rPr>
      </w:pPr>
      <w:r>
        <w:rPr>
          <w:rFonts w:hint="default" w:asciiTheme="minorAscii" w:hAnsiTheme="minorAscii"/>
          <w:sz w:val="22"/>
          <w:szCs w:val="22"/>
        </w:rPr>
        <w:t>Fraud schemes often involve rapid sequences of transactions.</w:t>
      </w:r>
    </w:p>
    <w:p w14:paraId="66ADB525">
      <w:pPr>
        <w:rPr>
          <w:rFonts w:hint="default" w:asciiTheme="minorAscii" w:hAnsiTheme="minorAscii"/>
          <w:sz w:val="22"/>
          <w:szCs w:val="22"/>
        </w:rPr>
      </w:pPr>
      <w:r>
        <w:rPr>
          <w:rFonts w:hint="default" w:asciiTheme="minorAscii" w:hAnsiTheme="minorAscii"/>
          <w:sz w:val="22"/>
          <w:szCs w:val="22"/>
        </w:rPr>
        <w:t>Velocity analysis was performed to detect customers performing unusually high numbers of transactions within short time periods.</w:t>
      </w:r>
    </w:p>
    <w:p w14:paraId="6E23A6DF">
      <w:pPr>
        <w:rPr>
          <w:rFonts w:hint="default" w:asciiTheme="minorAscii" w:hAnsiTheme="minorAscii"/>
          <w:sz w:val="22"/>
          <w:szCs w:val="22"/>
        </w:rPr>
      </w:pPr>
      <w:r>
        <w:rPr>
          <w:rFonts w:hint="default" w:asciiTheme="minorAscii" w:hAnsiTheme="minorAscii"/>
          <w:sz w:val="22"/>
          <w:szCs w:val="22"/>
        </w:rPr>
        <w:t>Customers exceeding normal activity thresholds were flagged as higher risk.</w:t>
      </w:r>
    </w:p>
    <w:p w14:paraId="11ABA44B">
      <w:pPr>
        <w:pStyle w:val="2"/>
        <w:rPr>
          <w:rFonts w:hint="default" w:asciiTheme="minorAscii" w:hAnsiTheme="minorAscii"/>
          <w:sz w:val="22"/>
          <w:szCs w:val="22"/>
        </w:rPr>
      </w:pPr>
      <w:r>
        <w:rPr>
          <w:rFonts w:hint="default" w:asciiTheme="minorAscii" w:hAnsiTheme="minorAscii"/>
          <w:sz w:val="22"/>
          <w:szCs w:val="22"/>
        </w:rPr>
        <w:t>Recipient Risk Analysis</w:t>
      </w:r>
    </w:p>
    <w:p w14:paraId="3BE595FC">
      <w:pPr>
        <w:rPr>
          <w:rFonts w:hint="default" w:asciiTheme="minorAscii" w:hAnsiTheme="minorAscii"/>
          <w:sz w:val="22"/>
          <w:szCs w:val="22"/>
        </w:rPr>
      </w:pPr>
      <w:r>
        <w:rPr>
          <w:rFonts w:hint="default" w:asciiTheme="minorAscii" w:hAnsiTheme="minorAscii"/>
          <w:sz w:val="22"/>
          <w:szCs w:val="22"/>
        </w:rPr>
        <w:t>Recipient accounts were analyzed to evaluate potential fraud exposure.</w:t>
      </w:r>
    </w:p>
    <w:p w14:paraId="5A20C0B3">
      <w:pPr>
        <w:rPr>
          <w:rFonts w:hint="default" w:asciiTheme="minorAscii" w:hAnsiTheme="minorAscii"/>
          <w:sz w:val="22"/>
          <w:szCs w:val="22"/>
        </w:rPr>
      </w:pPr>
      <w:r>
        <w:rPr>
          <w:rFonts w:hint="default" w:asciiTheme="minorAscii" w:hAnsiTheme="minorAscii"/>
          <w:sz w:val="22"/>
          <w:szCs w:val="22"/>
        </w:rPr>
        <w:t>Metrics included:</w:t>
      </w:r>
    </w:p>
    <w:p w14:paraId="7C0BDD02">
      <w:pPr>
        <w:rPr>
          <w:rFonts w:hint="default" w:asciiTheme="minorAscii" w:hAnsiTheme="minorAscii"/>
          <w:sz w:val="22"/>
          <w:szCs w:val="22"/>
        </w:rPr>
      </w:pPr>
      <w:r>
        <w:rPr>
          <w:rFonts w:hint="default" w:asciiTheme="minorAscii" w:hAnsiTheme="minorAscii"/>
          <w:sz w:val="22"/>
          <w:szCs w:val="22"/>
        </w:rPr>
        <w:t>• number of transactions received</w:t>
      </w:r>
      <w:r>
        <w:rPr>
          <w:rFonts w:hint="default" w:asciiTheme="minorAscii" w:hAnsiTheme="minorAscii"/>
          <w:sz w:val="22"/>
          <w:szCs w:val="22"/>
        </w:rPr>
        <w:br w:type="textWrapping"/>
      </w:r>
      <w:r>
        <w:rPr>
          <w:rFonts w:hint="default" w:asciiTheme="minorAscii" w:hAnsiTheme="minorAscii"/>
          <w:sz w:val="22"/>
          <w:szCs w:val="22"/>
        </w:rPr>
        <w:t>• total funds received</w:t>
      </w:r>
      <w:r>
        <w:rPr>
          <w:rFonts w:hint="default" w:asciiTheme="minorAscii" w:hAnsiTheme="minorAscii"/>
          <w:sz w:val="22"/>
          <w:szCs w:val="22"/>
        </w:rPr>
        <w:br w:type="textWrapping"/>
      </w:r>
      <w:r>
        <w:rPr>
          <w:rFonts w:hint="default" w:asciiTheme="minorAscii" w:hAnsiTheme="minorAscii"/>
          <w:sz w:val="22"/>
          <w:szCs w:val="22"/>
        </w:rPr>
        <w:t>• number of unique senders</w:t>
      </w:r>
      <w:r>
        <w:rPr>
          <w:rFonts w:hint="default" w:asciiTheme="minorAscii" w:hAnsiTheme="minorAscii"/>
          <w:sz w:val="22"/>
          <w:szCs w:val="22"/>
        </w:rPr>
        <w:br w:type="textWrapping"/>
      </w:r>
      <w:r>
        <w:rPr>
          <w:rFonts w:hint="default" w:asciiTheme="minorAscii" w:hAnsiTheme="minorAscii"/>
          <w:sz w:val="22"/>
          <w:szCs w:val="22"/>
        </w:rPr>
        <w:t>• fraud exposure rate</w:t>
      </w:r>
    </w:p>
    <w:p w14:paraId="63BCA461">
      <w:pPr>
        <w:rPr>
          <w:rFonts w:hint="default" w:asciiTheme="minorAscii" w:hAnsiTheme="minorAscii"/>
          <w:sz w:val="22"/>
          <w:szCs w:val="22"/>
        </w:rPr>
      </w:pPr>
      <w:r>
        <w:rPr>
          <w:rFonts w:hint="default" w:asciiTheme="minorAscii" w:hAnsiTheme="minorAscii"/>
          <w:sz w:val="22"/>
          <w:szCs w:val="22"/>
        </w:rPr>
        <w:t>Recipients were classified into risk categories such as Critical Risk, Fraud Exposed, High Volume, or Normal.</w:t>
      </w:r>
    </w:p>
    <w:p w14:paraId="1EC353D8">
      <w:pPr>
        <w:pStyle w:val="2"/>
        <w:rPr>
          <w:rFonts w:hint="default" w:asciiTheme="minorAscii" w:hAnsiTheme="minorAscii"/>
          <w:sz w:val="22"/>
          <w:szCs w:val="22"/>
        </w:rPr>
      </w:pPr>
      <w:r>
        <w:rPr>
          <w:rFonts w:hint="default" w:asciiTheme="minorAscii" w:hAnsiTheme="minorAscii"/>
          <w:sz w:val="22"/>
          <w:szCs w:val="22"/>
        </w:rPr>
        <w:t>Fraud Risk Scoring Model</w:t>
      </w:r>
    </w:p>
    <w:p w14:paraId="6A82621A">
      <w:pPr>
        <w:rPr>
          <w:rFonts w:hint="default" w:asciiTheme="minorAscii" w:hAnsiTheme="minorAscii"/>
          <w:sz w:val="22"/>
          <w:szCs w:val="22"/>
        </w:rPr>
      </w:pPr>
      <w:r>
        <w:rPr>
          <w:rFonts w:hint="default" w:asciiTheme="minorAscii" w:hAnsiTheme="minorAscii"/>
          <w:sz w:val="22"/>
          <w:szCs w:val="22"/>
        </w:rPr>
        <w:t>Multiple fraud indicators were combined to create a composite fraud risk score for each transaction.</w:t>
      </w:r>
    </w:p>
    <w:p w14:paraId="78D54648">
      <w:pPr>
        <w:rPr>
          <w:rFonts w:hint="default" w:asciiTheme="minorAscii" w:hAnsiTheme="minorAscii"/>
          <w:sz w:val="22"/>
          <w:szCs w:val="22"/>
        </w:rPr>
      </w:pPr>
      <w:r>
        <w:rPr>
          <w:rFonts w:hint="default" w:asciiTheme="minorAscii" w:hAnsiTheme="minorAscii"/>
          <w:sz w:val="22"/>
          <w:szCs w:val="22"/>
        </w:rPr>
        <w:t>Signals used in the model include:</w:t>
      </w:r>
    </w:p>
    <w:p w14:paraId="11235414">
      <w:pPr>
        <w:rPr>
          <w:rFonts w:hint="default" w:asciiTheme="minorAscii" w:hAnsiTheme="minorAscii"/>
          <w:sz w:val="22"/>
          <w:szCs w:val="22"/>
        </w:rPr>
      </w:pPr>
      <w:r>
        <w:rPr>
          <w:rFonts w:hint="default" w:asciiTheme="minorAscii" w:hAnsiTheme="minorAscii"/>
          <w:sz w:val="22"/>
          <w:szCs w:val="22"/>
        </w:rPr>
        <w:t>• transaction anomalies</w:t>
      </w:r>
      <w:r>
        <w:rPr>
          <w:rFonts w:hint="default" w:asciiTheme="minorAscii" w:hAnsiTheme="minorAscii"/>
          <w:sz w:val="22"/>
          <w:szCs w:val="22"/>
        </w:rPr>
        <w:br w:type="textWrapping"/>
      </w:r>
      <w:r>
        <w:rPr>
          <w:rFonts w:hint="default" w:asciiTheme="minorAscii" w:hAnsiTheme="minorAscii"/>
          <w:sz w:val="22"/>
          <w:szCs w:val="22"/>
        </w:rPr>
        <w:t>• behavioural deviations</w:t>
      </w:r>
      <w:r>
        <w:rPr>
          <w:rFonts w:hint="default" w:asciiTheme="minorAscii" w:hAnsiTheme="minorAscii"/>
          <w:sz w:val="22"/>
          <w:szCs w:val="22"/>
        </w:rPr>
        <w:br w:type="textWrapping"/>
      </w:r>
      <w:r>
        <w:rPr>
          <w:rFonts w:hint="default" w:asciiTheme="minorAscii" w:hAnsiTheme="minorAscii"/>
          <w:sz w:val="22"/>
          <w:szCs w:val="22"/>
        </w:rPr>
        <w:t>• velocity patterns</w:t>
      </w:r>
      <w:r>
        <w:rPr>
          <w:rFonts w:hint="default" w:asciiTheme="minorAscii" w:hAnsiTheme="minorAscii"/>
          <w:sz w:val="22"/>
          <w:szCs w:val="22"/>
        </w:rPr>
        <w:br w:type="textWrapping"/>
      </w:r>
      <w:r>
        <w:rPr>
          <w:rFonts w:hint="default" w:asciiTheme="minorAscii" w:hAnsiTheme="minorAscii"/>
          <w:sz w:val="22"/>
          <w:szCs w:val="22"/>
        </w:rPr>
        <w:t>• statistical anomalies</w:t>
      </w:r>
      <w:r>
        <w:rPr>
          <w:rFonts w:hint="default" w:asciiTheme="minorAscii" w:hAnsiTheme="minorAscii"/>
          <w:sz w:val="22"/>
          <w:szCs w:val="22"/>
        </w:rPr>
        <w:br w:type="textWrapping"/>
      </w:r>
      <w:r>
        <w:rPr>
          <w:rFonts w:hint="default" w:asciiTheme="minorAscii" w:hAnsiTheme="minorAscii"/>
          <w:sz w:val="22"/>
          <w:szCs w:val="22"/>
        </w:rPr>
        <w:t>• recipient risk exposure</w:t>
      </w:r>
    </w:p>
    <w:p w14:paraId="2E992E47">
      <w:pPr>
        <w:rPr>
          <w:rFonts w:hint="default" w:asciiTheme="minorAscii" w:hAnsiTheme="minorAscii"/>
          <w:sz w:val="22"/>
          <w:szCs w:val="22"/>
        </w:rPr>
      </w:pPr>
      <w:r>
        <w:rPr>
          <w:rFonts w:hint="default" w:asciiTheme="minorAscii" w:hAnsiTheme="minorAscii"/>
          <w:sz w:val="22"/>
          <w:szCs w:val="22"/>
        </w:rPr>
        <w:t>Transactions were classified into the following categories:</w:t>
      </w:r>
    </w:p>
    <w:p w14:paraId="1C980D35">
      <w:pPr>
        <w:rPr>
          <w:rFonts w:hint="default" w:asciiTheme="minorAscii" w:hAnsiTheme="minorAscii"/>
          <w:sz w:val="22"/>
          <w:szCs w:val="22"/>
        </w:rPr>
      </w:pPr>
      <w:r>
        <w:rPr>
          <w:rFonts w:hint="default" w:asciiTheme="minorAscii" w:hAnsiTheme="minorAscii"/>
          <w:sz w:val="22"/>
          <w:szCs w:val="22"/>
        </w:rPr>
        <w:t>Low Risk</w:t>
      </w:r>
      <w:r>
        <w:rPr>
          <w:rFonts w:hint="default" w:asciiTheme="minorAscii" w:hAnsiTheme="minorAscii"/>
          <w:sz w:val="22"/>
          <w:szCs w:val="22"/>
        </w:rPr>
        <w:br w:type="textWrapping"/>
      </w:r>
      <w:r>
        <w:rPr>
          <w:rFonts w:hint="default" w:asciiTheme="minorAscii" w:hAnsiTheme="minorAscii"/>
          <w:sz w:val="22"/>
          <w:szCs w:val="22"/>
        </w:rPr>
        <w:t>Medium Risk</w:t>
      </w:r>
      <w:r>
        <w:rPr>
          <w:rFonts w:hint="default" w:asciiTheme="minorAscii" w:hAnsiTheme="minorAscii"/>
          <w:sz w:val="22"/>
          <w:szCs w:val="22"/>
        </w:rPr>
        <w:br w:type="textWrapping"/>
      </w:r>
      <w:r>
        <w:rPr>
          <w:rFonts w:hint="default" w:asciiTheme="minorAscii" w:hAnsiTheme="minorAscii"/>
          <w:sz w:val="22"/>
          <w:szCs w:val="22"/>
        </w:rPr>
        <w:t>High Risk</w:t>
      </w:r>
      <w:r>
        <w:rPr>
          <w:rFonts w:hint="default" w:asciiTheme="minorAscii" w:hAnsiTheme="minorAscii"/>
          <w:sz w:val="22"/>
          <w:szCs w:val="22"/>
        </w:rPr>
        <w:br w:type="textWrapping"/>
      </w:r>
      <w:r>
        <w:rPr>
          <w:rFonts w:hint="default" w:asciiTheme="minorAscii" w:hAnsiTheme="minorAscii"/>
          <w:sz w:val="22"/>
          <w:szCs w:val="22"/>
        </w:rPr>
        <w:t>Critical Risk</w:t>
      </w:r>
    </w:p>
    <w:p w14:paraId="035C0ADB">
      <w:pPr>
        <w:rPr>
          <w:rFonts w:hint="default" w:asciiTheme="minorAscii" w:hAnsiTheme="minorAscii"/>
          <w:sz w:val="22"/>
          <w:szCs w:val="22"/>
        </w:rPr>
      </w:pPr>
      <w:r>
        <w:rPr>
          <w:rFonts w:hint="default" w:asciiTheme="minorAscii" w:hAnsiTheme="minorAscii"/>
          <w:sz w:val="22"/>
          <w:szCs w:val="22"/>
        </w:rPr>
        <w:t>This scoring approach helps prioritize transactions for fraud investigation.</w:t>
      </w:r>
    </w:p>
    <w:p w14:paraId="3ADD5364">
      <w:pPr>
        <w:pStyle w:val="2"/>
        <w:rPr>
          <w:rFonts w:hint="default" w:asciiTheme="minorAscii" w:hAnsiTheme="minorAscii"/>
          <w:sz w:val="22"/>
          <w:szCs w:val="22"/>
        </w:rPr>
      </w:pPr>
      <w:r>
        <w:rPr>
          <w:rFonts w:hint="default" w:asciiTheme="minorAscii" w:hAnsiTheme="minorAscii"/>
          <w:sz w:val="22"/>
          <w:szCs w:val="22"/>
        </w:rPr>
        <w:t>Key Insights</w:t>
      </w:r>
    </w:p>
    <w:p w14:paraId="28EDD7FF">
      <w:pPr>
        <w:rPr>
          <w:rFonts w:hint="default" w:asciiTheme="minorAscii" w:hAnsiTheme="minorAscii"/>
          <w:sz w:val="22"/>
          <w:szCs w:val="22"/>
        </w:rPr>
      </w:pPr>
      <w:r>
        <w:rPr>
          <w:rFonts w:hint="default" w:asciiTheme="minorAscii" w:hAnsiTheme="minorAscii"/>
          <w:sz w:val="22"/>
          <w:szCs w:val="22"/>
        </w:rPr>
        <w:t>Several meaningful patterns emerged from the analysis.</w:t>
      </w:r>
    </w:p>
    <w:p w14:paraId="4EC3F3A3">
      <w:pPr>
        <w:rPr>
          <w:rFonts w:hint="default" w:asciiTheme="minorAscii" w:hAnsiTheme="minorAscii"/>
          <w:sz w:val="22"/>
          <w:szCs w:val="22"/>
        </w:rPr>
      </w:pPr>
      <w:r>
        <w:rPr>
          <w:rFonts w:hint="default" w:asciiTheme="minorAscii" w:hAnsiTheme="minorAscii"/>
          <w:sz w:val="22"/>
          <w:szCs w:val="22"/>
        </w:rPr>
        <w:t>Fraud is relatively rare but financially impactful.</w:t>
      </w:r>
    </w:p>
    <w:p w14:paraId="0C6A68F2">
      <w:pPr>
        <w:rPr>
          <w:rFonts w:hint="default" w:asciiTheme="minorAscii" w:hAnsiTheme="minorAscii"/>
          <w:sz w:val="22"/>
          <w:szCs w:val="22"/>
        </w:rPr>
      </w:pPr>
      <w:r>
        <w:rPr>
          <w:rFonts w:hint="default" w:asciiTheme="minorAscii" w:hAnsiTheme="minorAscii"/>
          <w:sz w:val="22"/>
          <w:szCs w:val="22"/>
        </w:rPr>
        <w:t>Large transactions show a higher probability of fraud signals.</w:t>
      </w:r>
    </w:p>
    <w:p w14:paraId="37AAF985">
      <w:pPr>
        <w:rPr>
          <w:rFonts w:hint="default" w:asciiTheme="minorAscii" w:hAnsiTheme="minorAscii"/>
          <w:sz w:val="22"/>
          <w:szCs w:val="22"/>
        </w:rPr>
      </w:pPr>
      <w:r>
        <w:rPr>
          <w:rFonts w:hint="default" w:asciiTheme="minorAscii" w:hAnsiTheme="minorAscii"/>
          <w:sz w:val="22"/>
          <w:szCs w:val="22"/>
        </w:rPr>
        <w:t>Certain time periods, particularly late night hours, exhibit higher suspicious activity.</w:t>
      </w:r>
    </w:p>
    <w:p w14:paraId="21A77CF7">
      <w:pPr>
        <w:rPr>
          <w:rFonts w:hint="default" w:asciiTheme="minorAscii" w:hAnsiTheme="minorAscii"/>
          <w:sz w:val="22"/>
          <w:szCs w:val="22"/>
        </w:rPr>
      </w:pPr>
      <w:r>
        <w:rPr>
          <w:rFonts w:hint="default" w:asciiTheme="minorAscii" w:hAnsiTheme="minorAscii"/>
          <w:sz w:val="22"/>
          <w:szCs w:val="22"/>
        </w:rPr>
        <w:t>Transactions that significantly exceed a customer's historical behaviour show higher fraud risk.</w:t>
      </w:r>
    </w:p>
    <w:p w14:paraId="00A9606C">
      <w:pPr>
        <w:rPr>
          <w:rFonts w:hint="default" w:asciiTheme="minorAscii" w:hAnsiTheme="minorAscii"/>
          <w:sz w:val="22"/>
          <w:szCs w:val="22"/>
        </w:rPr>
      </w:pPr>
      <w:r>
        <w:rPr>
          <w:rFonts w:hint="default" w:asciiTheme="minorAscii" w:hAnsiTheme="minorAscii"/>
          <w:sz w:val="22"/>
          <w:szCs w:val="22"/>
        </w:rPr>
        <w:t>Recipients previously associated with fraud tend to appear more frequently in suspicious transfers.</w:t>
      </w:r>
    </w:p>
    <w:p w14:paraId="1F35A069">
      <w:pPr>
        <w:pStyle w:val="2"/>
        <w:rPr>
          <w:rFonts w:hint="default" w:asciiTheme="minorAscii" w:hAnsiTheme="minorAscii"/>
          <w:sz w:val="22"/>
          <w:szCs w:val="22"/>
        </w:rPr>
      </w:pPr>
      <w:r>
        <w:rPr>
          <w:rFonts w:hint="default" w:asciiTheme="minorAscii" w:hAnsiTheme="minorAscii"/>
          <w:sz w:val="22"/>
          <w:szCs w:val="22"/>
        </w:rPr>
        <w:t>Conclusion</w:t>
      </w:r>
    </w:p>
    <w:p w14:paraId="4141862D">
      <w:pPr>
        <w:rPr>
          <w:rFonts w:hint="default" w:asciiTheme="minorAscii" w:hAnsiTheme="minorAscii"/>
          <w:sz w:val="22"/>
          <w:szCs w:val="22"/>
        </w:rPr>
      </w:pPr>
      <w:r>
        <w:rPr>
          <w:rFonts w:hint="default" w:asciiTheme="minorAscii" w:hAnsiTheme="minorAscii"/>
          <w:sz w:val="22"/>
          <w:szCs w:val="22"/>
        </w:rPr>
        <w:t>This project demonstrates how SQL‑based analytics can be applied to financial transaction data to identify suspicious behaviour and detect potential fraud risk.</w:t>
      </w:r>
    </w:p>
    <w:p w14:paraId="6C185186">
      <w:pPr>
        <w:rPr>
          <w:rFonts w:hint="default" w:asciiTheme="minorAscii" w:hAnsiTheme="minorAscii"/>
          <w:sz w:val="22"/>
          <w:szCs w:val="22"/>
        </w:rPr>
      </w:pPr>
      <w:r>
        <w:rPr>
          <w:rFonts w:hint="default" w:asciiTheme="minorAscii" w:hAnsiTheme="minorAscii"/>
          <w:sz w:val="22"/>
          <w:szCs w:val="22"/>
        </w:rPr>
        <w:t>By combining statistical anomaly detection, behavioural analysis, and rule‑based fraud indicators, the model provides a structured framework for highlighting high‑risk transactions.</w:t>
      </w:r>
    </w:p>
    <w:p w14:paraId="281BADE9">
      <w:pPr>
        <w:rPr>
          <w:rFonts w:hint="default" w:asciiTheme="minorAscii" w:hAnsiTheme="minorAscii"/>
          <w:sz w:val="22"/>
          <w:szCs w:val="22"/>
        </w:rPr>
      </w:pPr>
      <w:r>
        <w:rPr>
          <w:rFonts w:hint="default" w:asciiTheme="minorAscii" w:hAnsiTheme="minorAscii"/>
          <w:sz w:val="22"/>
          <w:szCs w:val="22"/>
        </w:rPr>
        <w:t>Such analytical approaches can support fraud monitoring teams in prioritizing investigations and understanding fraud behaviour patterns.</w:t>
      </w:r>
    </w:p>
    <w:p w14:paraId="50C2CF61">
      <w:pPr>
        <w:pStyle w:val="2"/>
        <w:rPr>
          <w:rFonts w:hint="default" w:asciiTheme="minorAscii" w:hAnsiTheme="minorAscii"/>
          <w:sz w:val="22"/>
          <w:szCs w:val="22"/>
        </w:rPr>
      </w:pPr>
      <w:r>
        <w:rPr>
          <w:rFonts w:hint="default" w:asciiTheme="minorAscii" w:hAnsiTheme="minorAscii"/>
          <w:sz w:val="22"/>
          <w:szCs w:val="22"/>
        </w:rPr>
        <w:t>Author</w:t>
      </w:r>
    </w:p>
    <w:p w14:paraId="129E1158">
      <w:pPr>
        <w:rPr>
          <w:rFonts w:hint="default" w:asciiTheme="minorAscii" w:hAnsiTheme="minorAscii"/>
          <w:sz w:val="22"/>
          <w:szCs w:val="22"/>
          <w:lang w:val="en-US"/>
        </w:rPr>
      </w:pPr>
      <w:r>
        <w:rPr>
          <w:rFonts w:hint="default" w:asciiTheme="minorAscii" w:hAnsiTheme="minorAscii"/>
          <w:sz w:val="22"/>
          <w:szCs w:val="22"/>
        </w:rPr>
        <w:t>Vipin Rahate</w:t>
      </w:r>
      <w:r>
        <w:rPr>
          <w:rFonts w:hint="default" w:asciiTheme="minorAscii" w:hAnsiTheme="minorAscii"/>
          <w:sz w:val="22"/>
          <w:szCs w:val="22"/>
        </w:rPr>
        <w:br w:type="textWrapping"/>
      </w:r>
      <w:r>
        <w:rPr>
          <w:rFonts w:hint="default" w:asciiTheme="minorAscii" w:hAnsiTheme="minorAscii"/>
          <w:sz w:val="22"/>
          <w:szCs w:val="22"/>
        </w:rPr>
        <w:t xml:space="preserve">Data Analytics Project – Fraud Risk Analysis using </w:t>
      </w:r>
      <w:r>
        <w:rPr>
          <w:rFonts w:hint="default" w:asciiTheme="minorAscii" w:hAnsiTheme="minorAscii"/>
          <w:sz w:val="22"/>
          <w:szCs w:val="22"/>
          <w:lang w:val="en-US"/>
        </w:rPr>
        <w:t xml:space="preserve">SQL in </w:t>
      </w:r>
      <w:r>
        <w:rPr>
          <w:rFonts w:hint="default" w:asciiTheme="minorAscii" w:hAnsiTheme="minorAscii"/>
          <w:sz w:val="22"/>
          <w:szCs w:val="22"/>
        </w:rPr>
        <w:t>Databricks</w:t>
      </w:r>
      <w:r>
        <w:rPr>
          <w:rFonts w:hint="default" w:asciiTheme="minorAscii" w:hAnsiTheme="minorAscii"/>
          <w:sz w:val="22"/>
          <w:szCs w:val="22"/>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3E1B1D"/>
    <w:rsid w:val="7CB856A4"/>
    <w:rsid w:val="9947A947"/>
    <w:rsid w:val="AD7DE048"/>
    <w:rsid w:val="E65776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Vipin Rahate</cp:lastModifiedBy>
  <dcterms:modified xsi:type="dcterms:W3CDTF">2026-03-10T18:06:33Z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1FC0EAA3C0858DCEC25CB069BF4D959B_43</vt:lpwstr>
  </property>
</Properties>
</file>