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400" w:line="276" w:lineRule="auto"/>
      </w:pPr>
      <w:r>
        <w:rPr>
          <w:b/>
          <w:i w:val="0"/>
          <w:color w:val="4361EE"/>
          <w:sz w:val="40"/>
        </w:rPr>
        <w:t>Vipin’s ValuMetrics™</w:t>
      </w:r>
    </w:p>
    <w:p>
      <w:pPr>
        <w:spacing w:after="360" w:before="0" w:line="276" w:lineRule="auto"/>
      </w:pPr>
      <w:r>
        <w:rPr>
          <w:b w:val="0"/>
          <w:i w:val="0"/>
          <w:color w:val="64748B"/>
          <w:sz w:val="22"/>
        </w:rPr>
        <w:t>Institutional Valuation &amp; Financial Modelling</w:t>
      </w:r>
    </w:p>
    <w:p>
      <w:pPr>
        <w:pBdr>
          <w:bottom w:val="single" w:sz="18" w:space="6" w:color="4361EE"/>
        </w:pBdr>
        <w:spacing w:after="280"/>
      </w:pPr>
    </w:p>
    <w:p>
      <w:pPr>
        <w:spacing w:after="40" w:before="0" w:line="276" w:lineRule="auto"/>
      </w:pPr>
      <w:r>
        <w:rPr>
          <w:b w:val="0"/>
          <w:i w:val="0"/>
          <w:color w:val="1E293B"/>
          <w:sz w:val="30"/>
        </w:rPr>
        <w:t>The Complete Guide to</w:t>
      </w:r>
    </w:p>
    <w:p>
      <w:pPr>
        <w:spacing w:after="40" w:before="0" w:line="276" w:lineRule="auto"/>
      </w:pPr>
      <w:r>
        <w:rPr>
          <w:b/>
          <w:i w:val="0"/>
          <w:color w:val="1E293B"/>
          <w:sz w:val="60"/>
        </w:rPr>
        <w:t>Company Valuation</w:t>
      </w:r>
    </w:p>
    <w:p>
      <w:pPr>
        <w:spacing w:after="600" w:before="0" w:line="276" w:lineRule="auto"/>
      </w:pPr>
      <w:r>
        <w:rPr>
          <w:b w:val="0"/>
          <w:i/>
          <w:color w:val="7209B7"/>
          <w:sz w:val="24"/>
        </w:rPr>
        <w:t>Concepts · Key Terms · Ratios · Indicators · Methods &amp; Worked Examples</w:t>
      </w:r>
    </w:p>
    <w:p>
      <w:pPr>
        <w:spacing w:after="1200" w:before="0" w:line="276" w:lineRule="auto"/>
      </w:pPr>
      <w:r>
        <w:rPr>
          <w:b w:val="0"/>
          <w:i/>
          <w:color w:val="64748B"/>
          <w:sz w:val="22"/>
        </w:rPr>
        <w:t>A practitioner’s handbook — from first principles to a full discounted-cash-flow valuation, written the way a senior analyst at a global asset manager would teach it.</w:t>
      </w:r>
    </w:p>
    <w:p>
      <w:pPr>
        <w:spacing w:after="20" w:before="0" w:line="276" w:lineRule="auto"/>
      </w:pPr>
      <w:r>
        <w:rPr>
          <w:b/>
          <w:i w:val="0"/>
          <w:color w:val="1E293B"/>
          <w:sz w:val="22"/>
        </w:rPr>
        <w:t>Prepared by Vipin’s ValuMetrics™</w:t>
      </w:r>
    </w:p>
    <w:p>
      <w:pPr>
        <w:spacing w:after="20" w:before="0" w:line="276" w:lineRule="auto"/>
      </w:pPr>
      <w:r>
        <w:rPr>
          <w:b w:val="0"/>
          <w:i w:val="0"/>
          <w:color w:val="64748B"/>
          <w:sz w:val="20"/>
        </w:rPr>
        <w:t>Tel: 8160203197   ·   audit.vipin@gmail.com</w:t>
      </w:r>
    </w:p>
    <w:p>
      <w:pPr>
        <w:spacing w:after="0" w:before="0" w:line="276" w:lineRule="auto"/>
      </w:pPr>
      <w:r>
        <w:rPr>
          <w:b w:val="0"/>
          <w:i/>
          <w:color w:val="64748B"/>
          <w:sz w:val="18"/>
        </w:rPr>
        <w:t>For educational purposes — not investment advice.</w:t>
      </w:r>
    </w:p>
    <w:p>
      <w:r>
        <w:br w:type="page"/>
      </w:r>
    </w:p>
    <w:p>
      <w:pPr>
        <w:pStyle w:val="Heading1"/>
        <w:pBdr>
          <w:bottom w:val="single" w:sz="8" w:space="6" w:color="C7D2FE"/>
        </w:pBdr>
      </w:pPr>
      <w:r>
        <w:t>Table of Contents</w:t>
      </w:r>
    </w:p>
    <w:p>
      <w:r>
        <w:fldChar w:fldCharType="begin"/>
        <w:instrText xml:space="preserve">TOC \o "1-2" \h \z \u</w:instrText>
        <w:fldChar w:fldCharType="separate"/>
        <w:t>Right-click here and choose “Update Field” to build the contents.</w:t>
        <w:fldChar w:fldCharType="end"/>
      </w:r>
    </w:p>
    <w:p>
      <w:r>
        <w:br w:type="page"/>
      </w:r>
    </w:p>
    <w:p>
      <w:pPr>
        <w:pStyle w:val="Heading1"/>
        <w:pBdr>
          <w:bottom w:val="single" w:sz="8" w:space="6" w:color="C7D2FE"/>
        </w:pBdr>
      </w:pPr>
      <w:r>
        <w:t>1.  What Is Valuation?</w:t>
      </w:r>
    </w:p>
    <w:p>
      <w:pPr>
        <w:spacing w:after="120" w:before="0" w:line="276" w:lineRule="auto"/>
      </w:pPr>
      <w:r>
        <w:rPr>
          <w:b w:val="0"/>
          <w:i w:val="0"/>
          <w:color w:val="1E293B"/>
          <w:sz w:val="21"/>
        </w:rPr>
        <w:t xml:space="preserve">Valuation is the process of estimating what a business, asset, or security is </w:t>
      </w:r>
      <w:r>
        <w:rPr>
          <w:b/>
          <w:i w:val="0"/>
          <w:color w:val="1E293B"/>
          <w:sz w:val="21"/>
        </w:rPr>
        <w:t>really worth</w:t>
      </w:r>
      <w:r>
        <w:rPr>
          <w:b w:val="0"/>
          <w:i w:val="0"/>
          <w:color w:val="1E293B"/>
          <w:sz w:val="21"/>
        </w:rPr>
        <w:t xml:space="preserve"> — its </w:t>
      </w:r>
      <w:r>
        <w:rPr>
          <w:b/>
          <w:i w:val="0"/>
          <w:color w:val="1E293B"/>
          <w:sz w:val="21"/>
        </w:rPr>
        <w:t>intrinsic value</w:t>
      </w:r>
      <w:r>
        <w:rPr>
          <w:b w:val="0"/>
          <w:i w:val="0"/>
          <w:color w:val="1E293B"/>
          <w:sz w:val="21"/>
        </w:rPr>
        <w:t xml:space="preserve"> — as opposed to the price the market happens to be quoting today. The central idea, going back to John Burr Williams (1938), is simple:</w:t>
      </w:r>
    </w:p>
    <w:p>
      <w:pPr>
        <w:pBdr>
          <w:left w:val="single" w:sz="18" w:space="8" w:color="4361EE"/>
        </w:pBdr>
        <w:shd w:val="clear" w:color="auto" w:fill="EEF2FF"/>
        <w:spacing w:before="80" w:after="120"/>
        <w:ind w:left="120" w:right="120"/>
      </w:pPr>
      <w:r>
        <w:rPr>
          <w:b/>
          <w:color w:val="4361EE"/>
        </w:rPr>
        <w:t xml:space="preserve">Core principle:  </w:t>
      </w:r>
      <w:r>
        <w:rPr>
          <w:rFonts w:ascii="Consolas" w:hAnsi="Consolas"/>
          <w:i/>
          <w:color w:val="1E293B"/>
        </w:rPr>
        <w:t>The value of any asset = the present value of the cash it will generate over its life.</w:t>
      </w:r>
      <w:r>
        <w:rPr>
          <w:i/>
          <w:color w:val="64748B"/>
          <w:sz w:val="18"/>
        </w:rPr>
        <w:t xml:space="preserve">   — discounted for time and risk</w:t>
      </w:r>
    </w:p>
    <w:p>
      <w:pPr>
        <w:spacing w:after="120" w:before="0" w:line="276" w:lineRule="auto"/>
      </w:pPr>
      <w:r>
        <w:rPr>
          <w:b w:val="0"/>
          <w:i w:val="0"/>
          <w:color w:val="1E293B"/>
          <w:sz w:val="21"/>
        </w:rPr>
        <w:t>Price is what you pay; value is what you get. The two converge over the long run but can diverge sharply in the short run — and that gap is where investment opportunity (or risk) lives.</w:t>
      </w:r>
    </w:p>
    <w:p>
      <w:pPr>
        <w:pStyle w:val="Heading2"/>
      </w:pPr>
      <w:r>
        <w:t>Why we value companies</w:t>
      </w:r>
    </w:p>
    <w:p>
      <w:pPr>
        <w:pStyle w:val="ListBullet"/>
        <w:spacing w:after="60"/>
      </w:pPr>
      <w:r>
        <w:rPr>
          <w:b/>
          <w:i w:val="0"/>
          <w:color w:val="1E293B"/>
          <w:sz w:val="21"/>
        </w:rPr>
        <w:t xml:space="preserve">Investing: </w:t>
      </w:r>
      <w:r>
        <w:rPr>
          <w:b w:val="0"/>
          <w:i w:val="0"/>
          <w:color w:val="1E293B"/>
          <w:sz w:val="21"/>
        </w:rPr>
        <w:t>decide whether a stock is cheap or expensive versus its intrinsic worth.</w:t>
      </w:r>
    </w:p>
    <w:p>
      <w:pPr>
        <w:pStyle w:val="ListBullet"/>
        <w:spacing w:after="60"/>
      </w:pPr>
      <w:r>
        <w:rPr>
          <w:b/>
          <w:i w:val="0"/>
          <w:color w:val="1E293B"/>
          <w:sz w:val="21"/>
        </w:rPr>
        <w:t xml:space="preserve">M&amp;A / private deals: </w:t>
      </w:r>
      <w:r>
        <w:rPr>
          <w:b w:val="0"/>
          <w:i w:val="0"/>
          <w:color w:val="1E293B"/>
          <w:sz w:val="21"/>
        </w:rPr>
        <w:t>set an offer price or defend a sale price.</w:t>
      </w:r>
    </w:p>
    <w:p>
      <w:pPr>
        <w:pStyle w:val="ListBullet"/>
        <w:spacing w:after="60"/>
      </w:pPr>
      <w:r>
        <w:rPr>
          <w:b/>
          <w:i w:val="0"/>
          <w:color w:val="1E293B"/>
          <w:sz w:val="21"/>
        </w:rPr>
        <w:t xml:space="preserve">Corporate finance: </w:t>
      </w:r>
      <w:r>
        <w:rPr>
          <w:b w:val="0"/>
          <w:i w:val="0"/>
          <w:color w:val="1E293B"/>
          <w:sz w:val="21"/>
        </w:rPr>
        <w:t>evaluate projects, capital allocation and value creation.</w:t>
      </w:r>
    </w:p>
    <w:p>
      <w:pPr>
        <w:pStyle w:val="ListBullet"/>
        <w:spacing w:after="60"/>
      </w:pPr>
      <w:r>
        <w:rPr>
          <w:b/>
          <w:i w:val="0"/>
          <w:color w:val="1E293B"/>
          <w:sz w:val="21"/>
        </w:rPr>
        <w:t xml:space="preserve">Fundraising, ESOPs, disputes, tax: </w:t>
      </w:r>
      <w:r>
        <w:rPr>
          <w:b w:val="0"/>
          <w:i w:val="0"/>
          <w:color w:val="1E293B"/>
          <w:sz w:val="21"/>
        </w:rPr>
        <w:t>a defensible number is required.</w:t>
      </w:r>
    </w:p>
    <w:p>
      <w:pPr>
        <w:pStyle w:val="Heading2"/>
      </w:pPr>
      <w:r>
        <w:t>Two broad philosophies</w:t>
      </w:r>
    </w:p>
    <w:tbl>
      <w:tblPr>
        <w:tblW w:w="9360" w:type="dxa"/>
        <w:jc w:val="center"/>
        <w:tblLayout w:type="fixed"/>
        <w:tblLook w:firstColumn="1" w:firstRow="1" w:lastColumn="0" w:lastRow="0" w:noHBand="0" w:noVBand="1" w:val="04A0"/>
      </w:tblPr>
      <w:tblGrid>
        <w:gridCol w:w="3120"/>
        <w:gridCol w:w="3120"/>
        <w:gridCol w:w="3120"/>
      </w:tblGrid>
      <w:tr>
        <w:tc>
          <w:tcPr>
            <w:tcW w:w="22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Approach</w:t>
            </w:r>
          </w:p>
        </w:tc>
        <w:tc>
          <w:tcPr>
            <w:tcW w:w="43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Question it answers</w:t>
            </w:r>
          </w:p>
        </w:tc>
        <w:tc>
          <w:tcPr>
            <w:tcW w:w="28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Main methods</w:t>
            </w:r>
          </w:p>
        </w:tc>
      </w:tr>
      <w:tr>
        <w:tc>
          <w:tcPr>
            <w:tcW w:w="2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4361EE"/>
                <w:sz w:val="19"/>
              </w:rPr>
              <w:t>Intrinsic (absolute)</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What is the business worth on its own fundamentals?</w:t>
            </w:r>
          </w:p>
        </w:tc>
        <w:tc>
          <w:tcPr>
            <w:tcW w:w="28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DCF (FCFF / FCFE), Dividend Discount Model</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7209B7"/>
                <w:sz w:val="19"/>
              </w:rPr>
              <w:t>Relative (market)</w:t>
            </w:r>
          </w:p>
        </w:tc>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What are similar businesses worth right now?</w:t>
            </w:r>
          </w:p>
        </w:tc>
        <w:tc>
          <w:tcPr>
            <w:tcW w:w="28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Trading comparables, precedent transactions</w:t>
            </w:r>
          </w:p>
        </w:tc>
      </w:tr>
      <w:tr>
        <w:tc>
          <w:tcPr>
            <w:tcW w:w="2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0B981"/>
                <w:sz w:val="19"/>
              </w:rPr>
              <w:t>Asset-based</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What are the net assets worth?</w:t>
            </w:r>
          </w:p>
        </w:tc>
        <w:tc>
          <w:tcPr>
            <w:tcW w:w="28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Book value, NAV, liquidation / replacement cost</w:t>
            </w:r>
          </w:p>
        </w:tc>
      </w:tr>
      <w:tr>
        <w:tc>
          <w:tcPr>
            <w:tcW w:w="22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F59E0B"/>
                <w:sz w:val="19"/>
              </w:rPr>
              <w:t>Contingent claim</w:t>
            </w:r>
          </w:p>
        </w:tc>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What is optionality worth?</w:t>
            </w:r>
          </w:p>
        </w:tc>
        <w:tc>
          <w:tcPr>
            <w:tcW w:w="28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Real options / Black-Scholes (specialist)</w:t>
            </w:r>
          </w:p>
        </w:tc>
      </w:tr>
    </w:tbl>
    <w:p>
      <w:pPr>
        <w:spacing w:after="120" w:before="80" w:line="276" w:lineRule="auto"/>
      </w:pPr>
      <w:r>
        <w:rPr>
          <w:b w:val="0"/>
          <w:i w:val="0"/>
          <w:color w:val="1E293B"/>
          <w:sz w:val="21"/>
        </w:rPr>
        <w:t xml:space="preserve">A robust valuation </w:t>
      </w:r>
      <w:r>
        <w:rPr>
          <w:b/>
          <w:i w:val="0"/>
          <w:color w:val="1E293B"/>
          <w:sz w:val="21"/>
        </w:rPr>
        <w:t>triangulates</w:t>
      </w:r>
      <w:r>
        <w:rPr>
          <w:b w:val="0"/>
          <w:i w:val="0"/>
          <w:color w:val="1E293B"/>
          <w:sz w:val="21"/>
        </w:rPr>
        <w:t xml:space="preserve"> across several methods. No single number is “correct” — you build a defensible </w:t>
      </w:r>
      <w:r>
        <w:rPr>
          <w:b/>
          <w:i w:val="0"/>
          <w:color w:val="1E293B"/>
          <w:sz w:val="21"/>
        </w:rPr>
        <w:t>range</w:t>
      </w:r>
      <w:r>
        <w:rPr>
          <w:b w:val="0"/>
          <w:i w:val="0"/>
          <w:color w:val="1E293B"/>
          <w:sz w:val="21"/>
        </w:rPr>
        <w:t xml:space="preserve"> and form a judgement.</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4361EE"/>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4361EE"/>
                <w:sz w:val="21"/>
              </w:rPr>
              <w:t>❖  Mindset</w:t>
            </w:r>
          </w:p>
          <w:p>
            <w:pPr>
              <w:spacing w:after="40"/>
            </w:pPr>
            <w:r>
              <w:rPr>
                <w:b w:val="0"/>
                <w:i w:val="0"/>
                <w:color w:val="1E293B"/>
                <w:sz w:val="20"/>
              </w:rPr>
              <w:t>Garbage in, garbage out: a DCF is only as good as its assumptions.</w:t>
            </w:r>
          </w:p>
          <w:p>
            <w:pPr>
              <w:spacing w:after="40"/>
            </w:pPr>
            <w:r>
              <w:rPr>
                <w:b w:val="0"/>
                <w:i w:val="0"/>
                <w:color w:val="1E293B"/>
                <w:sz w:val="20"/>
              </w:rPr>
              <w:t>Be explicit about every assumption and pressure-test the ones that matter most.</w:t>
            </w:r>
          </w:p>
          <w:p>
            <w:pPr>
              <w:spacing w:after="40"/>
            </w:pPr>
            <w:r>
              <w:rPr>
                <w:b w:val="0"/>
                <w:i w:val="0"/>
                <w:color w:val="1E293B"/>
                <w:sz w:val="20"/>
              </w:rPr>
              <w:t>A simple model you understand beats a complex one you don’t.</w:t>
            </w:r>
          </w:p>
        </w:tc>
      </w:tr>
    </w:tbl>
    <w:p>
      <w:r>
        <w:br w:type="page"/>
      </w:r>
    </w:p>
    <w:p>
      <w:pPr>
        <w:pStyle w:val="Heading1"/>
        <w:pBdr>
          <w:bottom w:val="single" w:sz="8" w:space="6" w:color="C7D2FE"/>
        </w:pBdr>
      </w:pPr>
      <w:r>
        <w:t>2.  Key Terms &amp; Building Blocks</w:t>
      </w:r>
    </w:p>
    <w:p>
      <w:pPr>
        <w:spacing w:after="120" w:before="0" w:line="276" w:lineRule="auto"/>
      </w:pPr>
      <w:r>
        <w:rPr>
          <w:b w:val="0"/>
          <w:i w:val="0"/>
          <w:color w:val="1E293B"/>
          <w:sz w:val="21"/>
        </w:rPr>
        <w:t>Before any method makes sense, you need the vocabulary. These flow down the income statement and across the balance sheet.</w:t>
      </w:r>
    </w:p>
    <w:p>
      <w:pPr>
        <w:pStyle w:val="Heading2"/>
      </w:pPr>
      <w:r>
        <w:t>Income-statement ladder</w:t>
      </w:r>
    </w:p>
    <w:tbl>
      <w:tblPr>
        <w:tblW w:w="9360" w:type="dxa"/>
        <w:jc w:val="center"/>
        <w:tblLayout w:type="fixed"/>
        <w:tblLook w:firstColumn="1" w:firstRow="1" w:lastColumn="0" w:lastRow="0" w:noHBand="0" w:noVBand="1" w:val="04A0"/>
      </w:tblPr>
      <w:tblGrid>
        <w:gridCol w:w="3120"/>
        <w:gridCol w:w="3120"/>
        <w:gridCol w:w="3120"/>
      </w:tblGrid>
      <w:tr>
        <w:tc>
          <w:tcPr>
            <w:tcW w:w="21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Term</w:t>
            </w:r>
          </w:p>
        </w:tc>
        <w:tc>
          <w:tcPr>
            <w:tcW w:w="46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Definition</w:t>
            </w:r>
          </w:p>
        </w:tc>
        <w:tc>
          <w:tcPr>
            <w:tcW w:w="26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Why it matters</w:t>
            </w:r>
          </w:p>
        </w:tc>
      </w:tr>
      <w:tr>
        <w:tc>
          <w:tcPr>
            <w:tcW w:w="21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Revenue / Sales</w:t>
            </w:r>
          </w:p>
        </w:tc>
        <w:tc>
          <w:tcPr>
            <w:tcW w:w="4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Total value of goods/services sold.</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Top line; the base for all margins.</w:t>
            </w:r>
          </w:p>
        </w:tc>
      </w:tr>
      <w:tr>
        <w:tc>
          <w:tcPr>
            <w:tcW w:w="21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COGS</w:t>
            </w:r>
          </w:p>
        </w:tc>
        <w:tc>
          <w:tcPr>
            <w:tcW w:w="4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Cost of Goods Sold — direct cost of producing what was sold.</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Drives gross margin.</w:t>
            </w:r>
          </w:p>
        </w:tc>
      </w:tr>
      <w:tr>
        <w:tc>
          <w:tcPr>
            <w:tcW w:w="21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Gross Profit</w:t>
            </w:r>
          </w:p>
        </w:tc>
        <w:tc>
          <w:tcPr>
            <w:tcW w:w="4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Revenue − COGS.</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Pricing power &amp; production efficiency.</w:t>
            </w:r>
          </w:p>
        </w:tc>
      </w:tr>
      <w:tr>
        <w:tc>
          <w:tcPr>
            <w:tcW w:w="21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4361EE"/>
                <w:sz w:val="19"/>
              </w:rPr>
              <w:t>EBITDA</w:t>
            </w:r>
          </w:p>
        </w:tc>
        <w:tc>
          <w:tcPr>
            <w:tcW w:w="4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Earnings Before Interest, Tax, Depreciation &amp; Amortisation.</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Proxy for operating cash profit; capital-structure neutral.</w:t>
            </w:r>
          </w:p>
        </w:tc>
      </w:tr>
      <w:tr>
        <w:tc>
          <w:tcPr>
            <w:tcW w:w="21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EBIT</w:t>
            </w:r>
          </w:p>
        </w:tc>
        <w:tc>
          <w:tcPr>
            <w:tcW w:w="4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Operating profit = EBITDA − D&amp;A.</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Profit from core operations.</w:t>
            </w:r>
          </w:p>
        </w:tc>
      </w:tr>
      <w:tr>
        <w:tc>
          <w:tcPr>
            <w:tcW w:w="21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D&amp;A</w:t>
            </w:r>
          </w:p>
        </w:tc>
        <w:tc>
          <w:tcPr>
            <w:tcW w:w="4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Depreciation &amp; Amortisation — non-cash charge for using up assets.</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Non-cash; added back in cash-flow.</w:t>
            </w:r>
          </w:p>
        </w:tc>
      </w:tr>
      <w:tr>
        <w:tc>
          <w:tcPr>
            <w:tcW w:w="21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Interest</w:t>
            </w:r>
          </w:p>
        </w:tc>
        <w:tc>
          <w:tcPr>
            <w:tcW w:w="4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Cost of debt financing.</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Bridges operating to pre-tax profit.</w:t>
            </w:r>
          </w:p>
        </w:tc>
      </w:tr>
      <w:tr>
        <w:tc>
          <w:tcPr>
            <w:tcW w:w="21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PBT / EBT</w:t>
            </w:r>
          </w:p>
        </w:tc>
        <w:tc>
          <w:tcPr>
            <w:tcW w:w="4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Profit Before Tax.</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Taxable base.</w:t>
            </w:r>
          </w:p>
        </w:tc>
      </w:tr>
      <w:tr>
        <w:tc>
          <w:tcPr>
            <w:tcW w:w="21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7209B7"/>
                <w:sz w:val="19"/>
              </w:rPr>
              <w:t>PAT / Net Income</w:t>
            </w:r>
          </w:p>
        </w:tc>
        <w:tc>
          <w:tcPr>
            <w:tcW w:w="4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Profit After Tax — the bottom line.</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Belongs to equity holders; drives EPS.</w:t>
            </w:r>
          </w:p>
        </w:tc>
      </w:tr>
      <w:tr>
        <w:tc>
          <w:tcPr>
            <w:tcW w:w="21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0B981"/>
                <w:sz w:val="19"/>
              </w:rPr>
              <w:t>NOPAT</w:t>
            </w:r>
          </w:p>
        </w:tc>
        <w:tc>
          <w:tcPr>
            <w:tcW w:w="4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Net Operating Profit After Tax = EBIT × (1 − tax).</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Unlevered profit; core to DCF &amp; ROIC.</w:t>
            </w:r>
          </w:p>
        </w:tc>
      </w:tr>
    </w:tbl>
    <w:p>
      <w:pPr>
        <w:pStyle w:val="Heading2"/>
      </w:pPr>
      <w:r>
        <w:t>Cash-flow &amp; balance-sheet terms</w:t>
      </w:r>
    </w:p>
    <w:tbl>
      <w:tblPr>
        <w:tblW w:w="9360" w:type="dxa"/>
        <w:jc w:val="center"/>
        <w:tblLayout w:type="fixed"/>
        <w:tblLook w:firstColumn="1" w:firstRow="1" w:lastColumn="0" w:lastRow="0" w:noHBand="0" w:noVBand="1" w:val="04A0"/>
      </w:tblPr>
      <w:tblGrid>
        <w:gridCol w:w="3120"/>
        <w:gridCol w:w="3120"/>
        <w:gridCol w:w="3120"/>
      </w:tblGrid>
      <w:tr>
        <w:tc>
          <w:tcPr>
            <w:tcW w:w="24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Term</w:t>
            </w:r>
          </w:p>
        </w:tc>
        <w:tc>
          <w:tcPr>
            <w:tcW w:w="43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Definition</w:t>
            </w:r>
          </w:p>
        </w:tc>
        <w:tc>
          <w:tcPr>
            <w:tcW w:w="26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Why it matters</w:t>
            </w:r>
          </w:p>
        </w:tc>
      </w:tr>
      <w:tr>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CapEx</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Capital Expenditure — spend on long-term assets.</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Cash out; reduces free cash flow.</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Working Capital</w:t>
            </w:r>
          </w:p>
        </w:tc>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Receivables + Inventory − Payables (operating).</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Cash tied up in running the business.</w:t>
            </w:r>
          </w:p>
        </w:tc>
      </w:tr>
      <w:tr>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4361EE"/>
                <w:sz w:val="19"/>
              </w:rPr>
              <w:t>FCFF</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NOPAT + D&amp;A − CapEx − Δ Working Capital.</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Cash available to ALL investors (debt + equity).</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7209B7"/>
                <w:sz w:val="19"/>
              </w:rPr>
              <w:t>FCFE</w:t>
            </w:r>
          </w:p>
        </w:tc>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FCFF − after-tax interest + net borrowing.</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Cash available to shareholders only.</w:t>
            </w:r>
          </w:p>
        </w:tc>
      </w:tr>
      <w:tr>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Net Debt</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Total debt − cash (+ leases, if treated as debt).</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Bridges enterprise to equity value.</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0B981"/>
                <w:sz w:val="19"/>
              </w:rPr>
              <w:t>Enterprise Value (EV)</w:t>
            </w:r>
          </w:p>
        </w:tc>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Equity + Net Debt + Minorities + Preferred − Associates.</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Capital-structure neutral; used with EBITDA/Sales.</w:t>
            </w:r>
          </w:p>
        </w:tc>
      </w:tr>
      <w:tr>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Equity Value</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EV − Net Debt (and bridge items).</w:t>
            </w:r>
          </w:p>
        </w:tc>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shares = value per share.</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06B6D4"/>
                <w:sz w:val="19"/>
              </w:rPr>
              <w:t>Invested Capital</w:t>
            </w:r>
          </w:p>
        </w:tc>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Working Capital + Net Fixed Assets.</w:t>
            </w:r>
          </w:p>
        </w:tc>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Denominator of ROIC.</w:t>
            </w:r>
          </w:p>
        </w:tc>
      </w:tr>
    </w:tbl>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EF4444"/>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EF4444"/>
                <w:sz w:val="21"/>
              </w:rPr>
              <w:t>❖  EV vs Equity Value — the #1 beginner trap</w:t>
            </w:r>
          </w:p>
          <w:p>
            <w:pPr>
              <w:spacing w:after="40"/>
            </w:pPr>
            <w:r>
              <w:rPr>
                <w:b w:val="0"/>
                <w:i w:val="0"/>
                <w:color w:val="1E293B"/>
                <w:sz w:val="20"/>
              </w:rPr>
              <w:t xml:space="preserve">Pair the right multiple with the right value. </w:t>
            </w:r>
            <w:r>
              <w:rPr>
                <w:b/>
                <w:i w:val="0"/>
                <w:color w:val="1E293B"/>
                <w:sz w:val="20"/>
              </w:rPr>
              <w:t>EV</w:t>
            </w:r>
            <w:r>
              <w:rPr>
                <w:b w:val="0"/>
                <w:i w:val="0"/>
                <w:color w:val="1E293B"/>
                <w:sz w:val="20"/>
              </w:rPr>
              <w:t xml:space="preserve"> multiples use pre-debt metrics (EBITDA, EBIT, Sales). </w:t>
            </w:r>
            <w:r>
              <w:rPr>
                <w:b/>
                <w:i w:val="0"/>
                <w:color w:val="1E293B"/>
                <w:sz w:val="20"/>
              </w:rPr>
              <w:t>Equity</w:t>
            </w:r>
            <w:r>
              <w:rPr>
                <w:b w:val="0"/>
                <w:i w:val="0"/>
                <w:color w:val="1E293B"/>
                <w:sz w:val="20"/>
              </w:rPr>
              <w:t xml:space="preserve"> multiples use post-debt metrics (Net income → P/E, Book value → P/B).</w:t>
            </w:r>
          </w:p>
          <w:p>
            <w:pPr>
              <w:spacing w:after="40"/>
            </w:pPr>
            <w:r>
              <w:rPr>
                <w:b/>
                <w:i w:val="0"/>
                <w:color w:val="1E293B"/>
                <w:sz w:val="20"/>
              </w:rPr>
              <w:t>Equity Value = EV − Net Debt − Minority Interest − Preferred + Investments/Associates.</w:t>
            </w:r>
          </w:p>
        </w:tc>
      </w:tr>
    </w:tbl>
    <w:p>
      <w:r>
        <w:br w:type="page"/>
      </w:r>
    </w:p>
    <w:p>
      <w:pPr>
        <w:pStyle w:val="Heading1"/>
        <w:pBdr>
          <w:bottom w:val="single" w:sz="8" w:space="6" w:color="C7D2FE"/>
        </w:pBdr>
      </w:pPr>
      <w:r>
        <w:t>3.  The Three Financial Statements (and how they link)</w:t>
      </w:r>
    </w:p>
    <w:p>
      <w:pPr>
        <w:spacing w:after="120" w:before="0" w:line="276" w:lineRule="auto"/>
      </w:pPr>
      <w:r>
        <w:rPr>
          <w:b w:val="0"/>
          <w:i w:val="0"/>
          <w:color w:val="1E293B"/>
          <w:sz w:val="21"/>
        </w:rPr>
        <w:t>Every valuation rests on three statements that articulate together. Master the linkages and you can model any company.</w:t>
      </w:r>
    </w:p>
    <w:tbl>
      <w:tblPr>
        <w:tblW w:w="9360" w:type="dxa"/>
        <w:jc w:val="center"/>
        <w:tblLayout w:type="fixed"/>
        <w:tblLook w:firstColumn="1" w:firstRow="1" w:lastColumn="0" w:lastRow="0" w:noHBand="0" w:noVBand="1" w:val="04A0"/>
      </w:tblPr>
      <w:tblGrid>
        <w:gridCol w:w="3120"/>
        <w:gridCol w:w="3120"/>
        <w:gridCol w:w="3120"/>
      </w:tblGrid>
      <w:tr>
        <w:tc>
          <w:tcPr>
            <w:tcW w:w="29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Statement</w:t>
            </w:r>
          </w:p>
        </w:tc>
        <w:tc>
          <w:tcPr>
            <w:tcW w:w="40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Shows</w:t>
            </w:r>
          </w:p>
        </w:tc>
        <w:tc>
          <w:tcPr>
            <w:tcW w:w="24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Key question</w:t>
            </w:r>
          </w:p>
        </w:tc>
      </w:tr>
      <w:tr>
        <w:tc>
          <w:tcPr>
            <w:tcW w:w="29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4361EE"/>
                <w:sz w:val="19"/>
              </w:rPr>
              <w:t>Income Statement (P&amp;L)</w:t>
            </w:r>
          </w:p>
        </w:tc>
        <w:tc>
          <w:tcPr>
            <w:tcW w:w="40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Revenue, costs and profit over a period.</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Is the company profitable?</w:t>
            </w:r>
          </w:p>
        </w:tc>
      </w:tr>
      <w:tr>
        <w:tc>
          <w:tcPr>
            <w:tcW w:w="29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7209B7"/>
                <w:sz w:val="19"/>
              </w:rPr>
              <w:t>Balance Sheet</w:t>
            </w:r>
          </w:p>
        </w:tc>
        <w:tc>
          <w:tcPr>
            <w:tcW w:w="40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Assets, liabilities and equity at a point in time.</w:t>
            </w:r>
          </w:p>
        </w:tc>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What does it own and owe?</w:t>
            </w:r>
          </w:p>
        </w:tc>
      </w:tr>
      <w:tr>
        <w:tc>
          <w:tcPr>
            <w:tcW w:w="29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0B981"/>
                <w:sz w:val="19"/>
              </w:rPr>
              <w:t>Cash Flow Statement</w:t>
            </w:r>
          </w:p>
        </w:tc>
        <w:tc>
          <w:tcPr>
            <w:tcW w:w="40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Cash across operating, investing and financing.</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Is profit turning into cash?</w:t>
            </w:r>
          </w:p>
        </w:tc>
      </w:tr>
    </w:tbl>
    <w:p>
      <w:pPr>
        <w:pStyle w:val="Heading2"/>
      </w:pPr>
      <w:r>
        <w:t>How they connect</w:t>
      </w:r>
    </w:p>
    <w:p>
      <w:pPr>
        <w:pStyle w:val="ListNumber"/>
        <w:spacing w:after="80"/>
      </w:pPr>
      <w:r>
        <w:rPr>
          <w:b/>
          <w:i w:val="0"/>
          <w:color w:val="1E293B"/>
          <w:sz w:val="21"/>
        </w:rPr>
        <w:t xml:space="preserve">P&amp;L → Balance Sheet: </w:t>
      </w:r>
      <w:r>
        <w:rPr>
          <w:b w:val="0"/>
          <w:i w:val="0"/>
          <w:color w:val="1E293B"/>
          <w:sz w:val="21"/>
        </w:rPr>
        <w:t>net profit (less dividends) flows into Retained Earnings / Reserves.</w:t>
      </w:r>
    </w:p>
    <w:p>
      <w:pPr>
        <w:pStyle w:val="ListNumber"/>
        <w:spacing w:after="80"/>
      </w:pPr>
      <w:r>
        <w:rPr>
          <w:b/>
          <w:i w:val="0"/>
          <w:color w:val="1E293B"/>
          <w:sz w:val="21"/>
        </w:rPr>
        <w:t xml:space="preserve">P&amp;L → Cash Flow: </w:t>
      </w:r>
      <w:r>
        <w:rPr>
          <w:b w:val="0"/>
          <w:i w:val="0"/>
          <w:color w:val="1E293B"/>
          <w:sz w:val="21"/>
        </w:rPr>
        <w:t>net profit is the starting line of Cash Flow from Operations.</w:t>
      </w:r>
    </w:p>
    <w:p>
      <w:pPr>
        <w:pStyle w:val="ListNumber"/>
        <w:spacing w:after="80"/>
      </w:pPr>
      <w:r>
        <w:rPr>
          <w:b/>
          <w:i w:val="0"/>
          <w:color w:val="1E293B"/>
          <w:sz w:val="21"/>
        </w:rPr>
        <w:t xml:space="preserve">Cash Flow → Balance Sheet: </w:t>
      </w:r>
      <w:r>
        <w:rPr>
          <w:b w:val="0"/>
          <w:i w:val="0"/>
          <w:color w:val="1E293B"/>
          <w:sz w:val="21"/>
        </w:rPr>
        <w:t>the net change in cash updates the cash balance; the sheet then balances.</w:t>
      </w:r>
    </w:p>
    <w:p>
      <w:pPr>
        <w:pStyle w:val="ListNumber"/>
        <w:spacing w:after="80"/>
      </w:pPr>
      <w:r>
        <w:rPr>
          <w:b/>
          <w:i w:val="0"/>
          <w:color w:val="1E293B"/>
          <w:sz w:val="21"/>
        </w:rPr>
        <w:t xml:space="preserve">Balance Sheet → P&amp;L: </w:t>
      </w:r>
      <w:r>
        <w:rPr>
          <w:b w:val="0"/>
          <w:i w:val="0"/>
          <w:color w:val="1E293B"/>
          <w:sz w:val="21"/>
        </w:rPr>
        <w:t>debt drives interest expense; fixed assets drive depreciation.</w:t>
      </w:r>
    </w:p>
    <w:p>
      <w:pPr>
        <w:pBdr>
          <w:left w:val="single" w:sz="18" w:space="8" w:color="4361EE"/>
        </w:pBdr>
        <w:shd w:val="clear" w:color="auto" w:fill="EEF2FF"/>
        <w:spacing w:before="80" w:after="120"/>
        <w:ind w:left="120" w:right="120"/>
      </w:pPr>
      <w:r>
        <w:rPr>
          <w:b/>
          <w:color w:val="4361EE"/>
        </w:rPr>
        <w:t xml:space="preserve">The accounting identity:  </w:t>
      </w:r>
      <w:r>
        <w:rPr>
          <w:rFonts w:ascii="Consolas" w:hAnsi="Consolas"/>
          <w:i/>
          <w:color w:val="1E293B"/>
        </w:rPr>
        <w:t>Assets = Liabilities + Shareholders’ Equity</w:t>
      </w:r>
      <w:r>
        <w:rPr>
          <w:i/>
          <w:color w:val="64748B"/>
          <w:sz w:val="18"/>
        </w:rPr>
        <w:t xml:space="preserve">   — must always hold — a balanced model proves it</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10B981"/>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10B981"/>
                <w:sz w:val="21"/>
              </w:rPr>
              <w:t>❖  Quality check</w:t>
            </w:r>
          </w:p>
          <w:p>
            <w:pPr>
              <w:spacing w:after="40"/>
            </w:pPr>
            <w:r>
              <w:rPr>
                <w:b w:val="0"/>
                <w:i w:val="0"/>
                <w:color w:val="1E293B"/>
                <w:sz w:val="20"/>
              </w:rPr>
              <w:t>Profit can be engineered; cash is harder to fake. Always compare PAT with Cash Flow from Operations.</w:t>
            </w:r>
          </w:p>
          <w:p>
            <w:pPr>
              <w:spacing w:after="40"/>
            </w:pPr>
            <w:r>
              <w:rPr>
                <w:b/>
                <w:i w:val="0"/>
                <w:color w:val="1E293B"/>
                <w:sz w:val="20"/>
              </w:rPr>
              <w:t>CFO / PAT ≥ 0.9</w:t>
            </w:r>
            <w:r>
              <w:rPr>
                <w:b w:val="0"/>
                <w:i w:val="0"/>
                <w:color w:val="1E293B"/>
                <w:sz w:val="20"/>
              </w:rPr>
              <w:t xml:space="preserve"> over time signals high-quality, cash-backed earnings.</w:t>
            </w:r>
          </w:p>
        </w:tc>
      </w:tr>
    </w:tbl>
    <w:p>
      <w:r>
        <w:br w:type="page"/>
      </w:r>
    </w:p>
    <w:p>
      <w:pPr>
        <w:pStyle w:val="Heading1"/>
        <w:pBdr>
          <w:bottom w:val="single" w:sz="8" w:space="6" w:color="C7D2FE"/>
        </w:pBdr>
      </w:pPr>
      <w:r>
        <w:t>4.  Key Ratios &amp; Indicators</w:t>
      </w:r>
    </w:p>
    <w:p>
      <w:pPr>
        <w:spacing w:after="120" w:before="0" w:line="276" w:lineRule="auto"/>
      </w:pPr>
      <w:r>
        <w:rPr>
          <w:b w:val="0"/>
          <w:i w:val="0"/>
          <w:color w:val="1E293B"/>
          <w:sz w:val="21"/>
        </w:rPr>
        <w:t>Ratios turn raw numbers into comparable insight. We group them into five families plus valuation multiples. Worked figures below use a sample mid-cap, Vipin Corporation Ltd. (FY24).</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4361EE"/>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4361EE"/>
                <w:sz w:val="21"/>
              </w:rPr>
              <w:t>Sample company snapshot (FY24, ₹ Cr)</w:t>
            </w:r>
          </w:p>
          <w:p>
            <w:pPr>
              <w:spacing w:after="40"/>
            </w:pPr>
            <w:r>
              <w:rPr>
                <w:b w:val="0"/>
                <w:i w:val="0"/>
                <w:color w:val="1E293B"/>
                <w:sz w:val="20"/>
              </w:rPr>
              <w:t>Revenue 1,120 · COGS 650 · Gross Profit 470 · EBITDA 302 · D&amp;A 55 · EBIT 247</w:t>
            </w:r>
          </w:p>
          <w:p>
            <w:pPr>
              <w:spacing w:after="40"/>
            </w:pPr>
            <w:r>
              <w:rPr>
                <w:b w:val="0"/>
                <w:i w:val="0"/>
                <w:color w:val="1E293B"/>
                <w:sz w:val="20"/>
              </w:rPr>
              <w:t>Interest 32 · PBT 227 · Tax @25% = 57 · PAT 170</w:t>
            </w:r>
          </w:p>
          <w:p>
            <w:pPr>
              <w:spacing w:after="40"/>
            </w:pPr>
            <w:r>
              <w:rPr>
                <w:b w:val="0"/>
                <w:i w:val="0"/>
                <w:color w:val="1E293B"/>
                <w:sz w:val="20"/>
              </w:rPr>
              <w:t>Total Assets 1,085 · Equity 700 · Total Debt 250 · Cash 120 · Inventory 188 · Receivables 175 · Payables 120</w:t>
            </w:r>
          </w:p>
          <w:p>
            <w:pPr>
              <w:spacing w:after="40"/>
            </w:pPr>
            <w:r>
              <w:rPr>
                <w:b w:val="0"/>
                <w:i w:val="0"/>
                <w:color w:val="1E293B"/>
                <w:sz w:val="20"/>
              </w:rPr>
              <w:t>Market price ₹310/sh · Shares 10 Cr · Market Cap ₹3,100 Cr</w:t>
            </w:r>
          </w:p>
        </w:tc>
      </w:tr>
    </w:tbl>
    <w:p>
      <w:pPr>
        <w:pStyle w:val="Heading2"/>
      </w:pPr>
      <w:r>
        <w:t>4.1  Profitability ratios</w:t>
      </w:r>
    </w:p>
    <w:tbl>
      <w:tblPr>
        <w:tblW w:w="9360" w:type="dxa"/>
        <w:jc w:val="center"/>
        <w:tblLayout w:type="fixed"/>
        <w:tblLook w:firstColumn="1" w:firstRow="1" w:lastColumn="0" w:lastRow="0" w:noHBand="0" w:noVBand="1" w:val="04A0"/>
      </w:tblPr>
      <w:tblGrid>
        <w:gridCol w:w="2340"/>
        <w:gridCol w:w="2340"/>
        <w:gridCol w:w="2340"/>
        <w:gridCol w:w="2340"/>
      </w:tblGrid>
      <w:tr>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Ratio</w:t>
            </w:r>
          </w:p>
        </w:tc>
        <w:tc>
          <w:tcPr>
            <w:tcW w:w="27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Formula</w:t>
            </w:r>
          </w:p>
        </w:tc>
        <w:tc>
          <w:tcPr>
            <w:tcW w:w="26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Tells you</w:t>
            </w:r>
          </w:p>
        </w:tc>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Example (FY24)</w:t>
            </w:r>
          </w:p>
        </w:tc>
      </w:tr>
      <w:tr>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Gross Margin</w:t>
            </w:r>
          </w:p>
        </w:tc>
        <w:tc>
          <w:tcPr>
            <w:tcW w:w="27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Gross Profit ÷ Revenue</w:t>
            </w:r>
          </w:p>
        </w:tc>
        <w:tc>
          <w:tcPr>
            <w:tcW w:w="2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Pricing power &amp; efficiency</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470 / 1,120 = 42.0%</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EBITDA Margin</w:t>
            </w:r>
          </w:p>
        </w:tc>
        <w:tc>
          <w:tcPr>
            <w:tcW w:w="27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EBITDA ÷ Revenue</w:t>
            </w:r>
          </w:p>
        </w:tc>
        <w:tc>
          <w:tcPr>
            <w:tcW w:w="2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Core operating cash profitability</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302 / 1,120 = 27.0%</w:t>
            </w:r>
          </w:p>
        </w:tc>
      </w:tr>
      <w:tr>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EBIT / Operating Margin</w:t>
            </w:r>
          </w:p>
        </w:tc>
        <w:tc>
          <w:tcPr>
            <w:tcW w:w="27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EBIT ÷ Revenue</w:t>
            </w:r>
          </w:p>
        </w:tc>
        <w:tc>
          <w:tcPr>
            <w:tcW w:w="2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Profit after capital wear (D&amp;A)</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247 / 1,120 = 22.0%</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Net / PAT Margin</w:t>
            </w:r>
          </w:p>
        </w:tc>
        <w:tc>
          <w:tcPr>
            <w:tcW w:w="27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PAT ÷ Revenue</w:t>
            </w:r>
          </w:p>
        </w:tc>
        <w:tc>
          <w:tcPr>
            <w:tcW w:w="2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Bottom-line profitability</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170 / 1,120 = 15.2%</w:t>
            </w:r>
          </w:p>
        </w:tc>
      </w:tr>
    </w:tbl>
    <w:p>
      <w:pPr>
        <w:pStyle w:val="Heading2"/>
      </w:pPr>
      <w:r>
        <w:t>4.2  Return ratios — the heart of quality</w:t>
      </w:r>
    </w:p>
    <w:tbl>
      <w:tblPr>
        <w:tblW w:w="9360" w:type="dxa"/>
        <w:jc w:val="center"/>
        <w:tblLayout w:type="fixed"/>
        <w:tblLook w:firstColumn="1" w:firstRow="1" w:lastColumn="0" w:lastRow="0" w:noHBand="0" w:noVBand="1" w:val="04A0"/>
      </w:tblPr>
      <w:tblGrid>
        <w:gridCol w:w="2340"/>
        <w:gridCol w:w="2340"/>
        <w:gridCol w:w="2340"/>
        <w:gridCol w:w="2340"/>
      </w:tblGrid>
      <w:tr>
        <w:tc>
          <w:tcPr>
            <w:tcW w:w="15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Ratio</w:t>
            </w:r>
          </w:p>
        </w:tc>
        <w:tc>
          <w:tcPr>
            <w:tcW w:w="3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Formula</w:t>
            </w:r>
          </w:p>
        </w:tc>
        <w:tc>
          <w:tcPr>
            <w:tcW w:w="28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Tells you</w:t>
            </w:r>
          </w:p>
        </w:tc>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Example</w:t>
            </w:r>
          </w:p>
        </w:tc>
      </w:tr>
      <w:tr>
        <w:tc>
          <w:tcPr>
            <w:tcW w:w="1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ROE</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PAT ÷ Shareholders’ Equity</w:t>
            </w:r>
          </w:p>
        </w:tc>
        <w:tc>
          <w:tcPr>
            <w:tcW w:w="28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Return on owners’ capital</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170 / 700 = 24.3%</w:t>
            </w:r>
          </w:p>
        </w:tc>
      </w:tr>
      <w:tr>
        <w:tc>
          <w:tcPr>
            <w:tcW w:w="15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ROCE</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EBIT ÷ Capital Employed</w:t>
            </w:r>
          </w:p>
        </w:tc>
        <w:tc>
          <w:tcPr>
            <w:tcW w:w="28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Return on all long-term capital</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247 / 950 = 26.0%</w:t>
            </w:r>
          </w:p>
        </w:tc>
      </w:tr>
      <w:tr>
        <w:tc>
          <w:tcPr>
            <w:tcW w:w="15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0B981"/>
                <w:sz w:val="19"/>
              </w:rPr>
              <w:t>ROIC</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NOPAT ÷ Invested Capital</w:t>
            </w:r>
          </w:p>
        </w:tc>
        <w:tc>
          <w:tcPr>
            <w:tcW w:w="28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Return on operating capital — vs WACC</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185 / 740 = 25.0%</w:t>
            </w:r>
          </w:p>
        </w:tc>
      </w:tr>
    </w:tbl>
    <w:p>
      <w:pPr>
        <w:spacing w:after="120" w:before="80" w:line="276" w:lineRule="auto"/>
      </w:pPr>
      <w:r>
        <w:rPr>
          <w:b w:val="0"/>
          <w:i w:val="0"/>
          <w:color w:val="1E293B"/>
          <w:sz w:val="21"/>
        </w:rPr>
        <w:t xml:space="preserve">ROIC is the single most important quality metric. A business </w:t>
      </w:r>
      <w:r>
        <w:rPr>
          <w:b/>
          <w:i w:val="0"/>
          <w:color w:val="1E293B"/>
          <w:sz w:val="21"/>
        </w:rPr>
        <w:t>creates value only when ROIC &gt; WACC</w:t>
      </w:r>
      <w:r>
        <w:rPr>
          <w:b w:val="0"/>
          <w:i w:val="0"/>
          <w:color w:val="1E293B"/>
          <w:sz w:val="21"/>
        </w:rPr>
        <w:t xml:space="preserve"> (see Section 7). DuPont decomposes ROE into its drivers:</w:t>
      </w:r>
    </w:p>
    <w:p>
      <w:pPr>
        <w:pBdr>
          <w:left w:val="single" w:sz="18" w:space="8" w:color="4361EE"/>
        </w:pBdr>
        <w:shd w:val="clear" w:color="auto" w:fill="EEF2FF"/>
        <w:spacing w:before="80" w:after="120"/>
        <w:ind w:left="120" w:right="120"/>
      </w:pPr>
      <w:r>
        <w:rPr>
          <w:b/>
          <w:color w:val="4361EE"/>
        </w:rPr>
        <w:t xml:space="preserve">DuPont:  </w:t>
      </w:r>
      <w:r>
        <w:rPr>
          <w:rFonts w:ascii="Consolas" w:hAnsi="Consolas"/>
          <w:i/>
          <w:color w:val="1E293B"/>
        </w:rPr>
        <w:t>ROE = Net Margin × Asset Turnover × Equity Multiplier</w:t>
      </w:r>
      <w:r>
        <w:rPr>
          <w:i/>
          <w:color w:val="64748B"/>
          <w:sz w:val="18"/>
        </w:rPr>
        <w:t xml:space="preserve">   — profitability × efficiency × leverage</w:t>
      </w:r>
    </w:p>
    <w:p>
      <w:pPr>
        <w:pStyle w:val="Heading2"/>
      </w:pPr>
      <w:r>
        <w:t>4.3  Leverage &amp; solvency</w:t>
      </w:r>
    </w:p>
    <w:tbl>
      <w:tblPr>
        <w:tblW w:w="9360" w:type="dxa"/>
        <w:jc w:val="center"/>
        <w:tblLayout w:type="fixed"/>
        <w:tblLook w:firstColumn="1" w:firstRow="1" w:lastColumn="0" w:lastRow="0" w:noHBand="0" w:noVBand="1" w:val="04A0"/>
      </w:tblPr>
      <w:tblGrid>
        <w:gridCol w:w="2340"/>
        <w:gridCol w:w="2340"/>
        <w:gridCol w:w="2340"/>
        <w:gridCol w:w="2340"/>
      </w:tblGrid>
      <w:tr>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Ratio</w:t>
            </w:r>
          </w:p>
        </w:tc>
        <w:tc>
          <w:tcPr>
            <w:tcW w:w="27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Formula</w:t>
            </w:r>
          </w:p>
        </w:tc>
        <w:tc>
          <w:tcPr>
            <w:tcW w:w="26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Tells you</w:t>
            </w:r>
          </w:p>
        </w:tc>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Example</w:t>
            </w:r>
          </w:p>
        </w:tc>
      </w:tr>
      <w:tr>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Debt / Equity</w:t>
            </w:r>
          </w:p>
        </w:tc>
        <w:tc>
          <w:tcPr>
            <w:tcW w:w="27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Total Debt ÷ Equity</w:t>
            </w:r>
          </w:p>
        </w:tc>
        <w:tc>
          <w:tcPr>
            <w:tcW w:w="2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Balance-sheet gearing</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250 / 700 = 0.36</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Net Debt / EBITDA</w:t>
            </w:r>
          </w:p>
        </w:tc>
        <w:tc>
          <w:tcPr>
            <w:tcW w:w="27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(Debt − Cash) ÷ EBITDA</w:t>
            </w:r>
          </w:p>
        </w:tc>
        <w:tc>
          <w:tcPr>
            <w:tcW w:w="26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Years of EBITDA to repay debt</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130 / 302 = 0.43×</w:t>
            </w:r>
          </w:p>
        </w:tc>
      </w:tr>
      <w:tr>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Interest Coverage</w:t>
            </w:r>
          </w:p>
        </w:tc>
        <w:tc>
          <w:tcPr>
            <w:tcW w:w="27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EBIT ÷ Interest</w:t>
            </w:r>
          </w:p>
        </w:tc>
        <w:tc>
          <w:tcPr>
            <w:tcW w:w="26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Ability to service interest</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247 / 32 = 7.7×</w:t>
            </w:r>
          </w:p>
        </w:tc>
      </w:tr>
    </w:tbl>
    <w:p>
      <w:pPr>
        <w:spacing w:after="120" w:before="0" w:line="276" w:lineRule="auto"/>
      </w:pPr>
      <w:r>
        <w:rPr>
          <w:b w:val="0"/>
          <w:i w:val="0"/>
          <w:color w:val="1E293B"/>
          <w:sz w:val="21"/>
        </w:rPr>
        <w:t>Rule of thumb: Net Debt/EBITDA below ~3× and interest coverage above ~3× are generally comfortable; beyond that, financial risk rises sharply.</w:t>
      </w:r>
    </w:p>
    <w:p>
      <w:pPr>
        <w:pStyle w:val="Heading2"/>
      </w:pPr>
      <w:r>
        <w:t>4.4  Liquidity</w:t>
      </w:r>
    </w:p>
    <w:tbl>
      <w:tblPr>
        <w:tblW w:w="9360" w:type="dxa"/>
        <w:jc w:val="center"/>
        <w:tblLayout w:type="fixed"/>
        <w:tblLook w:firstColumn="1" w:firstRow="1" w:lastColumn="0" w:lastRow="0" w:noHBand="0" w:noVBand="1" w:val="04A0"/>
      </w:tblPr>
      <w:tblGrid>
        <w:gridCol w:w="2340"/>
        <w:gridCol w:w="2340"/>
        <w:gridCol w:w="2340"/>
        <w:gridCol w:w="2340"/>
      </w:tblGrid>
      <w:tr>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Ratio</w:t>
            </w:r>
          </w:p>
        </w:tc>
        <w:tc>
          <w:tcPr>
            <w:tcW w:w="32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Formula</w:t>
            </w:r>
          </w:p>
        </w:tc>
        <w:tc>
          <w:tcPr>
            <w:tcW w:w="21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Tells you</w:t>
            </w:r>
          </w:p>
        </w:tc>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Example</w:t>
            </w:r>
          </w:p>
        </w:tc>
      </w:tr>
      <w:tr>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Current Ratio</w:t>
            </w:r>
          </w:p>
        </w:tc>
        <w:tc>
          <w:tcPr>
            <w:tcW w:w="3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Current Assets ÷ Current Liab.</w:t>
            </w:r>
          </w:p>
        </w:tc>
        <w:tc>
          <w:tcPr>
            <w:tcW w:w="21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Short-term solvency</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~1.9×</w:t>
            </w:r>
          </w:p>
        </w:tc>
      </w:tr>
      <w:tr>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Quick Ratio</w:t>
            </w:r>
          </w:p>
        </w:tc>
        <w:tc>
          <w:tcPr>
            <w:tcW w:w="32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(Current Assets − Inventory) ÷ CL</w:t>
            </w:r>
          </w:p>
        </w:tc>
        <w:tc>
          <w:tcPr>
            <w:tcW w:w="21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Solvency without selling stock</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~1.2×</w:t>
            </w:r>
          </w:p>
        </w:tc>
      </w:tr>
    </w:tbl>
    <w:p>
      <w:pPr>
        <w:pStyle w:val="Heading2"/>
      </w:pPr>
      <w:r>
        <w:t>4.5  Efficiency &amp; the Cash Conversion Cycle</w:t>
      </w:r>
    </w:p>
    <w:tbl>
      <w:tblPr>
        <w:tblW w:w="9360" w:type="dxa"/>
        <w:jc w:val="center"/>
        <w:tblLayout w:type="fixed"/>
        <w:tblLook w:firstColumn="1" w:firstRow="1" w:lastColumn="0" w:lastRow="0" w:noHBand="0" w:noVBand="1" w:val="04A0"/>
      </w:tblPr>
      <w:tblGrid>
        <w:gridCol w:w="2340"/>
        <w:gridCol w:w="2340"/>
        <w:gridCol w:w="2340"/>
        <w:gridCol w:w="2340"/>
      </w:tblGrid>
      <w:tr>
        <w:tc>
          <w:tcPr>
            <w:tcW w:w="23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Ratio</w:t>
            </w:r>
          </w:p>
        </w:tc>
        <w:tc>
          <w:tcPr>
            <w:tcW w:w="27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Formula</w:t>
            </w:r>
          </w:p>
        </w:tc>
        <w:tc>
          <w:tcPr>
            <w:tcW w:w="23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Tells you</w:t>
            </w:r>
          </w:p>
        </w:tc>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Example</w:t>
            </w:r>
          </w:p>
        </w:tc>
      </w:tr>
      <w:tr>
        <w:tc>
          <w:tcPr>
            <w:tcW w:w="23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Receivable Days (DSO)</w:t>
            </w:r>
          </w:p>
        </w:tc>
        <w:tc>
          <w:tcPr>
            <w:tcW w:w="27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Receivables ÷ Revenue × 365</w:t>
            </w:r>
          </w:p>
        </w:tc>
        <w:tc>
          <w:tcPr>
            <w:tcW w:w="2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Time to collect from customers</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175/1,120×365 = 57 d</w:t>
            </w:r>
          </w:p>
        </w:tc>
      </w:tr>
      <w:tr>
        <w:tc>
          <w:tcPr>
            <w:tcW w:w="23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Inventory Days (DIO)</w:t>
            </w:r>
          </w:p>
        </w:tc>
        <w:tc>
          <w:tcPr>
            <w:tcW w:w="27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Inventory ÷ COGS × 365</w:t>
            </w:r>
          </w:p>
        </w:tc>
        <w:tc>
          <w:tcPr>
            <w:tcW w:w="2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Time stock sits before sale</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188/650×365 = 106 d</w:t>
            </w:r>
          </w:p>
        </w:tc>
      </w:tr>
      <w:tr>
        <w:tc>
          <w:tcPr>
            <w:tcW w:w="23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Payable Days (DPO)</w:t>
            </w:r>
          </w:p>
        </w:tc>
        <w:tc>
          <w:tcPr>
            <w:tcW w:w="27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Payables ÷ COGS × 365</w:t>
            </w:r>
          </w:p>
        </w:tc>
        <w:tc>
          <w:tcPr>
            <w:tcW w:w="2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Time taken to pay suppliers</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120/650×365 = 67 d</w:t>
            </w:r>
          </w:p>
        </w:tc>
      </w:tr>
      <w:tr>
        <w:tc>
          <w:tcPr>
            <w:tcW w:w="23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EC4899"/>
                <w:sz w:val="19"/>
              </w:rPr>
              <w:t>Cash Conversion Cycle</w:t>
            </w:r>
          </w:p>
        </w:tc>
        <w:tc>
          <w:tcPr>
            <w:tcW w:w="27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DSO + DIO − DPO</w:t>
            </w:r>
          </w:p>
        </w:tc>
        <w:tc>
          <w:tcPr>
            <w:tcW w:w="2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Days cash is tied up</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57 + 106 − 67 = 96 d</w:t>
            </w:r>
          </w:p>
        </w:tc>
      </w:tr>
    </w:tbl>
    <w:p>
      <w:pPr>
        <w:spacing w:after="120" w:before="0" w:line="276" w:lineRule="auto"/>
      </w:pPr>
      <w:r>
        <w:rPr>
          <w:b w:val="0"/>
          <w:i w:val="0"/>
          <w:color w:val="1E293B"/>
          <w:sz w:val="21"/>
        </w:rPr>
        <w:t>A shorter cash conversion cycle frees up cash and funds growth internally. Falling CCC over time is a strong operational signal.</w:t>
      </w:r>
    </w:p>
    <w:p>
      <w:pPr>
        <w:pStyle w:val="Heading2"/>
      </w:pPr>
      <w:r>
        <w:t>4.6  Valuation multiples</w:t>
      </w:r>
    </w:p>
    <w:tbl>
      <w:tblPr>
        <w:tblW w:w="9360" w:type="dxa"/>
        <w:jc w:val="center"/>
        <w:tblLayout w:type="fixed"/>
        <w:tblLook w:firstColumn="1" w:firstRow="1" w:lastColumn="0" w:lastRow="0" w:noHBand="0" w:noVBand="1" w:val="04A0"/>
      </w:tblPr>
      <w:tblGrid>
        <w:gridCol w:w="2340"/>
        <w:gridCol w:w="2340"/>
        <w:gridCol w:w="2340"/>
        <w:gridCol w:w="2340"/>
      </w:tblGrid>
      <w:tr>
        <w:tc>
          <w:tcPr>
            <w:tcW w:w="19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Multiple</w:t>
            </w:r>
          </w:p>
        </w:tc>
        <w:tc>
          <w:tcPr>
            <w:tcW w:w="3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Formula</w:t>
            </w:r>
          </w:p>
        </w:tc>
        <w:tc>
          <w:tcPr>
            <w:tcW w:w="24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Best for</w:t>
            </w:r>
          </w:p>
        </w:tc>
        <w:tc>
          <w:tcPr>
            <w:tcW w:w="2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Example</w:t>
            </w:r>
          </w:p>
        </w:tc>
      </w:tr>
      <w:tr>
        <w:tc>
          <w:tcPr>
            <w:tcW w:w="19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P / E</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Price ÷ EPS (or Mkt Cap ÷ PAT)</w:t>
            </w:r>
          </w:p>
        </w:tc>
        <w:tc>
          <w:tcPr>
            <w:tcW w:w="2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Profitable, stable firms</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3,100 / 170 = 18.2×</w:t>
            </w:r>
          </w:p>
        </w:tc>
      </w:tr>
      <w:tr>
        <w:tc>
          <w:tcPr>
            <w:tcW w:w="19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4361EE"/>
                <w:sz w:val="19"/>
              </w:rPr>
              <w:t>EV / EBITDA</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Enterprise Value ÷ EBITDA</w:t>
            </w:r>
          </w:p>
        </w:tc>
        <w:tc>
          <w:tcPr>
            <w:tcW w:w="24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Cross-capital-structure</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3,230 / 302 = 10.7×</w:t>
            </w:r>
          </w:p>
        </w:tc>
      </w:tr>
      <w:tr>
        <w:tc>
          <w:tcPr>
            <w:tcW w:w="19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EV / Sales</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Enterprise Value ÷ Revenue</w:t>
            </w:r>
          </w:p>
        </w:tc>
        <w:tc>
          <w:tcPr>
            <w:tcW w:w="2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Loss-making / early-stage</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3,230 / 1,120 = 2.9×</w:t>
            </w:r>
          </w:p>
        </w:tc>
      </w:tr>
      <w:tr>
        <w:tc>
          <w:tcPr>
            <w:tcW w:w="19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P / B</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Price ÷ Book Value / sh</w:t>
            </w:r>
          </w:p>
        </w:tc>
        <w:tc>
          <w:tcPr>
            <w:tcW w:w="24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Banks, asset-heavy</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3,100 / 700 = 4.4×</w:t>
            </w:r>
          </w:p>
        </w:tc>
      </w:tr>
      <w:tr>
        <w:tc>
          <w:tcPr>
            <w:tcW w:w="19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PEG</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P/E ÷ earnings growth %</w:t>
            </w:r>
          </w:p>
        </w:tc>
        <w:tc>
          <w:tcPr>
            <w:tcW w:w="24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Growth-adjusted P/E</w:t>
            </w:r>
          </w:p>
        </w:tc>
        <w:tc>
          <w:tcPr>
            <w:tcW w:w="2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18.2 / 14 = 1.3</w:t>
            </w:r>
          </w:p>
        </w:tc>
      </w:tr>
      <w:tr>
        <w:tc>
          <w:tcPr>
            <w:tcW w:w="19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Dividend Yield</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Dividend per share ÷ Price</w:t>
            </w:r>
          </w:p>
        </w:tc>
        <w:tc>
          <w:tcPr>
            <w:tcW w:w="24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Income / mature firms</w:t>
            </w:r>
          </w:p>
        </w:tc>
        <w:tc>
          <w:tcPr>
            <w:tcW w:w="2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w:t>
            </w:r>
          </w:p>
        </w:tc>
      </w:tr>
    </w:tbl>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7209B7"/>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7209B7"/>
                <w:sz w:val="21"/>
              </w:rPr>
              <w:t>❖  Reading a multiple</w:t>
            </w:r>
          </w:p>
          <w:p>
            <w:pPr>
              <w:spacing w:after="40"/>
            </w:pPr>
            <w:r>
              <w:rPr>
                <w:b w:val="0"/>
                <w:i w:val="0"/>
                <w:color w:val="1E293B"/>
                <w:sz w:val="20"/>
              </w:rPr>
              <w:t>A multiple is shorthand for a DCF — it bundles growth, risk and returns into one number.</w:t>
            </w:r>
          </w:p>
          <w:p>
            <w:pPr>
              <w:spacing w:after="40"/>
            </w:pPr>
            <w:r>
              <w:rPr>
                <w:b w:val="0"/>
                <w:i w:val="0"/>
                <w:color w:val="1E293B"/>
                <w:sz w:val="20"/>
              </w:rPr>
              <w:t>A “high” P/E is not automatically expensive: fast-growing, high-ROIC firms deserve higher multiples. Always compare like-for-like.</w:t>
            </w:r>
          </w:p>
        </w:tc>
      </w:tr>
    </w:tbl>
    <w:p>
      <w:pPr>
        <w:pStyle w:val="Heading2"/>
      </w:pPr>
      <w:r>
        <w:t>4.7  Quality &amp; distress indicators</w:t>
      </w:r>
    </w:p>
    <w:tbl>
      <w:tblPr>
        <w:tblW w:w="9360" w:type="dxa"/>
        <w:jc w:val="center"/>
        <w:tblLayout w:type="fixed"/>
        <w:tblLook w:firstColumn="1" w:firstRow="1" w:lastColumn="0" w:lastRow="0" w:noHBand="0" w:noVBand="1" w:val="04A0"/>
      </w:tblPr>
      <w:tblGrid>
        <w:gridCol w:w="3120"/>
        <w:gridCol w:w="3120"/>
        <w:gridCol w:w="3120"/>
      </w:tblGrid>
      <w:tr>
        <w:tc>
          <w:tcPr>
            <w:tcW w:w="26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Indicator</w:t>
            </w:r>
          </w:p>
        </w:tc>
        <w:tc>
          <w:tcPr>
            <w:tcW w:w="43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What it flags</w:t>
            </w:r>
          </w:p>
        </w:tc>
        <w:tc>
          <w:tcPr>
            <w:tcW w:w="24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Healthy zone</w:t>
            </w:r>
          </w:p>
        </w:tc>
      </w:tr>
      <w:tr>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CFO / PAT</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Are earnings backed by cash?</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0.9×</w:t>
            </w:r>
          </w:p>
        </w:tc>
      </w:tr>
      <w:tr>
        <w:tc>
          <w:tcPr>
            <w:tcW w:w="2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Accruals / Total Assets</w:t>
            </w:r>
          </w:p>
        </w:tc>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Aggressive accounting (Sloan)</w:t>
            </w:r>
          </w:p>
        </w:tc>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Low / negative</w:t>
            </w:r>
          </w:p>
        </w:tc>
      </w:tr>
      <w:tr>
        <w:tc>
          <w:tcPr>
            <w:tcW w:w="2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Altman Z-Score</w:t>
            </w:r>
          </w:p>
        </w:tc>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Bankruptcy / distress risk</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&gt; 2.99 Safe; &lt; 1.81 Distress</w:t>
            </w:r>
          </w:p>
        </w:tc>
      </w:tr>
    </w:tbl>
    <w:p>
      <w:pPr>
        <w:pBdr>
          <w:left w:val="single" w:sz="18" w:space="8" w:color="4361EE"/>
        </w:pBdr>
        <w:shd w:val="clear" w:color="auto" w:fill="EEF2FF"/>
        <w:spacing w:before="80" w:after="120"/>
        <w:ind w:left="120" w:right="120"/>
      </w:pPr>
      <w:r>
        <w:rPr>
          <w:b/>
          <w:color w:val="4361EE"/>
        </w:rPr>
        <w:t xml:space="preserve">Altman Z (manufacturers):  </w:t>
      </w:r>
      <w:r>
        <w:rPr>
          <w:rFonts w:ascii="Consolas" w:hAnsi="Consolas"/>
          <w:i/>
          <w:color w:val="1E293B"/>
        </w:rPr>
        <w:t>Z = 1.2A + 1.4B + 3.3C + 0.6D + 1.0E</w:t>
      </w:r>
      <w:r>
        <w:rPr>
          <w:i/>
          <w:color w:val="64748B"/>
          <w:sz w:val="18"/>
        </w:rPr>
        <w:t xml:space="preserve">   — A=WC/TA, B=RE/TA, C=EBIT/TA, D=MktEq/Liab, E=Sales/TA</w:t>
      </w:r>
    </w:p>
    <w:p>
      <w:r>
        <w:br w:type="page"/>
      </w:r>
    </w:p>
    <w:p>
      <w:pPr>
        <w:pStyle w:val="Heading1"/>
        <w:pBdr>
          <w:bottom w:val="single" w:sz="8" w:space="6" w:color="C7D2FE"/>
        </w:pBdr>
      </w:pPr>
      <w:r>
        <w:t>5.  The Discount Rate — Cost of Capital</w:t>
      </w:r>
    </w:p>
    <w:p>
      <w:pPr>
        <w:spacing w:after="120" w:before="0" w:line="276" w:lineRule="auto"/>
      </w:pPr>
      <w:r>
        <w:rPr>
          <w:b w:val="0"/>
          <w:i w:val="0"/>
          <w:color w:val="1E293B"/>
          <w:sz w:val="21"/>
        </w:rPr>
        <w:t xml:space="preserve">Future cash is worth less than cash today, because of time and risk. The </w:t>
      </w:r>
      <w:r>
        <w:rPr>
          <w:b/>
          <w:i w:val="0"/>
          <w:color w:val="1E293B"/>
          <w:sz w:val="21"/>
        </w:rPr>
        <w:t>discount rate</w:t>
      </w:r>
      <w:r>
        <w:rPr>
          <w:b w:val="0"/>
          <w:i w:val="0"/>
          <w:color w:val="1E293B"/>
          <w:sz w:val="21"/>
        </w:rPr>
        <w:t xml:space="preserve"> converts future cash to present value. For a whole-firm (FCFF) valuation we use the </w:t>
      </w:r>
      <w:r>
        <w:rPr>
          <w:b/>
          <w:i w:val="0"/>
          <w:color w:val="1E293B"/>
          <w:sz w:val="21"/>
        </w:rPr>
        <w:t>Weighted Average Cost of Capital (WACC)</w:t>
      </w:r>
      <w:r>
        <w:rPr>
          <w:b w:val="0"/>
          <w:i w:val="0"/>
          <w:color w:val="1E293B"/>
          <w:sz w:val="21"/>
        </w:rPr>
        <w:t>.</w:t>
      </w:r>
    </w:p>
    <w:p>
      <w:pPr>
        <w:pStyle w:val="Heading2"/>
      </w:pPr>
      <w:r>
        <w:t>5.1  Cost of Equity — CAPM</w:t>
      </w:r>
    </w:p>
    <w:p>
      <w:pPr>
        <w:pBdr>
          <w:left w:val="single" w:sz="18" w:space="8" w:color="4361EE"/>
        </w:pBdr>
        <w:shd w:val="clear" w:color="auto" w:fill="EEF2FF"/>
        <w:spacing w:before="80" w:after="120"/>
        <w:ind w:left="120" w:right="120"/>
      </w:pPr>
      <w:r>
        <w:rPr>
          <w:b/>
          <w:color w:val="4361EE"/>
        </w:rPr>
        <w:t xml:space="preserve">CAPM:  </w:t>
      </w:r>
      <w:r>
        <w:rPr>
          <w:rFonts w:ascii="Consolas" w:hAnsi="Consolas"/>
          <w:i/>
          <w:color w:val="1E293B"/>
        </w:rPr>
        <w:t>Ke = Rf + β × (Equity Risk Premium)</w:t>
      </w:r>
      <w:r>
        <w:rPr>
          <w:i/>
          <w:color w:val="64748B"/>
          <w:sz w:val="18"/>
        </w:rPr>
        <w:t xml:space="preserve">   — the return equity investors demand</w:t>
      </w:r>
    </w:p>
    <w:p>
      <w:pPr>
        <w:pStyle w:val="ListBullet"/>
        <w:spacing w:after="60"/>
      </w:pPr>
      <w:r>
        <w:rPr>
          <w:b/>
          <w:i w:val="0"/>
          <w:color w:val="1E293B"/>
          <w:sz w:val="21"/>
        </w:rPr>
        <w:t xml:space="preserve">Rf </w:t>
      </w:r>
      <w:r>
        <w:rPr>
          <w:b w:val="0"/>
          <w:i w:val="0"/>
          <w:color w:val="1E293B"/>
          <w:sz w:val="21"/>
        </w:rPr>
        <w:t>= risk-free rate (10-yr government bond, e.g. 7%).</w:t>
      </w:r>
    </w:p>
    <w:p>
      <w:pPr>
        <w:pStyle w:val="ListBullet"/>
        <w:spacing w:after="60"/>
      </w:pPr>
      <w:r>
        <w:rPr>
          <w:b/>
          <w:i w:val="0"/>
          <w:color w:val="1E293B"/>
          <w:sz w:val="21"/>
        </w:rPr>
        <w:t xml:space="preserve">β (Beta) </w:t>
      </w:r>
      <w:r>
        <w:rPr>
          <w:b w:val="0"/>
          <w:i w:val="0"/>
          <w:color w:val="1E293B"/>
          <w:sz w:val="21"/>
        </w:rPr>
        <w:t>= sensitivity to the market (1.0 = moves with market; &gt;1 = more volatile).</w:t>
      </w:r>
    </w:p>
    <w:p>
      <w:pPr>
        <w:pStyle w:val="ListBullet"/>
        <w:spacing w:after="60"/>
      </w:pPr>
      <w:r>
        <w:rPr>
          <w:b/>
          <w:i w:val="0"/>
          <w:color w:val="1E293B"/>
          <w:sz w:val="21"/>
        </w:rPr>
        <w:t xml:space="preserve">ERP </w:t>
      </w:r>
      <w:r>
        <w:rPr>
          <w:b w:val="0"/>
          <w:i w:val="0"/>
          <w:color w:val="1E293B"/>
          <w:sz w:val="21"/>
        </w:rPr>
        <w:t>= extra return demanded for equities over bonds (e.g. 5.5%).</w:t>
      </w:r>
    </w:p>
    <w:p>
      <w:pPr>
        <w:spacing w:after="120" w:before="0" w:line="276" w:lineRule="auto"/>
      </w:pPr>
      <w:r>
        <w:rPr>
          <w:b/>
          <w:i w:val="0"/>
          <w:color w:val="1E293B"/>
          <w:sz w:val="21"/>
        </w:rPr>
        <w:t xml:space="preserve">Example: </w:t>
      </w:r>
      <w:r>
        <w:rPr>
          <w:b w:val="0"/>
          <w:i w:val="0"/>
          <w:color w:val="1E293B"/>
          <w:sz w:val="21"/>
        </w:rPr>
        <w:t xml:space="preserve">Ke = 7% + 1.05 × 5.5% = </w:t>
      </w:r>
      <w:r>
        <w:rPr>
          <w:b/>
          <w:i w:val="0"/>
          <w:color w:val="10B981"/>
          <w:sz w:val="21"/>
        </w:rPr>
        <w:t>12.78%</w:t>
      </w:r>
    </w:p>
    <w:p>
      <w:pPr>
        <w:pStyle w:val="Heading2"/>
      </w:pPr>
      <w:r>
        <w:t>5.2  Cost of Debt</w:t>
      </w:r>
    </w:p>
    <w:p>
      <w:pPr>
        <w:spacing w:after="120" w:before="0" w:line="276" w:lineRule="auto"/>
      </w:pPr>
      <w:r>
        <w:rPr>
          <w:b w:val="0"/>
          <w:i w:val="0"/>
          <w:color w:val="1E293B"/>
          <w:sz w:val="21"/>
        </w:rPr>
        <w:t xml:space="preserve">The after-tax interest rate the company pays: </w:t>
      </w:r>
      <w:r>
        <w:rPr>
          <w:b/>
          <w:i w:val="0"/>
          <w:color w:val="1E293B"/>
          <w:sz w:val="21"/>
        </w:rPr>
        <w:t>Kd × (1 − tax)</w:t>
      </w:r>
      <w:r>
        <w:rPr>
          <w:b w:val="0"/>
          <w:i w:val="0"/>
          <w:color w:val="1E293B"/>
          <w:sz w:val="21"/>
        </w:rPr>
        <w:t xml:space="preserve">. Interest is tax-deductible, so debt is cheaper than its headline rate. Example: 8.5% × (1 − 25%) = </w:t>
      </w:r>
      <w:r>
        <w:rPr>
          <w:b/>
          <w:i w:val="0"/>
          <w:color w:val="10B981"/>
          <w:sz w:val="21"/>
        </w:rPr>
        <w:t>6.38%</w:t>
      </w:r>
    </w:p>
    <w:p>
      <w:pPr>
        <w:pStyle w:val="Heading2"/>
      </w:pPr>
      <w:r>
        <w:t>5.3  WACC — blending the two</w:t>
      </w:r>
    </w:p>
    <w:p>
      <w:pPr>
        <w:pBdr>
          <w:left w:val="single" w:sz="18" w:space="8" w:color="4361EE"/>
        </w:pBdr>
        <w:shd w:val="clear" w:color="auto" w:fill="EEF2FF"/>
        <w:spacing w:before="80" w:after="120"/>
        <w:ind w:left="120" w:right="120"/>
      </w:pPr>
      <w:r>
        <w:rPr>
          <w:b/>
          <w:color w:val="4361EE"/>
        </w:rPr>
        <w:t xml:space="preserve">WACC:  </w:t>
      </w:r>
      <w:r>
        <w:rPr>
          <w:rFonts w:ascii="Consolas" w:hAnsi="Consolas"/>
          <w:i/>
          <w:color w:val="1E293B"/>
        </w:rPr>
        <w:t>WACC = (E/V)×Ke + (D/V)×Kd×(1−t)</w:t>
      </w:r>
      <w:r>
        <w:rPr>
          <w:i/>
          <w:color w:val="64748B"/>
          <w:sz w:val="18"/>
        </w:rPr>
        <w:t xml:space="preserve">   — weighted by the target capital structure</w:t>
      </w:r>
    </w:p>
    <w:p>
      <w:pPr>
        <w:spacing w:after="120" w:before="0" w:line="276" w:lineRule="auto"/>
      </w:pPr>
      <w:r>
        <w:rPr>
          <w:b w:val="0"/>
          <w:i w:val="0"/>
          <w:color w:val="1E293B"/>
          <w:sz w:val="21"/>
        </w:rPr>
        <w:t>With a target D/E of 0.30 (so E/V ≈ 77%, D/V ≈ 23%):</w:t>
      </w:r>
    </w:p>
    <w:p>
      <w:pPr>
        <w:pBdr>
          <w:left w:val="single" w:sz="18" w:space="8" w:color="4361EE"/>
        </w:pBdr>
        <w:shd w:val="clear" w:color="auto" w:fill="EEF2FF"/>
        <w:spacing w:before="80" w:after="120"/>
        <w:ind w:left="120" w:right="120"/>
      </w:pPr>
      <w:r>
        <w:rPr>
          <w:b/>
          <w:color w:val="4361EE"/>
        </w:rPr>
        <w:t xml:space="preserve">Example:  </w:t>
      </w:r>
      <w:r>
        <w:rPr>
          <w:rFonts w:ascii="Consolas" w:hAnsi="Consolas"/>
          <w:i/>
          <w:color w:val="1E293B"/>
        </w:rPr>
        <w:t>WACC = 0.77×12.78% + 0.23×6.38% = 11.3%</w:t>
      </w:r>
      <w:r>
        <w:rPr>
          <w:i/>
          <w:color w:val="64748B"/>
          <w:sz w:val="18"/>
        </w:rPr>
        <w:t xml:space="preserve">   — the rate used to discount FCFF</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F59E0B"/>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F59E0B"/>
                <w:sz w:val="21"/>
              </w:rPr>
              <w:t>❖  Why WACC matters so much</w:t>
            </w:r>
          </w:p>
          <w:p>
            <w:pPr>
              <w:spacing w:after="40"/>
            </w:pPr>
            <w:r>
              <w:rPr>
                <w:b w:val="0"/>
                <w:i w:val="0"/>
                <w:color w:val="1E293B"/>
                <w:sz w:val="20"/>
              </w:rPr>
              <w:t>WACC is the hurdle rate: earn above it and you create value; below it, you destroy value.</w:t>
            </w:r>
          </w:p>
          <w:p>
            <w:pPr>
              <w:spacing w:after="40"/>
            </w:pPr>
            <w:r>
              <w:rPr>
                <w:b w:val="0"/>
                <w:i w:val="0"/>
                <w:color w:val="1E293B"/>
                <w:sz w:val="20"/>
              </w:rPr>
              <w:t>Small changes in WACC move the valuation a lot — always test it (Section 8).</w:t>
            </w:r>
          </w:p>
        </w:tc>
      </w:tr>
    </w:tbl>
    <w:p>
      <w:r>
        <w:br w:type="page"/>
      </w:r>
    </w:p>
    <w:p>
      <w:pPr>
        <w:pStyle w:val="Heading1"/>
        <w:pBdr>
          <w:bottom w:val="single" w:sz="8" w:space="6" w:color="C7D2FE"/>
        </w:pBdr>
      </w:pPr>
      <w:r>
        <w:t>6.  Methods of Valuation — With Worked Examples</w:t>
      </w:r>
    </w:p>
    <w:p>
      <w:pPr>
        <w:pStyle w:val="Heading2"/>
      </w:pPr>
      <w:r>
        <w:t>6.1  Discounted Cash Flow (DCF) — the gold standard</w:t>
      </w:r>
    </w:p>
    <w:p>
      <w:pPr>
        <w:spacing w:after="120" w:before="0" w:line="276" w:lineRule="auto"/>
      </w:pPr>
      <w:r>
        <w:rPr>
          <w:b w:val="0"/>
          <w:i w:val="0"/>
          <w:color w:val="1E293B"/>
          <w:sz w:val="21"/>
        </w:rPr>
        <w:t>A DCF values a company as the present value of the free cash flows it will generate, plus a terminal value for everything beyond the forecast horizon. Steps:</w:t>
      </w:r>
    </w:p>
    <w:p>
      <w:pPr>
        <w:pStyle w:val="ListNumber"/>
        <w:spacing w:after="80"/>
      </w:pPr>
      <w:r>
        <w:rPr>
          <w:b/>
          <w:i w:val="0"/>
          <w:color w:val="1E293B"/>
          <w:sz w:val="21"/>
        </w:rPr>
        <w:t>Forecast free cash flows</w:t>
      </w:r>
      <w:r>
        <w:rPr>
          <w:b w:val="0"/>
          <w:i w:val="0"/>
          <w:color w:val="1E293B"/>
          <w:sz w:val="21"/>
        </w:rPr>
        <w:t xml:space="preserve"> for an explicit period (typically 5–10 years).</w:t>
      </w:r>
    </w:p>
    <w:p>
      <w:pPr>
        <w:pStyle w:val="ListNumber"/>
        <w:spacing w:after="80"/>
      </w:pPr>
      <w:r>
        <w:rPr>
          <w:b/>
          <w:i w:val="0"/>
          <w:color w:val="1E293B"/>
          <w:sz w:val="21"/>
        </w:rPr>
        <w:t>Estimate the terminal value</w:t>
      </w:r>
      <w:r>
        <w:rPr>
          <w:b w:val="0"/>
          <w:i w:val="0"/>
          <w:color w:val="1E293B"/>
          <w:sz w:val="21"/>
        </w:rPr>
        <w:t xml:space="preserve"> (value of all cash flows after the forecast).</w:t>
      </w:r>
    </w:p>
    <w:p>
      <w:pPr>
        <w:pStyle w:val="ListNumber"/>
        <w:spacing w:after="80"/>
      </w:pPr>
      <w:r>
        <w:rPr>
          <w:b/>
          <w:i w:val="0"/>
          <w:color w:val="1E293B"/>
          <w:sz w:val="21"/>
        </w:rPr>
        <w:t>Discount</w:t>
      </w:r>
      <w:r>
        <w:rPr>
          <w:b w:val="0"/>
          <w:i w:val="0"/>
          <w:color w:val="1E293B"/>
          <w:sz w:val="21"/>
        </w:rPr>
        <w:t xml:space="preserve"> all cash flows and the terminal value to today at the WACC.</w:t>
      </w:r>
    </w:p>
    <w:p>
      <w:pPr>
        <w:pStyle w:val="ListNumber"/>
        <w:spacing w:after="80"/>
      </w:pPr>
      <w:r>
        <w:rPr>
          <w:b/>
          <w:i w:val="0"/>
          <w:color w:val="1E293B"/>
          <w:sz w:val="21"/>
        </w:rPr>
        <w:t>Sum</w:t>
      </w:r>
      <w:r>
        <w:rPr>
          <w:b w:val="0"/>
          <w:i w:val="0"/>
          <w:color w:val="1E293B"/>
          <w:sz w:val="21"/>
        </w:rPr>
        <w:t xml:space="preserve"> to get Enterprise Value; bridge to Equity Value; divide by shares.</w:t>
      </w:r>
    </w:p>
    <w:p>
      <w:pPr>
        <w:pStyle w:val="Heading3"/>
      </w:pPr>
      <w:r>
        <w:t>FCFF worked example (₹ Cr) — 5-year forecast</w:t>
      </w:r>
    </w:p>
    <w:tbl>
      <w:tblPr>
        <w:tblW w:w="9360" w:type="dxa"/>
        <w:jc w:val="center"/>
        <w:tblLayout w:type="fixed"/>
        <w:tblLook w:firstColumn="1" w:firstRow="1" w:lastColumn="0" w:lastRow="0" w:noHBand="0" w:noVBand="1" w:val="04A0"/>
      </w:tblPr>
      <w:tblGrid>
        <w:gridCol w:w="1560"/>
        <w:gridCol w:w="1560"/>
        <w:gridCol w:w="1560"/>
        <w:gridCol w:w="1560"/>
        <w:gridCol w:w="1560"/>
        <w:gridCol w:w="1560"/>
      </w:tblGrid>
      <w:tr>
        <w:tc>
          <w:tcPr>
            <w:tcW w:w="31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Line</w:t>
            </w:r>
          </w:p>
        </w:tc>
        <w:tc>
          <w:tcPr>
            <w:tcW w:w="124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FY25</w:t>
            </w:r>
          </w:p>
        </w:tc>
        <w:tc>
          <w:tcPr>
            <w:tcW w:w="124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FY26</w:t>
            </w:r>
          </w:p>
        </w:tc>
        <w:tc>
          <w:tcPr>
            <w:tcW w:w="124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FY27</w:t>
            </w:r>
          </w:p>
        </w:tc>
        <w:tc>
          <w:tcPr>
            <w:tcW w:w="124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FY28</w:t>
            </w:r>
          </w:p>
        </w:tc>
        <w:tc>
          <w:tcPr>
            <w:tcW w:w="124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FY29</w:t>
            </w:r>
          </w:p>
        </w:tc>
      </w:tr>
      <w:tr>
        <w:tc>
          <w:tcPr>
            <w:tcW w:w="31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EBIT</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270</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303</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333</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363</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392</w:t>
            </w:r>
          </w:p>
        </w:tc>
      </w:tr>
      <w:tr>
        <w:tc>
          <w:tcPr>
            <w:tcW w:w="31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NOPAT = EBIT×(1−0.25)</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203</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227</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250</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272</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294</w:t>
            </w:r>
          </w:p>
        </w:tc>
      </w:tr>
      <w:tr>
        <w:tc>
          <w:tcPr>
            <w:tcW w:w="31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D&amp;A</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63</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72</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82</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92</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103</w:t>
            </w:r>
          </w:p>
        </w:tc>
      </w:tr>
      <w:tr>
        <w:tc>
          <w:tcPr>
            <w:tcW w:w="31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CapEx</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108</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114</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118</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120</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120</w:t>
            </w:r>
          </w:p>
        </w:tc>
      </w:tr>
      <w:tr>
        <w:tc>
          <w:tcPr>
            <w:tcW w:w="31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Δ Working Capital</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22</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24</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20</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18</w:t>
            </w:r>
          </w:p>
        </w:tc>
        <w:tc>
          <w:tcPr>
            <w:tcW w:w="1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16</w:t>
            </w:r>
          </w:p>
        </w:tc>
      </w:tr>
      <w:tr>
        <w:tc>
          <w:tcPr>
            <w:tcW w:w="31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4361EE"/>
                <w:sz w:val="19"/>
              </w:rPr>
              <w:t>= FCFF</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136</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161</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194</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226</w:t>
            </w:r>
          </w:p>
        </w:tc>
        <w:tc>
          <w:tcPr>
            <w:tcW w:w="1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261</w:t>
            </w:r>
          </w:p>
        </w:tc>
      </w:tr>
    </w:tbl>
    <w:p>
      <w:pPr>
        <w:spacing w:after="120" w:before="0" w:line="276" w:lineRule="auto"/>
      </w:pPr>
      <w:r>
        <w:rPr>
          <w:b w:val="0"/>
          <w:i w:val="0"/>
          <w:color w:val="1E293B"/>
          <w:sz w:val="21"/>
        </w:rPr>
        <w:t xml:space="preserve">Discount each FCFF at WACC 11.3% (mid-year convention), then add the terminal value. Suppose the PV of the five FCFFs ≈ </w:t>
      </w:r>
      <w:r>
        <w:rPr>
          <w:b/>
          <w:i w:val="0"/>
          <w:color w:val="1E293B"/>
          <w:sz w:val="21"/>
        </w:rPr>
        <w:t>₹ 690 Cr</w:t>
      </w:r>
      <w:r>
        <w:rPr>
          <w:b w:val="0"/>
          <w:i w:val="0"/>
          <w:color w:val="1E293B"/>
          <w:sz w:val="21"/>
        </w:rPr>
        <w:t>.</w:t>
      </w:r>
    </w:p>
    <w:p>
      <w:pPr>
        <w:pStyle w:val="Heading3"/>
      </w:pPr>
      <w:r>
        <w:t>Terminal value — two methods</w:t>
      </w:r>
    </w:p>
    <w:p>
      <w:pPr>
        <w:pBdr>
          <w:left w:val="single" w:sz="18" w:space="8" w:color="4361EE"/>
        </w:pBdr>
        <w:shd w:val="clear" w:color="auto" w:fill="EEF2FF"/>
        <w:spacing w:before="80" w:after="120"/>
        <w:ind w:left="120" w:right="120"/>
      </w:pPr>
      <w:r>
        <w:rPr>
          <w:b/>
          <w:color w:val="4361EE"/>
        </w:rPr>
        <w:t xml:space="preserve">Gordon Growth:  </w:t>
      </w:r>
      <w:r>
        <w:rPr>
          <w:rFonts w:ascii="Consolas" w:hAnsi="Consolas"/>
          <w:i/>
          <w:color w:val="1E293B"/>
        </w:rPr>
        <w:t>TV = FCFFₙ × (1+g) ÷ (WACC − g)</w:t>
      </w:r>
      <w:r>
        <w:rPr>
          <w:i/>
          <w:color w:val="64748B"/>
          <w:sz w:val="18"/>
        </w:rPr>
        <w:t xml:space="preserve">   — perpetuity at a modest forever-growth rate g</w:t>
      </w:r>
    </w:p>
    <w:p>
      <w:pPr>
        <w:spacing w:after="120" w:before="0" w:line="276" w:lineRule="auto"/>
      </w:pPr>
      <w:r>
        <w:rPr>
          <w:b w:val="0"/>
          <w:i w:val="0"/>
          <w:color w:val="1E293B"/>
          <w:sz w:val="21"/>
        </w:rPr>
        <w:t xml:space="preserve">With FCFF₉ = 261, g = 4.5%, WACC = 11.3%: TV = 261×1.045 ÷ (0.113−0.045) = </w:t>
      </w:r>
      <w:r>
        <w:rPr>
          <w:b/>
          <w:i w:val="0"/>
          <w:color w:val="1E293B"/>
          <w:sz w:val="21"/>
        </w:rPr>
        <w:t>₹ 4,011 Cr</w:t>
      </w:r>
      <w:r>
        <w:rPr>
          <w:b w:val="0"/>
          <w:i w:val="0"/>
          <w:color w:val="1E293B"/>
          <w:sz w:val="21"/>
        </w:rPr>
        <w:t xml:space="preserve"> (undiscounted). PV of TV ≈ ₹ 2,460 Cr.</w:t>
      </w:r>
    </w:p>
    <w:p>
      <w:pPr>
        <w:pBdr>
          <w:left w:val="single" w:sz="18" w:space="8" w:color="4361EE"/>
        </w:pBdr>
        <w:shd w:val="clear" w:color="auto" w:fill="EEF2FF"/>
        <w:spacing w:before="80" w:after="120"/>
        <w:ind w:left="120" w:right="120"/>
      </w:pPr>
      <w:r>
        <w:rPr>
          <w:b/>
          <w:color w:val="4361EE"/>
        </w:rPr>
        <w:t xml:space="preserve">Exit Multiple:  </w:t>
      </w:r>
      <w:r>
        <w:rPr>
          <w:rFonts w:ascii="Consolas" w:hAnsi="Consolas"/>
          <w:i/>
          <w:color w:val="1E293B"/>
        </w:rPr>
        <w:t>TV = Terminal EBITDA × chosen EV/EBITDA</w:t>
      </w:r>
      <w:r>
        <w:rPr>
          <w:i/>
          <w:color w:val="64748B"/>
          <w:sz w:val="18"/>
        </w:rPr>
        <w:t xml:space="preserve">   — cross-check against where the business would trade</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EF4444"/>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EF4444"/>
                <w:sz w:val="21"/>
              </w:rPr>
              <w:t>❖  Always sanity-check the terminal value</w:t>
            </w:r>
          </w:p>
          <w:p>
            <w:pPr>
              <w:spacing w:after="40"/>
            </w:pPr>
            <w:r>
              <w:rPr>
                <w:b w:val="0"/>
                <w:i w:val="0"/>
                <w:color w:val="1E293B"/>
                <w:sz w:val="20"/>
              </w:rPr>
              <w:t>TV often makes up 70–85% of total EV — it dominates the answer.</w:t>
            </w:r>
          </w:p>
          <w:p>
            <w:pPr>
              <w:spacing w:after="40"/>
            </w:pPr>
            <w:r>
              <w:rPr>
                <w:b w:val="0"/>
                <w:i w:val="0"/>
                <w:color w:val="1E293B"/>
                <w:sz w:val="20"/>
              </w:rPr>
              <w:t>Back out the implied terminal EV/EBITDA from the Gordon TV. If it implies 40×, your g or WACC is wrong.</w:t>
            </w:r>
          </w:p>
          <w:p>
            <w:pPr>
              <w:spacing w:after="40"/>
            </w:pPr>
            <w:r>
              <w:rPr>
                <w:b w:val="0"/>
                <w:i w:val="0"/>
                <w:color w:val="1E293B"/>
                <w:sz w:val="20"/>
              </w:rPr>
              <w:t>Cross-check Gordon vs exit-multiple TV; they should be in the same ballpark.</w:t>
            </w:r>
          </w:p>
        </w:tc>
      </w:tr>
    </w:tbl>
    <w:p>
      <w:pPr>
        <w:pStyle w:val="Heading3"/>
      </w:pPr>
      <w:r>
        <w:t>From Enterprise Value to value per share</w:t>
      </w:r>
    </w:p>
    <w:tbl>
      <w:tblPr>
        <w:tblW w:w="9360" w:type="dxa"/>
        <w:jc w:val="center"/>
        <w:tblLayout w:type="fixed"/>
        <w:tblLook w:firstColumn="1" w:firstRow="1" w:lastColumn="0" w:lastRow="0" w:noHBand="0" w:noVBand="1" w:val="04A0"/>
      </w:tblPr>
      <w:tblGrid>
        <w:gridCol w:w="4680"/>
        <w:gridCol w:w="4680"/>
      </w:tblGrid>
      <w:tr>
        <w:tc>
          <w:tcPr>
            <w:tcW w:w="63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Bridge step</w:t>
            </w:r>
          </w:p>
        </w:tc>
        <w:tc>
          <w:tcPr>
            <w:tcW w:w="3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 Cr</w:t>
            </w:r>
          </w:p>
        </w:tc>
      </w:tr>
      <w:tr>
        <w:tc>
          <w:tcPr>
            <w:tcW w:w="6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PV of explicit FCFFs</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690</w:t>
            </w:r>
          </w:p>
        </w:tc>
      </w:tr>
      <w:tr>
        <w:tc>
          <w:tcPr>
            <w:tcW w:w="6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PV of terminal value</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2,460</w:t>
            </w:r>
          </w:p>
        </w:tc>
      </w:tr>
      <w:tr>
        <w:tc>
          <w:tcPr>
            <w:tcW w:w="6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4361EE"/>
                <w:sz w:val="19"/>
              </w:rPr>
              <w:t>Enterprise Value</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3,150</w:t>
            </w:r>
          </w:p>
        </w:tc>
      </w:tr>
      <w:tr>
        <w:tc>
          <w:tcPr>
            <w:tcW w:w="6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Net Debt (incl. leases)</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(190)</w:t>
            </w:r>
          </w:p>
        </w:tc>
      </w:tr>
      <w:tr>
        <w:tc>
          <w:tcPr>
            <w:tcW w:w="6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Minority Interest</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(35)</w:t>
            </w:r>
          </w:p>
        </w:tc>
      </w:tr>
      <w:tr>
        <w:tc>
          <w:tcPr>
            <w:tcW w:w="6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Investments &amp; Associates</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40</w:t>
            </w:r>
          </w:p>
        </w:tc>
      </w:tr>
      <w:tr>
        <w:tc>
          <w:tcPr>
            <w:tcW w:w="6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0B981"/>
                <w:sz w:val="19"/>
              </w:rPr>
              <w:t>Equity Value</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2,965</w:t>
            </w:r>
          </w:p>
        </w:tc>
      </w:tr>
      <w:tr>
        <w:tc>
          <w:tcPr>
            <w:tcW w:w="6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Diluted shares (10.3 Cr)</w:t>
            </w:r>
          </w:p>
        </w:tc>
        <w:tc>
          <w:tcPr>
            <w:tcW w:w="3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r>
          </w:p>
        </w:tc>
      </w:tr>
      <w:tr>
        <w:tc>
          <w:tcPr>
            <w:tcW w:w="6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4361EE"/>
                <w:sz w:val="19"/>
              </w:rPr>
              <w:t>Value per share</w:t>
            </w:r>
          </w:p>
        </w:tc>
        <w:tc>
          <w:tcPr>
            <w:tcW w:w="3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 312</w:t>
            </w:r>
          </w:p>
        </w:tc>
      </w:tr>
    </w:tbl>
    <w:p>
      <w:pPr>
        <w:spacing w:after="120" w:before="0" w:line="276" w:lineRule="auto"/>
      </w:pPr>
      <w:r>
        <w:rPr>
          <w:b w:val="0"/>
          <w:i w:val="0"/>
          <w:color w:val="1E293B"/>
          <w:sz w:val="21"/>
        </w:rPr>
        <w:t xml:space="preserve">Versus a market price of ₹310, the DCF implies the stock is </w:t>
      </w:r>
      <w:r>
        <w:rPr>
          <w:b/>
          <w:i w:val="0"/>
          <w:color w:val="1E293B"/>
          <w:sz w:val="21"/>
        </w:rPr>
        <w:t>roughly fairly valued (≈ +0.5%)</w:t>
      </w:r>
      <w:r>
        <w:rPr>
          <w:b w:val="0"/>
          <w:i w:val="0"/>
          <w:color w:val="1E293B"/>
          <w:sz w:val="21"/>
        </w:rPr>
        <w:t xml:space="preserve"> — a HOLD on fundamentals.</w:t>
      </w:r>
    </w:p>
    <w:p>
      <w:pPr>
        <w:pStyle w:val="Heading3"/>
      </w:pPr>
      <w:r>
        <w:t>FCFE — the equity variant</w:t>
      </w:r>
    </w:p>
    <w:p>
      <w:pPr>
        <w:spacing w:after="120" w:before="0" w:line="276" w:lineRule="auto"/>
      </w:pPr>
      <w:r>
        <w:rPr>
          <w:b w:val="0"/>
          <w:i w:val="0"/>
          <w:color w:val="1E293B"/>
          <w:sz w:val="21"/>
        </w:rPr>
        <w:t xml:space="preserve">FCFE discounts cash available to </w:t>
      </w:r>
      <w:r>
        <w:rPr>
          <w:b/>
          <w:i w:val="0"/>
          <w:color w:val="1E293B"/>
          <w:sz w:val="21"/>
        </w:rPr>
        <w:t>shareholders only</w:t>
      </w:r>
      <w:r>
        <w:rPr>
          <w:b w:val="0"/>
          <w:i w:val="0"/>
          <w:color w:val="1E293B"/>
          <w:sz w:val="21"/>
        </w:rPr>
        <w:t xml:space="preserve">, at the </w:t>
      </w:r>
      <w:r>
        <w:rPr>
          <w:b/>
          <w:i w:val="0"/>
          <w:color w:val="1E293B"/>
          <w:sz w:val="21"/>
        </w:rPr>
        <w:t>cost of equity (Ke)</w:t>
      </w:r>
      <w:r>
        <w:rPr>
          <w:b w:val="0"/>
          <w:i w:val="0"/>
          <w:color w:val="1E293B"/>
          <w:sz w:val="21"/>
        </w:rPr>
        <w:t>, giving equity value directly — no debt bridge needed. Useful for financials and as a cross-check.</w:t>
      </w:r>
    </w:p>
    <w:p>
      <w:pPr>
        <w:pStyle w:val="Heading2"/>
      </w:pPr>
      <w:r>
        <w:t>6.2  Relative Valuation (Comparables)</w:t>
      </w:r>
    </w:p>
    <w:p>
      <w:pPr>
        <w:spacing w:after="120" w:before="0" w:line="276" w:lineRule="auto"/>
      </w:pPr>
      <w:r>
        <w:rPr>
          <w:b w:val="0"/>
          <w:i w:val="0"/>
          <w:color w:val="1E293B"/>
          <w:sz w:val="21"/>
        </w:rPr>
        <w:t>Value the company by what similar businesses trade at. Two flavours:</w:t>
      </w:r>
    </w:p>
    <w:p>
      <w:pPr>
        <w:pStyle w:val="ListBullet"/>
        <w:spacing w:after="60"/>
      </w:pPr>
      <w:r>
        <w:rPr>
          <w:b/>
          <w:i w:val="0"/>
          <w:color w:val="1E293B"/>
          <w:sz w:val="21"/>
        </w:rPr>
        <w:t xml:space="preserve">Trading comps: </w:t>
      </w:r>
      <w:r>
        <w:rPr>
          <w:b w:val="0"/>
          <w:i w:val="0"/>
          <w:color w:val="1E293B"/>
          <w:sz w:val="21"/>
        </w:rPr>
        <w:t>listed peers’ current multiples.</w:t>
      </w:r>
    </w:p>
    <w:p>
      <w:pPr>
        <w:pStyle w:val="ListBullet"/>
        <w:spacing w:after="60"/>
      </w:pPr>
      <w:r>
        <w:rPr>
          <w:b/>
          <w:i w:val="0"/>
          <w:color w:val="1E293B"/>
          <w:sz w:val="21"/>
        </w:rPr>
        <w:t xml:space="preserve">Precedent transactions: </w:t>
      </w:r>
      <w:r>
        <w:rPr>
          <w:b w:val="0"/>
          <w:i w:val="0"/>
          <w:color w:val="1E293B"/>
          <w:sz w:val="21"/>
        </w:rPr>
        <w:t>multiples paid in past M&amp;A deals (usually include a control premium).</w:t>
      </w:r>
    </w:p>
    <w:p>
      <w:pPr>
        <w:pStyle w:val="Heading3"/>
      </w:pPr>
      <w:r>
        <w:t>Worked example</w:t>
      </w:r>
    </w:p>
    <w:p>
      <w:pPr>
        <w:spacing w:after="120" w:before="0" w:line="276" w:lineRule="auto"/>
      </w:pPr>
      <w:r>
        <w:rPr>
          <w:b w:val="0"/>
          <w:i w:val="0"/>
          <w:color w:val="1E293B"/>
          <w:sz w:val="21"/>
        </w:rPr>
        <w:t xml:space="preserve">Peer median EV/EBITDA = 11.5×. Apply to FY24 EBITDA 302: EV = 11.5 × 302 = ₹ 3,473 Cr. Less net debt 130 → equity ₹ 3,343 Cr → </w:t>
      </w:r>
      <w:r>
        <w:rPr>
          <w:b/>
          <w:i w:val="0"/>
          <w:color w:val="1E293B"/>
          <w:sz w:val="21"/>
        </w:rPr>
        <w:t>₹ 325/share</w:t>
      </w:r>
      <w:r>
        <w:rPr>
          <w:b w:val="0"/>
          <w:i w:val="0"/>
          <w:color w:val="1E293B"/>
          <w:sz w:val="21"/>
        </w:rPr>
        <w:t xml:space="preserve">. Peer median P/E = 18× × PAT 170 = ₹ 3,060 Cr → </w:t>
      </w:r>
      <w:r>
        <w:rPr>
          <w:b/>
          <w:i w:val="0"/>
          <w:color w:val="1E293B"/>
          <w:sz w:val="21"/>
        </w:rPr>
        <w:t>₹ 297/share</w:t>
      </w:r>
      <w:r>
        <w:rPr>
          <w:b w:val="0"/>
          <w:i w:val="0"/>
          <w:color w:val="1E293B"/>
          <w:sz w:val="21"/>
        </w:rPr>
        <w:t>.</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7209B7"/>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7209B7"/>
                <w:sz w:val="21"/>
              </w:rPr>
              <w:t>❖  Comps discipline</w:t>
            </w:r>
          </w:p>
          <w:p>
            <w:pPr>
              <w:spacing w:after="40"/>
            </w:pPr>
            <w:r>
              <w:rPr>
                <w:b w:val="0"/>
                <w:i w:val="0"/>
                <w:color w:val="1E293B"/>
                <w:sz w:val="20"/>
              </w:rPr>
              <w:t>Use a tight peer set (same sector, size, growth, margins).</w:t>
            </w:r>
          </w:p>
          <w:p>
            <w:pPr>
              <w:spacing w:after="40"/>
            </w:pPr>
            <w:r>
              <w:rPr>
                <w:b w:val="0"/>
                <w:i w:val="0"/>
                <w:color w:val="1E293B"/>
                <w:sz w:val="20"/>
              </w:rPr>
              <w:t>Median is more robust than mean (resists outliers).</w:t>
            </w:r>
          </w:p>
          <w:p>
            <w:pPr>
              <w:spacing w:after="40"/>
            </w:pPr>
            <w:r>
              <w:rPr>
                <w:b w:val="0"/>
                <w:i w:val="0"/>
                <w:color w:val="1E293B"/>
                <w:sz w:val="20"/>
              </w:rPr>
              <w:t>Adjust for differences in growth and returns — don’t compare a 30%-grower with a 5%-grower at the same P/E.</w:t>
            </w:r>
          </w:p>
        </w:tc>
      </w:tr>
    </w:tbl>
    <w:p>
      <w:pPr>
        <w:pStyle w:val="Heading2"/>
      </w:pPr>
      <w:r>
        <w:t>6.3  Asset-Based Valuation</w:t>
      </w:r>
    </w:p>
    <w:p>
      <w:pPr>
        <w:spacing w:after="120" w:before="0" w:line="276" w:lineRule="auto"/>
      </w:pPr>
      <w:r>
        <w:rPr>
          <w:b w:val="0"/>
          <w:i w:val="0"/>
          <w:color w:val="1E293B"/>
          <w:sz w:val="21"/>
        </w:rPr>
        <w:t xml:space="preserve">Value = net assets. </w:t>
      </w:r>
      <w:r>
        <w:rPr>
          <w:b/>
          <w:i w:val="0"/>
          <w:color w:val="1E293B"/>
          <w:sz w:val="21"/>
        </w:rPr>
        <w:t>Book value</w:t>
      </w:r>
      <w:r>
        <w:rPr>
          <w:b w:val="0"/>
          <w:i w:val="0"/>
          <w:color w:val="1E293B"/>
          <w:sz w:val="21"/>
        </w:rPr>
        <w:t xml:space="preserve"> (equity on the balance sheet), </w:t>
      </w:r>
      <w:r>
        <w:rPr>
          <w:b/>
          <w:i w:val="0"/>
          <w:color w:val="1E293B"/>
          <w:sz w:val="21"/>
        </w:rPr>
        <w:t>NAV</w:t>
      </w:r>
      <w:r>
        <w:rPr>
          <w:b w:val="0"/>
          <w:i w:val="0"/>
          <w:color w:val="1E293B"/>
          <w:sz w:val="21"/>
        </w:rPr>
        <w:t xml:space="preserve"> (assets marked to market − liabilities), or </w:t>
      </w:r>
      <w:r>
        <w:rPr>
          <w:b/>
          <w:i w:val="0"/>
          <w:color w:val="1E293B"/>
          <w:sz w:val="21"/>
        </w:rPr>
        <w:t>liquidation value</w:t>
      </w:r>
      <w:r>
        <w:rPr>
          <w:b w:val="0"/>
          <w:i w:val="0"/>
          <w:color w:val="1E293B"/>
          <w:sz w:val="21"/>
        </w:rPr>
        <w:t xml:space="preserve"> (fire-sale). Best for holding companies, real estate and distressed situations; weak for asset-light, brand-driven businesses.</w:t>
      </w:r>
    </w:p>
    <w:p>
      <w:pPr>
        <w:pStyle w:val="Heading2"/>
      </w:pPr>
      <w:r>
        <w:t>6.4  Dividend Discount Model (DDM)</w:t>
      </w:r>
    </w:p>
    <w:p>
      <w:pPr>
        <w:pBdr>
          <w:left w:val="single" w:sz="18" w:space="8" w:color="4361EE"/>
        </w:pBdr>
        <w:shd w:val="clear" w:color="auto" w:fill="EEF2FF"/>
        <w:spacing w:before="80" w:after="120"/>
        <w:ind w:left="120" w:right="120"/>
      </w:pPr>
      <w:r>
        <w:rPr>
          <w:b/>
          <w:color w:val="4361EE"/>
        </w:rPr>
        <w:t xml:space="preserve">Gordon DDM:  </w:t>
      </w:r>
      <w:r>
        <w:rPr>
          <w:rFonts w:ascii="Consolas" w:hAnsi="Consolas"/>
          <w:i/>
          <w:color w:val="1E293B"/>
        </w:rPr>
        <w:t>Value = D₁ ÷ (Ke − g)</w:t>
      </w:r>
      <w:r>
        <w:rPr>
          <w:i/>
          <w:color w:val="64748B"/>
          <w:sz w:val="18"/>
        </w:rPr>
        <w:t xml:space="preserve">   — present value of a growing dividend stream</w:t>
      </w:r>
    </w:p>
    <w:p>
      <w:pPr>
        <w:spacing w:after="120" w:before="0" w:line="276" w:lineRule="auto"/>
      </w:pPr>
      <w:r>
        <w:rPr>
          <w:b w:val="0"/>
          <w:i w:val="0"/>
          <w:color w:val="1E293B"/>
          <w:sz w:val="21"/>
        </w:rPr>
        <w:t>Ideal for stable, dividend-paying companies (utilities, mature financials). Less useful where payouts are low or irregular.</w:t>
      </w:r>
    </w:p>
    <w:p>
      <w:pPr>
        <w:pStyle w:val="Heading2"/>
      </w:pPr>
      <w:r>
        <w:t>6.5  Sum-of-the-Parts (SOTP)</w:t>
      </w:r>
    </w:p>
    <w:p>
      <w:pPr>
        <w:spacing w:after="120" w:before="0" w:line="276" w:lineRule="auto"/>
      </w:pPr>
      <w:r>
        <w:rPr>
          <w:b w:val="0"/>
          <w:i w:val="0"/>
          <w:color w:val="1E293B"/>
          <w:sz w:val="21"/>
        </w:rPr>
        <w:t>Value each business segment with the most appropriate method/multiple, then add them and subtract net debt. Essential for conglomerates where a single multiple would mislead.</w:t>
      </w:r>
    </w:p>
    <w:p>
      <w:pPr>
        <w:pStyle w:val="Heading2"/>
      </w:pPr>
      <w:r>
        <w:t xml:space="preserve">6.6  Venture Capital (VC) Method</w:t>
      </w:r>
    </w:p>
    <w:p>
      <w:pPr>
        <w:spacing w:after="120" w:before="0" w:line="276" w:lineRule="auto"/>
      </w:pPr>
      <w:r>
        <w:rPr>
          <w:b w:val="0"/>
          <w:i w:val="0"/>
          <w:color w:val="1E293B"/>
          <w:sz w:val="21"/>
        </w:rPr>
        <w:t xml:space="preserve">Used by venture-capital and private-equity investors when near-term cash flows are negative or too uncertain to forecast year by year. Instead of discounting every cash flow, you value the business at a future </w:t>
      </w:r>
      <w:r>
        <w:rPr>
          <w:b/>
          <w:i w:val="0"/>
          <w:color w:val="1E293B"/>
          <w:sz w:val="21"/>
        </w:rPr>
        <w:t xml:space="preserve">exit</w:t>
      </w:r>
      <w:r>
        <w:rPr>
          <w:b w:val="0"/>
          <w:i w:val="0"/>
          <w:color w:val="1E293B"/>
          <w:sz w:val="21"/>
        </w:rPr>
        <w:t xml:space="preserve">, then discount that single figure back at the investor’s </w:t>
      </w:r>
      <w:r>
        <w:rPr>
          <w:b/>
          <w:i w:val="0"/>
          <w:color w:val="1E293B"/>
          <w:sz w:val="21"/>
        </w:rPr>
        <w:t xml:space="preserve">target IRR</w:t>
      </w:r>
      <w:r>
        <w:rPr>
          <w:b w:val="0"/>
          <w:i w:val="0"/>
          <w:color w:val="1E293B"/>
          <w:sz w:val="21"/>
        </w:rPr>
        <w:t xml:space="preserve"> — a hurdle rate that bundles the time value of money, the high failure rate of young companies and illiquidity. Also called the Sahlman method (Harvard, 1987).</w:t>
      </w:r>
    </w:p>
    <w:p>
      <w:pPr>
        <w:pBdr>
          <w:left w:val="single" w:sz="18" w:space="8" w:color="4361EE"/>
        </w:pBdr>
        <w:shd w:val="clear" w:color="auto" w:fill="EEF2FF"/>
        <w:spacing w:before="80" w:after="120"/>
        <w:ind w:left="120" w:right="120"/>
      </w:pPr>
      <w:r>
        <w:rPr>
          <w:b/>
          <w:color w:val="4361EE"/>
        </w:rPr>
        <w:t xml:space="preserve">Exit value:  </w:t>
      </w:r>
      <w:r>
        <w:rPr>
          <w:rFonts w:ascii="Consolas" w:hAnsi="Consolas"/>
          <w:i/>
          <w:color w:val="1E293B"/>
        </w:rPr>
        <w:t>Exit Equity = Exit multiple × Exit-year metric</w:t>
      </w:r>
      <w:r>
        <w:rPr>
          <w:i/>
          <w:color w:val="64748B"/>
          <w:sz w:val="18"/>
        </w:rPr>
        <w:t xml:space="preserve">   — for EV multiples, subtract net debt &amp; bridge items at exit</w:t>
      </w:r>
    </w:p>
    <w:p>
      <w:pPr>
        <w:pBdr>
          <w:left w:val="single" w:sz="18" w:space="8" w:color="4361EE"/>
        </w:pBdr>
        <w:shd w:val="clear" w:color="auto" w:fill="EEF2FF"/>
        <w:spacing w:before="80" w:after="120"/>
        <w:ind w:left="120" w:right="120"/>
      </w:pPr>
      <w:r>
        <w:rPr>
          <w:b/>
          <w:color w:val="4361EE"/>
        </w:rPr>
        <w:t xml:space="preserve">Post-money:  </w:t>
      </w:r>
      <w:r>
        <w:rPr>
          <w:rFonts w:ascii="Consolas" w:hAnsi="Consolas"/>
          <w:i/>
          <w:color w:val="1E293B"/>
        </w:rPr>
        <w:t>Post-money today = Exit Equity ÷ (1 + IRR)ⁿ</w:t>
      </w:r>
      <w:r>
        <w:rPr>
          <w:i/>
          <w:color w:val="64748B"/>
          <w:sz w:val="18"/>
        </w:rPr>
        <w:t xml:space="preserve">   — (1 + IRR)ⁿ is the required money multiple (MOIC)</w:t>
      </w:r>
    </w:p>
    <w:p>
      <w:pPr>
        <w:pBdr>
          <w:left w:val="single" w:sz="18" w:space="8" w:color="4361EE"/>
        </w:pBdr>
        <w:shd w:val="clear" w:color="auto" w:fill="EEF2FF"/>
        <w:spacing w:before="80" w:after="120"/>
        <w:ind w:left="120" w:right="120"/>
      </w:pPr>
      <w:r>
        <w:rPr>
          <w:b/>
          <w:color w:val="4361EE"/>
        </w:rPr>
        <w:t xml:space="preserve">Ownership:  </w:t>
      </w:r>
      <w:r>
        <w:rPr>
          <w:rFonts w:ascii="Consolas" w:hAnsi="Consolas"/>
          <w:i/>
          <w:color w:val="1E293B"/>
        </w:rPr>
        <w:t>Stake today = Investment × (1 + IRR)ⁿ ÷ Exit Equity ÷ Retention</w:t>
      </w:r>
      <w:r>
        <w:rPr>
          <w:i/>
          <w:color w:val="64748B"/>
          <w:sz w:val="18"/>
        </w:rPr>
        <w:t xml:space="preserve">   — Retention = 1 − future dilution</w:t>
      </w:r>
    </w:p>
    <w:p>
      <w:pPr>
        <w:pBdr>
          <w:left w:val="single" w:sz="18" w:space="8" w:color="4361EE"/>
        </w:pBdr>
        <w:shd w:val="clear" w:color="auto" w:fill="EEF2FF"/>
        <w:spacing w:before="80" w:after="120"/>
        <w:ind w:left="120" w:right="120"/>
      </w:pPr>
      <w:r>
        <w:rPr>
          <w:b/>
          <w:color w:val="4361EE"/>
        </w:rPr>
        <w:t xml:space="preserve">Pre-money:  </w:t>
      </w:r>
      <w:r>
        <w:rPr>
          <w:rFonts w:ascii="Consolas" w:hAnsi="Consolas"/>
          <w:i/>
          <w:color w:val="1E293B"/>
        </w:rPr>
        <w:t>Pre-money = Investment ÷ Stake today − Investment</w:t>
      </w:r>
      <w:r>
        <w:rPr>
          <w:i/>
          <w:color w:val="64748B"/>
          <w:sz w:val="18"/>
        </w:rPr>
        <w:t xml:space="preserve">   — ÷ shares = value per share &amp; issue price</w:t>
      </w:r>
    </w:p>
    <w:p>
      <w:pPr>
        <w:spacing w:after="120" w:before="0" w:line="276" w:lineRule="auto"/>
      </w:pPr>
      <w:r>
        <w:rPr>
          <w:b/>
          <w:i w:val="0"/>
          <w:color w:val="1E293B"/>
          <w:sz w:val="21"/>
        </w:rPr>
        <w:t xml:space="preserve">Typical target IRRs by stage</w:t>
      </w:r>
      <w:r>
        <w:rPr>
          <w:b w:val="0"/>
          <w:i w:val="0"/>
          <w:color w:val="1E293B"/>
          <w:sz w:val="21"/>
        </w:rPr>
        <w:t xml:space="preserve"> — the riskier the stage, the higher the hurdle:</w:t>
      </w:r>
    </w:p>
    <w:tbl>
      <w:tblPr>
        <w:tblW w:w="9360" w:type="dxa"/>
        <w:jc w:val="center"/>
        <w:tblLayout w:type="fixed"/>
        <w:tblLook w:firstColumn="1" w:firstRow="1" w:lastColumn="0" w:lastRow="0" w:noHBand="0" w:noVBand="1" w:val="04A0"/>
      </w:tblPr>
      <w:tblGrid>
        <w:gridCol w:w="3120"/>
        <w:gridCol w:w="3120"/>
        <w:gridCol w:w="3120"/>
      </w:tblGrid>
      <w:tr>
        <w:tc>
          <w:tcPr>
            <w:tcW w:w="31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 xml:space="preserve">Stage</w:t>
            </w:r>
          </w:p>
        </w:tc>
        <w:tc>
          <w:tcPr>
            <w:tcW w:w="31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 xml:space="preserve">Typical target IRR</w:t>
            </w:r>
          </w:p>
        </w:tc>
        <w:tc>
          <w:tcPr>
            <w:tcW w:w="31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 xml:space="preserve">App preset</w:t>
            </w:r>
          </w:p>
        </w:tc>
      </w:tr>
      <w:tr>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Seed / angel</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50–70%</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60%</w:t>
            </w:r>
          </w:p>
        </w:tc>
      </w:tr>
      <w:tr>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Series A</w:t>
            </w:r>
          </w:p>
        </w:tc>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40–60%</w:t>
            </w:r>
          </w:p>
        </w:tc>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50%</w:t>
            </w:r>
          </w:p>
        </w:tc>
      </w:tr>
      <w:tr>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Series B / C</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30–50%</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40%</w:t>
            </w:r>
          </w:p>
        </w:tc>
      </w:tr>
      <w:tr>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Growth / expansion</w:t>
            </w:r>
          </w:p>
        </w:tc>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25–35%</w:t>
            </w:r>
          </w:p>
        </w:tc>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30%</w:t>
            </w:r>
          </w:p>
        </w:tc>
      </w:tr>
      <w:tr>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Pre-IPO / late stage</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20–30%</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25%</w:t>
            </w:r>
          </w:p>
        </w:tc>
      </w:tr>
    </w:tbl>
    <w:p>
      <w:pPr>
        <w:spacing w:after="60"/>
      </w:pPr>
    </w:p>
    <w:p>
      <w:pPr>
        <w:spacing w:after="120" w:before="0" w:line="276" w:lineRule="auto"/>
      </w:pPr>
      <w:r>
        <w:rPr>
          <w:b/>
          <w:i w:val="0"/>
          <w:color w:val="1E293B"/>
          <w:sz w:val="21"/>
        </w:rPr>
        <w:t xml:space="preserve">Worked example</w:t>
      </w:r>
      <w:r>
        <w:rPr>
          <w:b w:val="0"/>
          <w:i w:val="0"/>
          <w:color w:val="1E293B"/>
          <w:sz w:val="21"/>
        </w:rPr>
        <w:t xml:space="preserve"> — Vipin Corporation: ₹300 Cr investment, 5-year hold to FY29E, exit at 18× P/E, 25% target IRR, 10% expected dilution from later rounds/ESOPs:</w:t>
      </w:r>
    </w:p>
    <w:tbl>
      <w:tblPr>
        <w:tblW w:w="9360" w:type="dxa"/>
        <w:jc w:val="center"/>
        <w:tblLayout w:type="fixed"/>
        <w:tblLook w:firstColumn="1" w:firstRow="1" w:lastColumn="0" w:lastRow="0" w:noHBand="0" w:noVBand="1" w:val="04A0"/>
      </w:tblPr>
      <w:tblGrid>
        <w:gridCol w:w="6240"/>
        <w:gridCol w:w="3120"/>
      </w:tblGrid>
      <w:tr>
        <w:tc>
          <w:tcPr>
            <w:tcW w:w="624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 xml:space="preserve">Step</w:t>
            </w:r>
          </w:p>
        </w:tc>
        <w:tc>
          <w:tcPr>
            <w:tcW w:w="31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 xml:space="preserve">Value</w:t>
            </w:r>
          </w:p>
        </w:tc>
      </w:tr>
      <w:tr>
        <w:tc>
          <w:tcPr>
            <w:tcW w:w="6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FY29E PAT (from the forecast)</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 327 Cr</w:t>
            </w:r>
          </w:p>
        </w:tc>
      </w:tr>
      <w:tr>
        <w:tc>
          <w:tcPr>
            <w:tcW w:w="6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 Exit P/E 18× = Exit equity value</w:t>
            </w:r>
          </w:p>
        </w:tc>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 5,893 Cr</w:t>
            </w:r>
          </w:p>
        </w:tc>
      </w:tr>
      <w:tr>
        <w:tc>
          <w:tcPr>
            <w:tcW w:w="6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 (1.25)⁵ = 3.05× required money multiple</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 1,931 Cr post-money (no dilution)</w:t>
            </w:r>
          </w:p>
        </w:tc>
      </w:tr>
      <w:tr>
        <w:tc>
          <w:tcPr>
            <w:tcW w:w="6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Required stake at exit = 300 × 3.05 ÷ 5,893</w:t>
            </w:r>
          </w:p>
        </w:tc>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15.5%</w:t>
            </w:r>
          </w:p>
        </w:tc>
      </w:tr>
      <w:tr>
        <w:tc>
          <w:tcPr>
            <w:tcW w:w="6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 90% retention = required stake today</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17.3%</w:t>
            </w:r>
          </w:p>
        </w:tc>
      </w:tr>
      <w:tr>
        <w:tc>
          <w:tcPr>
            <w:tcW w:w="624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Post-money = 300 ÷ 17.3%</w:t>
            </w:r>
          </w:p>
        </w:tc>
        <w:tc>
          <w:tcPr>
            <w:tcW w:w="31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 1,738 Cr</w:t>
            </w:r>
          </w:p>
        </w:tc>
      </w:tr>
      <w:tr>
        <w:tc>
          <w:tcPr>
            <w:tcW w:w="624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color w:val="1E293B"/>
                <w:sz w:val="19"/>
              </w:rPr>
              <w:t xml:space="preserve">Pre-money = 1,738 − 300</w:t>
            </w:r>
          </w:p>
        </w:tc>
        <w:tc>
          <w:tcPr>
            <w:tcW w:w="312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color w:val="1E293B"/>
                <w:sz w:val="19"/>
              </w:rPr>
              <w:t xml:space="preserve">₹ 1,438 Cr</w:t>
            </w:r>
          </w:p>
        </w:tc>
      </w:tr>
      <w:tr>
        <w:tc>
          <w:tcPr>
            <w:tcW w:w="624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color w:val="1E293B"/>
                <w:sz w:val="19"/>
              </w:rPr>
              <w:t xml:space="preserve">÷ 10.3 Cr diluted shares = value per share</w:t>
            </w:r>
          </w:p>
        </w:tc>
        <w:tc>
          <w:tcPr>
            <w:tcW w:w="312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color w:val="1E293B"/>
                <w:sz w:val="19"/>
              </w:rPr>
              <w:t xml:space="preserve">₹ 140</w:t>
            </w:r>
          </w:p>
        </w:tc>
      </w:tr>
      <w:tr>
        <w:tc>
          <w:tcPr>
            <w:tcW w:w="624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New shares issued (17.3% stake) at ₹140</w:t>
            </w:r>
          </w:p>
        </w:tc>
        <w:tc>
          <w:tcPr>
            <w:tcW w:w="31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2.15 Cr shares</w:t>
            </w:r>
          </w:p>
        </w:tc>
      </w:tr>
    </w:tbl>
    <w:p>
      <w:pPr>
        <w:spacing w:after="60"/>
      </w:pPr>
    </w:p>
    <w:p>
      <w:pPr>
        <w:spacing w:after="120" w:before="0" w:line="276" w:lineRule="auto"/>
      </w:pPr>
      <w:r>
        <w:rPr>
          <w:b/>
          <w:i w:val="0"/>
          <w:color w:val="1E293B"/>
          <w:sz w:val="21"/>
        </w:rPr>
        <w:t xml:space="preserve">Read-across for a listed company. </w:t>
      </w:r>
      <w:r>
        <w:rPr>
          <w:b w:val="0"/>
          <w:i w:val="0"/>
          <w:color w:val="1E293B"/>
          <w:sz w:val="21"/>
        </w:rPr>
        <w:t xml:space="preserve">At ₹310 the market cap is about ₹3,193 Cr. Buying the whole company today and exiting at ₹5,893 Cr (after 10% dilution) earns an IRR of only about </w:t>
      </w:r>
      <w:r>
        <w:rPr>
          <w:b/>
          <w:i w:val="0"/>
          <w:color w:val="1E293B"/>
          <w:sz w:val="21"/>
        </w:rPr>
        <w:t xml:space="preserve">10.7%</w:t>
      </w:r>
      <w:r>
        <w:rPr>
          <w:b w:val="0"/>
          <w:i w:val="0"/>
          <w:color w:val="1E293B"/>
          <w:sz w:val="21"/>
        </w:rPr>
        <w:t xml:space="preserve"> — well below a 25% venture hurdle, but close to the 11.4% WACC. That is expected: public-market investors accept lower returns for liquidity and lower risk. For a mature listed stock, treat the VC method as a </w:t>
      </w:r>
      <w:r>
        <w:rPr>
          <w:b/>
          <w:i w:val="0"/>
          <w:color w:val="1E293B"/>
          <w:sz w:val="21"/>
        </w:rPr>
        <w:t xml:space="preserve">lens on investor returns</w:t>
      </w:r>
      <w:r>
        <w:rPr>
          <w:b w:val="0"/>
          <w:i w:val="0"/>
          <w:color w:val="1E293B"/>
          <w:sz w:val="21"/>
        </w:rPr>
        <w:t xml:space="preserve">, not as a fair-value estimate.</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7209B7"/>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7209B7"/>
                <w:sz w:val="21"/>
              </w:rPr>
              <w:t>❖  VC method — strengths &amp; limitations</w:t>
            </w:r>
          </w:p>
          <w:p>
            <w:pPr>
              <w:spacing w:after="40"/>
            </w:pPr>
            <w:r>
              <w:rPr>
                <w:b w:val="0"/>
                <w:i w:val="0"/>
                <w:color w:val="1E293B"/>
                <w:sz w:val="20"/>
              </w:rPr>
              <w:t xml:space="preserve">Simple and transparent; works when there are no profits or positive cash flows today.</w:t>
            </w:r>
          </w:p>
          <w:p>
            <w:pPr>
              <w:spacing w:after="40"/>
            </w:pPr>
            <w:r>
              <w:rPr>
                <w:b w:val="0"/>
                <w:i w:val="0"/>
                <w:color w:val="1E293B"/>
                <w:sz w:val="20"/>
              </w:rPr>
              <w:t xml:space="preserve">Highly sensitive to the exit multiple and the IRR — always show an IRR × exit-multiple grid.</w:t>
            </w:r>
          </w:p>
          <w:p>
            <w:pPr>
              <w:spacing w:after="40"/>
            </w:pPr>
            <w:r>
              <w:rPr>
                <w:b w:val="0"/>
                <w:i w:val="0"/>
                <w:color w:val="1E293B"/>
                <w:sz w:val="20"/>
              </w:rPr>
              <w:t xml:space="preserve">Ignores interim cash flows and dividends; all risk is loaded into one hurdle rate instead of being modelled explicitly.</w:t>
            </w:r>
          </w:p>
          <w:p>
            <w:pPr>
              <w:spacing w:after="40"/>
            </w:pPr>
            <w:r>
              <w:rPr>
                <w:b w:val="0"/>
                <w:i w:val="0"/>
                <w:color w:val="1E293B"/>
                <w:sz w:val="20"/>
              </w:rPr>
              <w:t xml:space="preserve">In ValuMetrics: the VC Method tab computes all of the above, with stage presets, a peer-median multiple shortcut and IRR at CMP.</w:t>
            </w:r>
          </w:p>
        </w:tc>
      </w:tr>
    </w:tbl>
    <w:p>
      <w:pPr>
        <w:spacing w:after="60"/>
      </w:pPr>
    </w:p>
    <w:p>
      <w:pPr>
        <w:pStyle w:val="Heading2"/>
      </w:pPr>
      <w:r>
        <w:t>6.7  Choosing a method</w:t>
      </w:r>
    </w:p>
    <w:tbl>
      <w:tblPr>
        <w:tblW w:w="9360" w:type="dxa"/>
        <w:jc w:val="center"/>
        <w:tblLayout w:type="fixed"/>
        <w:tblLook w:firstColumn="1" w:firstRow="1" w:lastColumn="0" w:lastRow="0" w:noHBand="0" w:noVBand="1" w:val="04A0"/>
      </w:tblPr>
      <w:tblGrid>
        <w:gridCol w:w="4680"/>
        <w:gridCol w:w="4680"/>
      </w:tblGrid>
      <w:tr>
        <w:tc>
          <w:tcPr>
            <w:tcW w:w="43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Situation</w:t>
            </w:r>
          </w:p>
        </w:tc>
        <w:tc>
          <w:tcPr>
            <w:tcW w:w="50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Preferred method(s)</w:t>
            </w:r>
          </w:p>
        </w:tc>
      </w:tr>
      <w:tr>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Stable, cash-generative company</w:t>
            </w:r>
          </w:p>
        </w:tc>
        <w:tc>
          <w:tcPr>
            <w:tcW w:w="5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DCF (FCFF) + trading comps</w:t>
            </w:r>
          </w:p>
        </w:tc>
      </w:tr>
      <w:tr>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High-growth / pre-profit</w:t>
            </w:r>
          </w:p>
        </w:tc>
        <w:tc>
          <w:tcPr>
            <w:tcW w:w="5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EV/Sales comps, scenario DCF</w:t>
            </w:r>
          </w:p>
        </w:tc>
      </w:tr>
      <w:tr>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Start-up / VC-backed / pre-IPO</w:t>
            </w:r>
          </w:p>
        </w:tc>
        <w:tc>
          <w:tcPr>
            <w:tcW w:w="5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VC method + EV/Sales comps</w:t>
            </w:r>
          </w:p>
        </w:tc>
      </w:tr>
      <w:tr>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Banks &amp; insurers</w:t>
            </w:r>
          </w:p>
        </w:tc>
        <w:tc>
          <w:tcPr>
            <w:tcW w:w="5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DDM / FCFE, P/B, P/E</w:t>
            </w:r>
          </w:p>
        </w:tc>
      </w:tr>
      <w:tr>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Conglomerate</w:t>
            </w:r>
          </w:p>
        </w:tc>
        <w:tc>
          <w:tcPr>
            <w:tcW w:w="5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Sum-of-the-parts</w:t>
            </w:r>
          </w:p>
        </w:tc>
      </w:tr>
      <w:tr>
        <w:tc>
          <w:tcPr>
            <w:tcW w:w="43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Distressed / asset-heavy</w:t>
            </w:r>
          </w:p>
        </w:tc>
        <w:tc>
          <w:tcPr>
            <w:tcW w:w="50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NAV / liquidation value</w:t>
            </w:r>
          </w:p>
        </w:tc>
      </w:tr>
      <w:tr>
        <w:tc>
          <w:tcPr>
            <w:tcW w:w="43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M&amp;A pricing</w:t>
            </w:r>
          </w:p>
        </w:tc>
        <w:tc>
          <w:tcPr>
            <w:tcW w:w="50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Precedent transactions + DCF with synergies</w:t>
            </w:r>
          </w:p>
        </w:tc>
      </w:tr>
    </w:tbl>
    <w:p>
      <w:r>
        <w:br w:type="page"/>
      </w:r>
    </w:p>
    <w:p>
      <w:pPr>
        <w:pStyle w:val="Heading1"/>
        <w:pBdr>
          <w:bottom w:val="single" w:sz="8" w:space="6" w:color="C7D2FE"/>
        </w:pBdr>
      </w:pPr>
      <w:r>
        <w:t>7.  Value Creation — ROIC vs WACC</w:t>
      </w:r>
    </w:p>
    <w:p>
      <w:pPr>
        <w:spacing w:after="120" w:before="0" w:line="276" w:lineRule="auto"/>
      </w:pPr>
      <w:r>
        <w:rPr>
          <w:b w:val="0"/>
          <w:i w:val="0"/>
          <w:color w:val="1E293B"/>
          <w:sz w:val="21"/>
        </w:rPr>
        <w:t xml:space="preserve">The McKinsey lens: a company creates value only when it earns a return on capital </w:t>
      </w:r>
      <w:r>
        <w:rPr>
          <w:b/>
          <w:i w:val="0"/>
          <w:color w:val="1E293B"/>
          <w:sz w:val="21"/>
        </w:rPr>
        <w:t>above</w:t>
      </w:r>
      <w:r>
        <w:rPr>
          <w:b w:val="0"/>
          <w:i w:val="0"/>
          <w:color w:val="1E293B"/>
          <w:sz w:val="21"/>
        </w:rPr>
        <w:t xml:space="preserve"> its cost of capital. Growth is only valuable when ROIC &gt; WACC — otherwise growth </w:t>
      </w:r>
      <w:r>
        <w:rPr>
          <w:b/>
          <w:i w:val="0"/>
          <w:color w:val="1E293B"/>
          <w:sz w:val="21"/>
        </w:rPr>
        <w:t>destroys</w:t>
      </w:r>
      <w:r>
        <w:rPr>
          <w:b w:val="0"/>
          <w:i w:val="0"/>
          <w:color w:val="1E293B"/>
          <w:sz w:val="21"/>
        </w:rPr>
        <w:t xml:space="preserve"> value.</w:t>
      </w:r>
    </w:p>
    <w:p>
      <w:pPr>
        <w:pBdr>
          <w:left w:val="single" w:sz="18" w:space="8" w:color="4361EE"/>
        </w:pBdr>
        <w:shd w:val="clear" w:color="auto" w:fill="EEF2FF"/>
        <w:spacing w:before="80" w:after="120"/>
        <w:ind w:left="120" w:right="120"/>
      </w:pPr>
      <w:r>
        <w:rPr>
          <w:b/>
          <w:color w:val="4361EE"/>
        </w:rPr>
        <w:t xml:space="preserve">Economic Profit (EVA):  </w:t>
      </w:r>
      <w:r>
        <w:rPr>
          <w:rFonts w:ascii="Consolas" w:hAnsi="Consolas"/>
          <w:i/>
          <w:color w:val="1E293B"/>
        </w:rPr>
        <w:t>EVA = (ROIC − WACC) × Invested Capital</w:t>
      </w:r>
      <w:r>
        <w:rPr>
          <w:i/>
          <w:color w:val="64748B"/>
          <w:sz w:val="18"/>
        </w:rPr>
        <w:t xml:space="preserve">   — = NOPAT − WACC × Invested Capital</w:t>
      </w:r>
    </w:p>
    <w:p>
      <w:pPr>
        <w:spacing w:after="120" w:before="0" w:line="276" w:lineRule="auto"/>
      </w:pPr>
      <w:r>
        <w:rPr>
          <w:b/>
          <w:i w:val="0"/>
          <w:color w:val="1E293B"/>
          <w:sz w:val="21"/>
        </w:rPr>
        <w:t xml:space="preserve">Example: </w:t>
      </w:r>
      <w:r>
        <w:rPr>
          <w:b w:val="0"/>
          <w:i w:val="0"/>
          <w:color w:val="1E293B"/>
          <w:sz w:val="21"/>
        </w:rPr>
        <w:t xml:space="preserve">ROIC 25% vs WACC 11.3% → spread +13.7pp on invested capital ~₹740 Cr → economic profit ≈ </w:t>
      </w:r>
      <w:r>
        <w:rPr>
          <w:b/>
          <w:i w:val="0"/>
          <w:color w:val="10B981"/>
          <w:sz w:val="21"/>
        </w:rPr>
        <w:t>₹ 100 Cr/yr</w:t>
      </w:r>
      <w:r>
        <w:rPr>
          <w:b w:val="0"/>
          <w:i w:val="0"/>
          <w:color w:val="1E293B"/>
          <w:sz w:val="21"/>
        </w:rPr>
        <w:t>. A genuine value creator.</w:t>
      </w:r>
    </w:p>
    <w:p>
      <w:pPr>
        <w:pBdr>
          <w:left w:val="single" w:sz="18" w:space="8" w:color="4361EE"/>
        </w:pBdr>
        <w:shd w:val="clear" w:color="auto" w:fill="EEF2FF"/>
        <w:spacing w:before="80" w:after="120"/>
        <w:ind w:left="120" w:right="120"/>
      </w:pPr>
      <w:r>
        <w:rPr>
          <w:b/>
          <w:color w:val="4361EE"/>
        </w:rPr>
        <w:t xml:space="preserve">Growth must be funded:  </w:t>
      </w:r>
      <w:r>
        <w:rPr>
          <w:rFonts w:ascii="Consolas" w:hAnsi="Consolas"/>
          <w:i/>
          <w:color w:val="1E293B"/>
        </w:rPr>
        <w:t>Sustainable growth g = ROIC × Reinvestment Rate</w:t>
      </w:r>
      <w:r>
        <w:rPr>
          <w:i/>
          <w:color w:val="64748B"/>
          <w:sz w:val="18"/>
        </w:rPr>
        <w:t xml:space="preserve">   — you cannot grow faster than you reinvest</w:t>
      </w:r>
    </w:p>
    <w:tbl>
      <w:tblPr>
        <w:tblW w:w="9360" w:type="dxa"/>
        <w:jc w:val="center"/>
        <w:tblLayout w:type="fixed"/>
        <w:tblLook w:firstColumn="1" w:firstRow="1" w:lastColumn="0" w:lastRow="0" w:noHBand="0" w:noVBand="1" w:val="04A0"/>
      </w:tblPr>
      <w:tblGrid>
        <w:gridCol w:w="9360"/>
      </w:tblGrid>
      <w:tr>
        <w:tc>
          <w:tcPr>
            <w:tcW w:w="9360" w:type="dxa"/>
            <w:tcBorders>
              <w:top w:val="single" w:sz="4" w:space="0" w:color="E2E8F8"/>
              <w:left w:val="single" w:sz="24" w:space="0" w:color="10B981"/>
              <w:bottom w:val="single" w:sz="4" w:space="0" w:color="E2E8F8"/>
              <w:right w:val="single" w:sz="4" w:space="0" w:color="E2E8F8"/>
            </w:tcBorders>
            <w:shd w:val="clear" w:color="auto" w:fill="FBFBFE"/>
            <w:tcMar>
              <w:top w:w="120" w:type="dxa"/>
              <w:left w:w="160" w:type="dxa"/>
              <w:bottom w:w="120" w:type="dxa"/>
              <w:right w:w="160" w:type="dxa"/>
            </w:tcMar>
          </w:tcPr>
          <w:p>
            <w:pPr>
              <w:spacing w:after="60"/>
            </w:pPr>
            <w:r>
              <w:rPr>
                <w:b/>
                <w:color w:val="10B981"/>
                <w:sz w:val="21"/>
              </w:rPr>
              <w:t>❖  The consistency test</w:t>
            </w:r>
          </w:p>
          <w:p>
            <w:pPr>
              <w:spacing w:after="40"/>
            </w:pPr>
            <w:r>
              <w:rPr>
                <w:b w:val="0"/>
                <w:i w:val="0"/>
                <w:color w:val="1E293B"/>
                <w:sz w:val="20"/>
              </w:rPr>
              <w:t>If a model forecasts 15% growth but ROIC × reinvestment only supports 9%, the growth is unfunded fantasy.</w:t>
            </w:r>
          </w:p>
          <w:p>
            <w:pPr>
              <w:spacing w:after="40"/>
            </w:pPr>
            <w:r>
              <w:rPr>
                <w:b w:val="0"/>
                <w:i w:val="0"/>
                <w:color w:val="1E293B"/>
                <w:sz w:val="20"/>
              </w:rPr>
              <w:t>High ROIC + reinvestment = a compounding machine. Low ROIC + high growth = a value trap.</w:t>
            </w:r>
          </w:p>
        </w:tc>
      </w:tr>
    </w:tbl>
    <w:p>
      <w:r>
        <w:br w:type="page"/>
      </w:r>
    </w:p>
    <w:p>
      <w:pPr>
        <w:pStyle w:val="Heading1"/>
        <w:pBdr>
          <w:bottom w:val="single" w:sz="8" w:space="6" w:color="C7D2FE"/>
        </w:pBdr>
      </w:pPr>
      <w:r>
        <w:t>8.  Sensitivity, Scenarios &amp; Reverse DCF</w:t>
      </w:r>
    </w:p>
    <w:p>
      <w:pPr>
        <w:pStyle w:val="Heading2"/>
      </w:pPr>
      <w:r>
        <w:t>8.1  Sensitivity analysis</w:t>
      </w:r>
    </w:p>
    <w:p>
      <w:pPr>
        <w:spacing w:after="120" w:before="0" w:line="276" w:lineRule="auto"/>
      </w:pPr>
      <w:r>
        <w:rPr>
          <w:b w:val="0"/>
          <w:i w:val="0"/>
          <w:color w:val="1E293B"/>
          <w:sz w:val="21"/>
        </w:rPr>
        <w:t>A DCF answer is a point estimate built on uncertain inputs. Flex the two that matter most — WACC and terminal growth — in a grid to see the range of fair values.</w:t>
      </w:r>
    </w:p>
    <w:tbl>
      <w:tblPr>
        <w:tblW w:w="9360" w:type="dxa"/>
        <w:jc w:val="center"/>
        <w:tblLayout w:type="fixed"/>
        <w:tblLook w:firstColumn="1" w:firstRow="1" w:lastColumn="0" w:lastRow="0" w:noHBand="0" w:noVBand="1" w:val="04A0"/>
      </w:tblPr>
      <w:tblGrid>
        <w:gridCol w:w="1560"/>
        <w:gridCol w:w="1560"/>
        <w:gridCol w:w="1560"/>
        <w:gridCol w:w="1560"/>
        <w:gridCol w:w="1560"/>
        <w:gridCol w:w="1560"/>
      </w:tblGrid>
      <w:tr>
        <w:tc>
          <w:tcPr>
            <w:tcW w:w="17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WACC \ g</w:t>
            </w:r>
          </w:p>
        </w:tc>
        <w:tc>
          <w:tcPr>
            <w:tcW w:w="15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3.5%</w:t>
            </w:r>
          </w:p>
        </w:tc>
        <w:tc>
          <w:tcPr>
            <w:tcW w:w="15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4.0%</w:t>
            </w:r>
          </w:p>
        </w:tc>
        <w:tc>
          <w:tcPr>
            <w:tcW w:w="15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4.5%</w:t>
            </w:r>
          </w:p>
        </w:tc>
        <w:tc>
          <w:tcPr>
            <w:tcW w:w="15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5.0%</w:t>
            </w:r>
          </w:p>
        </w:tc>
        <w:tc>
          <w:tcPr>
            <w:tcW w:w="152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5.5%</w:t>
            </w:r>
          </w:p>
        </w:tc>
      </w:tr>
      <w:tr>
        <w:tc>
          <w:tcPr>
            <w:tcW w:w="1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10.4%</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338</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352</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368</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386</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407</w:t>
            </w:r>
          </w:p>
        </w:tc>
      </w:tr>
      <w:tr>
        <w:tc>
          <w:tcPr>
            <w:tcW w:w="1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10.9%</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316</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328</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342</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357</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375</w:t>
            </w:r>
          </w:p>
        </w:tc>
      </w:tr>
      <w:tr>
        <w:tc>
          <w:tcPr>
            <w:tcW w:w="176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color w:val="1E293B"/>
                <w:sz w:val="19"/>
              </w:rPr>
              <w:t>11.4%</w:t>
            </w:r>
          </w:p>
        </w:tc>
        <w:tc>
          <w:tcPr>
            <w:tcW w:w="152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val="0"/>
                <w:color w:val="1E293B"/>
                <w:sz w:val="19"/>
              </w:rPr>
              <w:t>296</w:t>
            </w:r>
          </w:p>
        </w:tc>
        <w:tc>
          <w:tcPr>
            <w:tcW w:w="152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val="0"/>
                <w:color w:val="1E293B"/>
                <w:sz w:val="19"/>
              </w:rPr>
              <w:t>307</w:t>
            </w:r>
          </w:p>
        </w:tc>
        <w:tc>
          <w:tcPr>
            <w:tcW w:w="1520" w:type="dxa"/>
            <w:tcBorders>
              <w:top w:val="single" w:sz="4" w:space="0" w:color="CCCCCC"/>
              <w:left w:val="single" w:sz="4" w:space="0" w:color="CCCCCC"/>
              <w:bottom w:val="single" w:sz="4" w:space="0" w:color="CCCCCC"/>
              <w:right w:val="single" w:sz="4" w:space="0" w:color="CCCCCC"/>
            </w:tcBorders>
            <w:shd w:val="clear" w:color="auto" w:fill="DBEAFE"/>
            <w:tcMar>
              <w:top w:w="70" w:type="dxa"/>
              <w:left w:w="110" w:type="dxa"/>
              <w:bottom w:w="70" w:type="dxa"/>
              <w:right w:w="110" w:type="dxa"/>
            </w:tcMar>
            <w:vAlign w:val="center"/>
          </w:tcPr>
          <w:p>
            <w:pPr>
              <w:spacing w:after="0"/>
            </w:pPr>
            <w:r>
              <w:rPr>
                <w:b/>
                <w:color w:val="1E293B"/>
                <w:sz w:val="19"/>
              </w:rPr>
              <w:t>312</w:t>
            </w:r>
          </w:p>
        </w:tc>
        <w:tc>
          <w:tcPr>
            <w:tcW w:w="152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val="0"/>
                <w:color w:val="1E293B"/>
                <w:sz w:val="19"/>
              </w:rPr>
              <w:t>323</w:t>
            </w:r>
          </w:p>
        </w:tc>
        <w:tc>
          <w:tcPr>
            <w:tcW w:w="1520" w:type="dxa"/>
            <w:tcBorders>
              <w:top w:val="single" w:sz="4" w:space="0" w:color="CCCCCC"/>
              <w:left w:val="single" w:sz="4" w:space="0" w:color="CCCCCC"/>
              <w:bottom w:val="single" w:sz="4" w:space="0" w:color="CCCCCC"/>
              <w:right w:val="single" w:sz="4" w:space="0" w:color="CCCCCC"/>
            </w:tcBorders>
            <w:shd w:val="clear" w:color="auto" w:fill="EEF2FF"/>
            <w:tcMar>
              <w:top w:w="70" w:type="dxa"/>
              <w:left w:w="110" w:type="dxa"/>
              <w:bottom w:w="70" w:type="dxa"/>
              <w:right w:w="110" w:type="dxa"/>
            </w:tcMar>
            <w:vAlign w:val="center"/>
          </w:tcPr>
          <w:p>
            <w:pPr>
              <w:spacing w:after="0"/>
            </w:pPr>
            <w:r>
              <w:rPr>
                <w:b w:val="0"/>
                <w:color w:val="1E293B"/>
                <w:sz w:val="19"/>
              </w:rPr>
              <w:t>338</w:t>
            </w:r>
          </w:p>
        </w:tc>
      </w:tr>
      <w:tr>
        <w:tc>
          <w:tcPr>
            <w:tcW w:w="1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11.9%</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278</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287</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298</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308</w:t>
            </w:r>
          </w:p>
        </w:tc>
        <w:tc>
          <w:tcPr>
            <w:tcW w:w="152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320</w:t>
            </w:r>
          </w:p>
        </w:tc>
      </w:tr>
      <w:tr>
        <w:tc>
          <w:tcPr>
            <w:tcW w:w="1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12.4%</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262</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270</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279</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289</w:t>
            </w:r>
          </w:p>
        </w:tc>
        <w:tc>
          <w:tcPr>
            <w:tcW w:w="152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300</w:t>
            </w:r>
          </w:p>
        </w:tc>
      </w:tr>
    </w:tbl>
    <w:p>
      <w:pPr>
        <w:spacing w:after="120" w:before="0" w:line="276" w:lineRule="auto"/>
      </w:pPr>
      <w:r>
        <w:rPr>
          <w:b w:val="0"/>
          <w:i w:val="0"/>
          <w:color w:val="1E293B"/>
          <w:sz w:val="21"/>
        </w:rPr>
        <w:t>Reading: at a higher WACC or lower growth, fair value falls; the centre cell is the base case (₹312).</w:t>
      </w:r>
    </w:p>
    <w:p>
      <w:pPr>
        <w:pStyle w:val="Heading2"/>
      </w:pPr>
      <w:r>
        <w:t>8.2  Scenario analysis (Bull / Base / Bear)</w:t>
      </w:r>
    </w:p>
    <w:tbl>
      <w:tblPr>
        <w:tblW w:w="9360" w:type="dxa"/>
        <w:jc w:val="center"/>
        <w:tblLayout w:type="fixed"/>
        <w:tblLook w:firstColumn="1" w:firstRow="1" w:lastColumn="0" w:lastRow="0" w:noHBand="0" w:noVBand="1" w:val="04A0"/>
      </w:tblPr>
      <w:tblGrid>
        <w:gridCol w:w="2340"/>
        <w:gridCol w:w="2340"/>
        <w:gridCol w:w="2340"/>
        <w:gridCol w:w="2340"/>
      </w:tblGrid>
      <w:tr>
        <w:tc>
          <w:tcPr>
            <w:tcW w:w="24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Scenario</w:t>
            </w:r>
          </w:p>
        </w:tc>
        <w:tc>
          <w:tcPr>
            <w:tcW w:w="41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Assumptions</w:t>
            </w:r>
          </w:p>
        </w:tc>
        <w:tc>
          <w:tcPr>
            <w:tcW w:w="14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Target</w:t>
            </w:r>
          </w:p>
        </w:tc>
        <w:tc>
          <w:tcPr>
            <w:tcW w:w="14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Probability</w:t>
            </w:r>
          </w:p>
        </w:tc>
      </w:tr>
      <w:tr>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0B981"/>
                <w:sz w:val="19"/>
              </w:rPr>
              <w:t>Bull</w:t>
            </w:r>
          </w:p>
        </w:tc>
        <w:tc>
          <w:tcPr>
            <w:tcW w:w="41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Faster growth, margin expansion</w:t>
            </w:r>
          </w:p>
        </w:tc>
        <w:tc>
          <w:tcPr>
            <w:tcW w:w="1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387</w:t>
            </w:r>
          </w:p>
        </w:tc>
        <w:tc>
          <w:tcPr>
            <w:tcW w:w="1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25%</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4361EE"/>
                <w:sz w:val="19"/>
              </w:rPr>
              <w:t>Base</w:t>
            </w:r>
          </w:p>
        </w:tc>
        <w:tc>
          <w:tcPr>
            <w:tcW w:w="41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As modelled</w:t>
            </w:r>
          </w:p>
        </w:tc>
        <w:tc>
          <w:tcPr>
            <w:tcW w:w="1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312</w:t>
            </w:r>
          </w:p>
        </w:tc>
        <w:tc>
          <w:tcPr>
            <w:tcW w:w="1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50%</w:t>
            </w:r>
          </w:p>
        </w:tc>
      </w:tr>
      <w:tr>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EF4444"/>
                <w:sz w:val="19"/>
              </w:rPr>
              <w:t>Bear</w:t>
            </w:r>
          </w:p>
        </w:tc>
        <w:tc>
          <w:tcPr>
            <w:tcW w:w="41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Slower growth, margin pressure</w:t>
            </w:r>
          </w:p>
        </w:tc>
        <w:tc>
          <w:tcPr>
            <w:tcW w:w="1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252</w:t>
            </w:r>
          </w:p>
        </w:tc>
        <w:tc>
          <w:tcPr>
            <w:tcW w:w="1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25%</w:t>
            </w:r>
          </w:p>
        </w:tc>
      </w:tr>
      <w:tr>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Probability-weighted</w:t>
            </w:r>
          </w:p>
        </w:tc>
        <w:tc>
          <w:tcPr>
            <w:tcW w:w="41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0.25×387 + 0.50×312 + 0.25×252</w:t>
            </w:r>
          </w:p>
        </w:tc>
        <w:tc>
          <w:tcPr>
            <w:tcW w:w="1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color w:val="1E293B"/>
                <w:sz w:val="19"/>
              </w:rPr>
              <w:t>₹ 316</w:t>
            </w:r>
          </w:p>
        </w:tc>
        <w:tc>
          <w:tcPr>
            <w:tcW w:w="1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100%</w:t>
            </w:r>
          </w:p>
        </w:tc>
      </w:tr>
    </w:tbl>
    <w:p>
      <w:pPr>
        <w:pStyle w:val="Heading2"/>
      </w:pPr>
      <w:r>
        <w:t>8.3  Reverse DCF</w:t>
      </w:r>
    </w:p>
    <w:p>
      <w:pPr>
        <w:spacing w:after="120" w:before="0" w:line="276" w:lineRule="auto"/>
      </w:pPr>
      <w:r>
        <w:rPr>
          <w:b w:val="0"/>
          <w:i w:val="0"/>
          <w:color w:val="1E293B"/>
          <w:sz w:val="21"/>
        </w:rPr>
        <w:t xml:space="preserve">Instead of asking “what is it worth?”, ask “what is the market already pricing in?” Solve for the growth rate that makes the DCF equal today’s price. If the market implies 15% growth forever but the company has never grown above 10%, the price is </w:t>
      </w:r>
      <w:r>
        <w:rPr>
          <w:b/>
          <w:i w:val="0"/>
          <w:color w:val="1E293B"/>
          <w:sz w:val="21"/>
        </w:rPr>
        <w:t>pricing in heroics</w:t>
      </w:r>
      <w:r>
        <w:rPr>
          <w:b w:val="0"/>
          <w:i w:val="0"/>
          <w:color w:val="1E293B"/>
          <w:sz w:val="21"/>
        </w:rPr>
        <w:t xml:space="preserve"> — a red flag.</w:t>
      </w:r>
    </w:p>
    <w:p>
      <w:pPr>
        <w:pStyle w:val="Heading2"/>
      </w:pPr>
      <w:r>
        <w:t>8.4  The football field</w:t>
      </w:r>
    </w:p>
    <w:p>
      <w:pPr>
        <w:spacing w:after="120" w:before="0" w:line="276" w:lineRule="auto"/>
      </w:pPr>
      <w:r>
        <w:rPr>
          <w:b w:val="0"/>
          <w:i w:val="0"/>
          <w:color w:val="1E293B"/>
          <w:sz w:val="21"/>
        </w:rPr>
        <w:t>Plot the value range from every method on one chart, with the current price as a vertical line. Where the price sits relative to the methods is the punchline of the analysis.</w:t>
      </w:r>
    </w:p>
    <w:p>
      <w:r>
        <w:br w:type="page"/>
      </w:r>
    </w:p>
    <w:p>
      <w:pPr>
        <w:pStyle w:val="Heading1"/>
        <w:pBdr>
          <w:bottom w:val="single" w:sz="8" w:space="6" w:color="C7D2FE"/>
        </w:pBdr>
      </w:pPr>
      <w:r>
        <w:t>9.  Putting It Together — A Full Valuation</w:t>
      </w:r>
    </w:p>
    <w:p>
      <w:pPr>
        <w:spacing w:after="120" w:before="0" w:line="276" w:lineRule="auto"/>
      </w:pPr>
      <w:r>
        <w:rPr>
          <w:b w:val="0"/>
          <w:i w:val="0"/>
          <w:color w:val="1E293B"/>
          <w:sz w:val="21"/>
        </w:rPr>
        <w:t>For Vipin Corporation, triangulating across methods:</w:t>
      </w:r>
    </w:p>
    <w:tbl>
      <w:tblPr>
        <w:tblW w:w="9360" w:type="dxa"/>
        <w:jc w:val="center"/>
        <w:tblLayout w:type="fixed"/>
        <w:tblLook w:firstColumn="1" w:firstRow="1" w:lastColumn="0" w:lastRow="0" w:noHBand="0" w:noVBand="1" w:val="04A0"/>
      </w:tblPr>
      <w:tblGrid>
        <w:gridCol w:w="3120"/>
        <w:gridCol w:w="3120"/>
        <w:gridCol w:w="3120"/>
      </w:tblGrid>
      <w:tr>
        <w:tc>
          <w:tcPr>
            <w:tcW w:w="37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Method</w:t>
            </w:r>
          </w:p>
        </w:tc>
        <w:tc>
          <w:tcPr>
            <w:tcW w:w="32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Implied value / share</w:t>
            </w:r>
          </w:p>
        </w:tc>
        <w:tc>
          <w:tcPr>
            <w:tcW w:w="24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Signal vs ₹310</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DCF — FCFF (base)</w:t>
            </w:r>
          </w:p>
        </w:tc>
        <w:tc>
          <w:tcPr>
            <w:tcW w:w="3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312</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Fairly valued</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DCF — FCFE cross-check</w:t>
            </w:r>
          </w:p>
        </w:tc>
        <w:tc>
          <w:tcPr>
            <w:tcW w:w="32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261</w:t>
            </w:r>
          </w:p>
        </w:tc>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Slightly rich</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Probability-weighted scenarios</w:t>
            </w:r>
          </w:p>
        </w:tc>
        <w:tc>
          <w:tcPr>
            <w:tcW w:w="3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316</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Fairly valued</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Comps — EV/EBITDA (11.5×)</w:t>
            </w:r>
          </w:p>
        </w:tc>
        <w:tc>
          <w:tcPr>
            <w:tcW w:w="32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325</w:t>
            </w:r>
          </w:p>
        </w:tc>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Modest upside</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Comps — P/E (18×)</w:t>
            </w:r>
          </w:p>
        </w:tc>
        <w:tc>
          <w:tcPr>
            <w:tcW w:w="3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297</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Slightly rich</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Exit-multiple terminal value</w:t>
            </w:r>
          </w:p>
        </w:tc>
        <w:tc>
          <w:tcPr>
            <w:tcW w:w="32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332</w:t>
            </w:r>
          </w:p>
        </w:tc>
        <w:tc>
          <w:tcPr>
            <w:tcW w:w="24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Modest upside</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VC method (18× P/E, 25% IRR)</w:t>
            </w:r>
          </w:p>
        </w:tc>
        <w:tc>
          <w:tcPr>
            <w:tcW w:w="3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 140</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IRR at CMP ≈ 10.7%</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4361EE"/>
                <w:sz w:val="19"/>
              </w:rPr>
              <w:t>Conclusion</w:t>
            </w:r>
          </w:p>
        </w:tc>
        <w:tc>
          <w:tcPr>
            <w:tcW w:w="32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1E293B"/>
                <w:sz w:val="19"/>
              </w:rPr>
              <w:t>₹ 290–345 range</w:t>
            </w:r>
          </w:p>
        </w:tc>
        <w:tc>
          <w:tcPr>
            <w:tcW w:w="24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color w:val="F59E0B"/>
                <w:sz w:val="19"/>
              </w:rPr>
              <w:t>HOLD</w:t>
            </w:r>
          </w:p>
        </w:tc>
      </w:tr>
    </w:tbl>
    <w:p>
      <w:pPr>
        <w:spacing w:after="120" w:before="0" w:line="276" w:lineRule="auto"/>
      </w:pPr>
      <w:r>
        <w:rPr>
          <w:b w:val="0"/>
          <w:i w:val="0"/>
          <w:color w:val="1E293B"/>
          <w:sz w:val="21"/>
        </w:rPr>
        <w:t>The methods cluster around the current price — a defensible HOLD. The discipline is not to chase a single number but to understand why the methods agree or disagree, and what would change the call.</w:t>
      </w:r>
    </w:p>
    <w:p>
      <w:pPr>
        <w:pStyle w:val="Heading1"/>
        <w:pBdr>
          <w:bottom w:val="single" w:sz="8" w:space="6" w:color="C7D2FE"/>
        </w:pBdr>
      </w:pPr>
      <w:r>
        <w:t>10.  Common Pitfalls &amp; Best Practices</w:t>
      </w:r>
    </w:p>
    <w:p>
      <w:pPr>
        <w:pStyle w:val="ListBullet"/>
        <w:spacing w:after="60"/>
      </w:pPr>
      <w:r>
        <w:rPr>
          <w:b/>
          <w:i w:val="0"/>
          <w:color w:val="1E293B"/>
          <w:sz w:val="21"/>
        </w:rPr>
        <w:t xml:space="preserve">Terminal-value tail wags the dog: </w:t>
      </w:r>
      <w:r>
        <w:rPr>
          <w:b w:val="0"/>
          <w:i w:val="0"/>
          <w:color w:val="1E293B"/>
          <w:sz w:val="21"/>
        </w:rPr>
        <w:t>g ≥ WACC produces nonsense; keep g below long-run GDP growth.</w:t>
      </w:r>
    </w:p>
    <w:p>
      <w:pPr>
        <w:pStyle w:val="ListBullet"/>
        <w:spacing w:after="60"/>
      </w:pPr>
      <w:r>
        <w:rPr>
          <w:b/>
          <w:i w:val="0"/>
          <w:color w:val="1E293B"/>
          <w:sz w:val="21"/>
        </w:rPr>
        <w:t xml:space="preserve">Mismatched multiples: </w:t>
      </w:r>
      <w:r>
        <w:rPr>
          <w:b w:val="0"/>
          <w:i w:val="0"/>
          <w:color w:val="1E293B"/>
          <w:sz w:val="21"/>
        </w:rPr>
        <w:t>never put an EV metric over an equity value, or vice-versa.</w:t>
      </w:r>
    </w:p>
    <w:p>
      <w:pPr>
        <w:pStyle w:val="ListBullet"/>
        <w:spacing w:after="60"/>
      </w:pPr>
      <w:r>
        <w:rPr>
          <w:b/>
          <w:i w:val="0"/>
          <w:color w:val="1E293B"/>
          <w:sz w:val="21"/>
        </w:rPr>
        <w:t xml:space="preserve">Unfunded growth: </w:t>
      </w:r>
      <w:r>
        <w:rPr>
          <w:b w:val="0"/>
          <w:i w:val="0"/>
          <w:color w:val="1E293B"/>
          <w:sz w:val="21"/>
        </w:rPr>
        <w:t>revenue growth must be consistent with ROIC × reinvestment.</w:t>
      </w:r>
    </w:p>
    <w:p>
      <w:pPr>
        <w:pStyle w:val="ListBullet"/>
        <w:spacing w:after="60"/>
      </w:pPr>
      <w:r>
        <w:rPr>
          <w:b/>
          <w:i w:val="0"/>
          <w:color w:val="1E293B"/>
          <w:sz w:val="21"/>
        </w:rPr>
        <w:t xml:space="preserve">Ignoring the bridge: </w:t>
      </w:r>
      <w:r>
        <w:rPr>
          <w:b w:val="0"/>
          <w:i w:val="0"/>
          <w:color w:val="1E293B"/>
          <w:sz w:val="21"/>
        </w:rPr>
        <w:t>forgetting minorities, leases, associates or preferred misstates per-share value.</w:t>
      </w:r>
    </w:p>
    <w:p>
      <w:pPr>
        <w:pStyle w:val="ListBullet"/>
        <w:spacing w:after="60"/>
      </w:pPr>
      <w:r>
        <w:rPr>
          <w:b/>
          <w:i w:val="0"/>
          <w:color w:val="1E293B"/>
          <w:sz w:val="21"/>
        </w:rPr>
        <w:t xml:space="preserve">Single-point illusion: </w:t>
      </w:r>
      <w:r>
        <w:rPr>
          <w:b w:val="0"/>
          <w:i w:val="0"/>
          <w:color w:val="1E293B"/>
          <w:sz w:val="21"/>
        </w:rPr>
        <w:t>always present a range via sensitivity and scenarios.</w:t>
      </w:r>
    </w:p>
    <w:p>
      <w:pPr>
        <w:pStyle w:val="ListBullet"/>
        <w:spacing w:after="60"/>
      </w:pPr>
      <w:r>
        <w:rPr>
          <w:b/>
          <w:i w:val="0"/>
          <w:color w:val="1E293B"/>
          <w:sz w:val="21"/>
        </w:rPr>
        <w:t xml:space="preserve">Anchoring to price: </w:t>
      </w:r>
      <w:r>
        <w:rPr>
          <w:b w:val="0"/>
          <w:i w:val="0"/>
          <w:color w:val="1E293B"/>
          <w:sz w:val="21"/>
        </w:rPr>
        <w:t>build value independently, then compare to price — not the other way round.</w:t>
      </w:r>
    </w:p>
    <w:p>
      <w:pPr>
        <w:pStyle w:val="ListBullet"/>
        <w:spacing w:after="60"/>
      </w:pPr>
      <w:r>
        <w:rPr>
          <w:b/>
          <w:i w:val="0"/>
          <w:color w:val="1E293B"/>
          <w:sz w:val="21"/>
        </w:rPr>
        <w:t xml:space="preserve">Optimism creep: </w:t>
      </w:r>
      <w:r>
        <w:rPr>
          <w:b w:val="0"/>
          <w:i w:val="0"/>
          <w:color w:val="1E293B"/>
          <w:sz w:val="21"/>
        </w:rPr>
        <w:t>forecasts that only ever go up. Pressure-test the bear case.</w:t>
      </w:r>
    </w:p>
    <w:p>
      <w:r>
        <w:br w:type="page"/>
      </w:r>
    </w:p>
    <w:p>
      <w:pPr>
        <w:pStyle w:val="Heading1"/>
        <w:pBdr>
          <w:bottom w:val="single" w:sz="8" w:space="6" w:color="C7D2FE"/>
        </w:pBdr>
      </w:pPr>
      <w:r>
        <w:t>11.  Quick Formula Reference</w:t>
      </w:r>
    </w:p>
    <w:tbl>
      <w:tblPr>
        <w:tblW w:w="9360" w:type="dxa"/>
        <w:jc w:val="center"/>
        <w:tblLayout w:type="fixed"/>
        <w:tblLook w:firstColumn="1" w:firstRow="1" w:lastColumn="0" w:lastRow="0" w:noHBand="0" w:noVBand="1" w:val="04A0"/>
      </w:tblPr>
      <w:tblGrid>
        <w:gridCol w:w="4680"/>
        <w:gridCol w:w="4680"/>
      </w:tblGrid>
      <w:tr>
        <w:tc>
          <w:tcPr>
            <w:tcW w:w="376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Metric</w:t>
            </w:r>
          </w:p>
        </w:tc>
        <w:tc>
          <w:tcPr>
            <w:tcW w:w="5600" w:type="dxa"/>
            <w:tcBorders>
              <w:top w:val="single" w:sz="4" w:space="0" w:color="CCCCCC"/>
              <w:left w:val="single" w:sz="4" w:space="0" w:color="CCCCCC"/>
              <w:bottom w:val="single" w:sz="4" w:space="0" w:color="CCCCCC"/>
              <w:right w:val="single" w:sz="4" w:space="0" w:color="CCCCCC"/>
            </w:tcBorders>
            <w:shd w:val="clear" w:color="auto" w:fill="4361EE"/>
            <w:tcMar>
              <w:top w:w="70" w:type="dxa"/>
              <w:left w:w="110" w:type="dxa"/>
              <w:bottom w:w="70" w:type="dxa"/>
              <w:right w:w="110" w:type="dxa"/>
            </w:tcMar>
            <w:vAlign w:val="center"/>
          </w:tcPr>
          <w:p>
            <w:pPr>
              <w:spacing w:after="0"/>
            </w:pPr>
            <w:r>
              <w:rPr>
                <w:b/>
                <w:color w:val="FFFFFF"/>
                <w:sz w:val="20"/>
              </w:rPr>
              <w:t>Formula</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Gross / EBITDA / Net Margin</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GP / EBITDA / PAT ÷ Revenue</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ROE</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PAT ÷ Equity</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ROCE</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EBIT ÷ Capital Employed</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ROIC</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NOPAT ÷ Invested Capital</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DuPont ROE</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Net Margin × Asset Turnover × Equity Multiplier</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NOPAT</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EBIT × (1 − tax)</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FCFF</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NOPAT + D&amp;A − CapEx − Δ Working Capital</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FCFE</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FCFF − after-tax interest + net borrowing</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Enterprise Value</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Equity + Net Debt + Minorities + Preferred − Associates</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Cost of Equity (CAPM)</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Rf + β × ERP</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WACC</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(E/V)Ke + (D/V)Kd(1−t)</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DCF Enterprise Value</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Σ PV(FCFF) + PV(Terminal Value)</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Terminal Value (Gordon)</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FCFFₙ(1+g) ÷ (WACC − g)</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Economic Profit (EVA)</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(ROIC − WACC) × Invested Capital</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Sustainable Growth</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ROIC × Reinvestment Rate</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Cash Conversion Cycle</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DSO + DIO − DPO</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Altman Z (mfg.)</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1.2A + 1.4B + 3.3C + 0.6D + 1.0E</w:t>
            </w:r>
          </w:p>
        </w:tc>
      </w:tr>
      <w:tr>
        <w:tc>
          <w:tcPr>
            <w:tcW w:w="376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VC post-money</w:t>
            </w:r>
          </w:p>
        </w:tc>
        <w:tc>
          <w:tcPr>
            <w:tcW w:w="5600" w:type="dxa"/>
            <w:tcBorders>
              <w:top w:val="single" w:sz="4" w:space="0" w:color="CCCCCC"/>
              <w:left w:val="single" w:sz="4" w:space="0" w:color="CCCCCC"/>
              <w:bottom w:val="single" w:sz="4" w:space="0" w:color="CCCCCC"/>
              <w:right w:val="single" w:sz="4" w:space="0" w:color="CCCCCC"/>
            </w:tcBorders>
            <w:tcMar>
              <w:top w:w="70" w:type="dxa"/>
              <w:left w:w="110" w:type="dxa"/>
              <w:bottom w:w="70" w:type="dxa"/>
              <w:right w:w="110" w:type="dxa"/>
            </w:tcMar>
            <w:vAlign w:val="center"/>
          </w:tcPr>
          <w:p>
            <w:pPr>
              <w:spacing w:after="0"/>
            </w:pPr>
            <w:r>
              <w:rPr>
                <w:b w:val="0"/>
                <w:color w:val="1E293B"/>
                <w:sz w:val="19"/>
              </w:rPr>
              <w:t xml:space="preserve">Exit Equity ÷ (1 + target IRR)ⁿ</w:t>
            </w:r>
          </w:p>
        </w:tc>
      </w:tr>
      <w:tr>
        <w:tc>
          <w:tcPr>
            <w:tcW w:w="376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VC required stake</w:t>
            </w:r>
          </w:p>
        </w:tc>
        <w:tc>
          <w:tcPr>
            <w:tcW w:w="5600" w:type="dxa"/>
            <w:tcBorders>
              <w:top w:val="single" w:sz="4" w:space="0" w:color="CCCCCC"/>
              <w:left w:val="single" w:sz="4" w:space="0" w:color="CCCCCC"/>
              <w:bottom w:val="single" w:sz="4" w:space="0" w:color="CCCCCC"/>
              <w:right w:val="single" w:sz="4" w:space="0" w:color="CCCCCC"/>
            </w:tcBorders>
            <w:shd w:val="clear" w:color="auto" w:fill="F7F9FF"/>
            <w:tcMar>
              <w:top w:w="70" w:type="dxa"/>
              <w:left w:w="110" w:type="dxa"/>
              <w:bottom w:w="70" w:type="dxa"/>
              <w:right w:w="110" w:type="dxa"/>
            </w:tcMar>
            <w:vAlign w:val="center"/>
          </w:tcPr>
          <w:p>
            <w:pPr>
              <w:spacing w:after="0"/>
            </w:pPr>
            <w:r>
              <w:rPr>
                <w:b w:val="0"/>
                <w:color w:val="1E293B"/>
                <w:sz w:val="19"/>
              </w:rPr>
              <w:t xml:space="preserve">Investment × (1+IRR)ⁿ ÷ Exit Equity ÷ (1 − dilution)</w:t>
            </w:r>
          </w:p>
        </w:tc>
      </w:tr>
    </w:tbl>
    <w:p>
      <w:pPr>
        <w:pBdr>
          <w:top w:val="single" w:sz="12" w:space="6" w:color="4361EE"/>
        </w:pBdr>
        <w:spacing w:before="160"/>
      </w:pPr>
    </w:p>
    <w:p>
      <w:pPr>
        <w:spacing w:after="120" w:before="0" w:line="276" w:lineRule="auto"/>
      </w:pPr>
      <w:r>
        <w:rPr>
          <w:b/>
          <w:i w:val="0"/>
          <w:color w:val="F59E0B"/>
          <w:sz w:val="18"/>
        </w:rPr>
        <w:t xml:space="preserve">Disclaimer: </w:t>
      </w:r>
      <w:r>
        <w:rPr>
          <w:b w:val="0"/>
          <w:i/>
          <w:color w:val="64748B"/>
          <w:sz w:val="18"/>
        </w:rPr>
        <w:t>This handbook is for educational purposes only and does not constitute investment advice, an offer, or a solicitation. All figures are illustrative. Always conduct independent due diligence and consult a qualified professional before making investment decisions.</w:t>
      </w:r>
    </w:p>
    <w:p>
      <w:pPr>
        <w:spacing w:after="120" w:before="0" w:line="276" w:lineRule="auto"/>
      </w:pPr>
      <w:r>
        <w:rPr>
          <w:b w:val="0"/>
          <w:i w:val="0"/>
          <w:color w:val="64748B"/>
          <w:sz w:val="18"/>
        </w:rPr>
        <w:t>© Vipin’s ValuMetrics™  ·  Tel 8160203197  ·  audit.vipin@gmail.com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Page </w:t>
    </w:r>
    <w:r>
      <w:fldChar w:fldCharType="begin"/>
      <w:instrText xml:space="preserve">PAGE</w:instrText>
      <w:fldChar w:fldCharType="end"/>
    </w:r>
    <w:r>
      <w:rPr>
        <w:color w:val="64748B"/>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6" w:color="E2E8F8"/>
      </w:pBdr>
      <w:tabs>
        <w:tab w:pos="9360" w:val="right"/>
      </w:tabs>
    </w:pPr>
    <w:r>
      <w:rPr>
        <w:color w:val="64748B"/>
        <w:sz w:val="16"/>
      </w:rPr>
      <w:t>The Complete Guide to Company Valuation</w:t>
    </w:r>
    <w:r>
      <w:rPr>
        <w:b/>
        <w:color w:val="4361EE"/>
        <w:sz w:val="16"/>
      </w:rPr>
      <w:tab/>
      <w:t>Vipin’s ValuMetrics™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4361E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7209B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E293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