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160" w:before="0"/>
        <w:jc w:val="center"/>
      </w:pPr>
      <w:r>
        <w:rPr>
          <w:rFonts w:ascii="Verdana" w:cs="Verdana" w:eastAsia="Verdana" w:hAnsi="Verdana"/>
          <w:b/>
          <w:bCs/>
          <w:color w:val="92400E"/>
          <w:sz w:val="60"/>
          <w:szCs w:val="60"/>
        </w:rPr>
        <w:t xml:space="preserve">INCOME-TAX ACT, 2025</w:t>
      </w:r>
    </w:p>
    <w:p>
      <w:pPr>
        <w:spacing w:after="160" w:before="0"/>
        <w:jc w:val="center"/>
      </w:pPr>
      <w:r>
        <w:rPr>
          <w:rFonts w:ascii="Verdana" w:cs="Verdana" w:eastAsia="Verdana" w:hAnsi="Verdana"/>
          <w:color w:val="D97706"/>
          <w:sz w:val="38"/>
          <w:szCs w:val="38"/>
        </w:rPr>
        <w:t xml:space="preserve">The Professional's Master Guide</w:t>
      </w:r>
    </w:p>
    <w:p>
      <w:pPr>
        <w:spacing w:after="500" w:before="0"/>
        <w:jc w:val="center"/>
      </w:pPr>
      <w:r>
        <w:rPr>
          <w:rFonts w:ascii="Verdana" w:cs="Verdana" w:eastAsia="Verdana" w:hAnsi="Verdana"/>
          <w:i/>
          <w:iCs/>
          <w:sz w:val="26"/>
          <w:szCs w:val="26"/>
        </w:rPr>
        <w:t xml:space="preserve">Law, Practice and Worked Illustrations</w:t>
      </w:r>
    </w:p>
    <w:p>
      <w:pPr>
        <w:pBdr>
          <w:top w:val="single" w:color="92400E" w:sz="8" w:space="14"/>
        </w:pBdr>
        <w:spacing w:after="120"/>
        <w:jc w:val="center"/>
      </w:pPr>
      <w:r>
        <w:rPr>
          <w:rFonts w:ascii="Verdana" w:cs="Verdana" w:eastAsia="Verdana" w:hAnsi="Verdana"/>
          <w:color w:val="404040"/>
          <w:sz w:val="20"/>
          <w:szCs w:val="20"/>
        </w:rPr>
        <w:t xml:space="preserve">Individuals  |  Business and Profession  |  Capital Gains  |  Corporate Tax</w:t>
      </w:r>
    </w:p>
    <w:p>
      <w:pPr>
        <w:spacing w:after="500" w:before="0"/>
        <w:jc w:val="center"/>
      </w:pPr>
      <w:r>
        <w:rPr>
          <w:rFonts w:ascii="Verdana" w:cs="Verdana" w:eastAsia="Verdana" w:hAnsi="Verdana"/>
          <w:color w:val="404040"/>
          <w:sz w:val="20"/>
          <w:szCs w:val="20"/>
        </w:rPr>
        <w:t xml:space="preserve">Mergers and Acquisitions  |  International Taxation  |  Transfer Pricing  |  TDS and Compliance</w:t>
      </w:r>
    </w:p>
    <w:p>
      <w:pPr>
        <w:spacing w:after="1400" w:before="0"/>
        <w:jc w:val="center"/>
      </w:pPr>
      <w:r>
        <w:rPr>
          <w:rFonts w:ascii="Verdana" w:cs="Verdana" w:eastAsia="Verdana" w:hAnsi="Verdana"/>
          <w:sz w:val="22"/>
          <w:szCs w:val="22"/>
        </w:rPr>
        <w:t xml:space="preserve">Covers Tax Year 2026-27, as amended by the Finance Act, 2026</w:t>
      </w:r>
    </w:p>
    <w:p>
      <w:pPr>
        <w:spacing w:after="120" w:before="0"/>
        <w:jc w:val="center"/>
      </w:pPr>
      <w:r>
        <w:rPr>
          <w:rFonts w:ascii="Verdana" w:cs="Verdana" w:eastAsia="Verdana" w:hAnsi="Verdana"/>
          <w:b/>
          <w:bCs/>
          <w:color w:val="92400E"/>
          <w:sz w:val="34"/>
          <w:szCs w:val="34"/>
        </w:rPr>
        <w:t xml:space="preserve">Vipin Nair</w:t>
      </w:r>
    </w:p>
    <w:p>
      <w:pPr>
        <w:spacing w:after="120" w:before="0"/>
        <w:jc w:val="center"/>
      </w:pPr>
      <w:r>
        <w:rPr>
          <w:rFonts w:ascii="Verdana" w:cs="Verdana" w:eastAsia="Verdana" w:hAnsi="Verdana"/>
          <w:color w:val="404040"/>
          <w:sz w:val="22"/>
          <w:szCs w:val="22"/>
        </w:rPr>
        <w:t xml:space="preserve">First Edition  |  28 September 2026</w:t>
      </w:r>
    </w:p>
    <w:p>
      <w:pPr>
        <w:pageBreakBefore/>
        <w:spacing w:before="5000"/>
      </w:pPr>
    </w:p>
    <w:p>
      <w:pPr>
        <w:spacing w:after="120"/>
      </w:pPr>
      <w:r>
        <w:rPr>
          <w:rFonts w:ascii="Verdana" w:cs="Verdana" w:eastAsia="Verdana" w:hAnsi="Verdana"/>
          <w:b/>
          <w:bCs/>
          <w:color w:val="404040"/>
          <w:sz w:val="19"/>
          <w:szCs w:val="19"/>
        </w:rPr>
        <w:t xml:space="preserve">Income-tax Act, 2025: The Professional's Master Guide</w:t>
      </w:r>
    </w:p>
    <w:p>
      <w:pPr>
        <w:spacing w:after="120"/>
      </w:pPr>
      <w:r>
        <w:rPr>
          <w:rFonts w:ascii="Verdana" w:cs="Verdana" w:eastAsia="Verdana" w:hAnsi="Verdana"/>
          <w:color w:val="404040"/>
          <w:sz w:val="19"/>
          <w:szCs w:val="19"/>
        </w:rPr>
        <w:t xml:space="preserve">Author: </w:t>
      </w:r>
      <w:r>
        <w:rPr>
          <w:rFonts w:ascii="Verdana" w:cs="Verdana" w:eastAsia="Verdana" w:hAnsi="Verdana"/>
          <w:b/>
          <w:bCs/>
          <w:color w:val="404040"/>
          <w:sz w:val="19"/>
          <w:szCs w:val="19"/>
        </w:rPr>
        <w:t xml:space="preserve">Vipin Nair</w:t>
      </w:r>
    </w:p>
    <w:p>
      <w:pPr>
        <w:spacing w:after="120"/>
      </w:pPr>
      <w:r>
        <w:rPr>
          <w:rFonts w:ascii="Verdana" w:cs="Verdana" w:eastAsia="Verdana" w:hAnsi="Verdana"/>
          <w:color w:val="404040"/>
          <w:sz w:val="19"/>
          <w:szCs w:val="19"/>
        </w:rPr>
        <w:t xml:space="preserve">First Edition: 28 September 2026</w:t>
      </w:r>
    </w:p>
    <w:p>
      <w:pPr>
        <w:spacing w:after="120"/>
      </w:pPr>
      <w:r>
        <w:rPr>
          <w:rFonts w:ascii="Verdana" w:cs="Verdana" w:eastAsia="Verdana" w:hAnsi="Verdana"/>
          <w:color w:val="404040"/>
          <w:sz w:val="19"/>
          <w:szCs w:val="19"/>
        </w:rPr>
        <w:t xml:space="preserve">Law stated as on: 28 September 2026 (Income-tax Act, 2025 as amended by the Finance Act, 2026, and the Income-tax Rules, 2026)</w:t>
      </w:r>
    </w:p>
    <w:p>
      <w:pPr>
        <w:spacing w:after="120"/>
      </w:pPr>
      <w:r>
        <w:rPr>
          <w:rFonts w:ascii="Verdana" w:cs="Verdana" w:eastAsia="Verdana" w:hAnsi="Verdana"/>
          <w:color w:val="404040"/>
          <w:sz w:val="19"/>
          <w:szCs w:val="19"/>
        </w:rPr>
        <w:t xml:space="preserve">Copyright 2026 Vipin Nair. All rights reserved. No part of this publication may be reproduced, stored or transmitted in any form or by any means without the prior written permission of the author, except for brief quotations with acknowledgement.</w:t>
      </w:r>
    </w:p>
    <w:p>
      <w:pPr>
        <w:spacing w:after="120"/>
      </w:pPr>
      <w:r>
        <w:rPr>
          <w:rFonts w:ascii="Verdana" w:cs="Verdana" w:eastAsia="Verdana" w:hAnsi="Verdana"/>
          <w:b/>
          <w:bCs/>
          <w:color w:val="404040"/>
          <w:sz w:val="19"/>
          <w:szCs w:val="19"/>
        </w:rPr>
        <w:t xml:space="preserve">Disclaimer:</w:t>
      </w:r>
      <w:r>
        <w:rPr>
          <w:rFonts w:ascii="Verdana" w:cs="Verdana" w:eastAsia="Verdana" w:hAnsi="Verdana"/>
          <w:color w:val="404040"/>
          <w:sz w:val="19"/>
          <w:szCs w:val="19"/>
        </w:rPr>
        <w:t xml:space="preserve"> This guide is intended for study and general professional reference. It does not constitute legal or tax advice for any specific situation. Every effort has been made to state the law accurately, but section numbers, rates, thresholds and due dates may change through amendments, notifications and circulars issued after the date above. Readers should refer to the bare Act, the Rules and official notifications, and apply professional judgment before acting. The author accepts no liability for any loss arising from reliance on this publication.</w:t>
      </w:r>
    </w:p>
    <w:p>
      <w:pPr>
        <w:spacing w:after="120"/>
      </w:pPr>
      <w:r>
        <w:rPr>
          <w:rFonts w:ascii="Verdana" w:cs="Verdana" w:eastAsia="Verdana" w:hAnsi="Verdana"/>
          <w:color w:val="404040"/>
          <w:sz w:val="19"/>
          <w:szCs w:val="19"/>
        </w:rPr>
        <w:t xml:space="preserve">All names used in the illustrations are fictitious. Any resemblance to real persons or entities is coincidental.</w:t>
      </w:r>
    </w:p>
    <w:p>
      <w:pPr>
        <w:pStyle w:val="Heading1"/>
        <w:pageBreakBefore/>
        <w:spacing w:after="200"/>
      </w:pPr>
      <w:r>
        <w:rPr>
          <w:rFonts w:ascii="Verdana" w:cs="Verdana" w:eastAsia="Verdana" w:hAnsi="Verdana"/>
        </w:rPr>
        <w:t xml:space="preserve">Preface</w:t>
      </w:r>
    </w:p>
    <w:p>
      <w:pPr>
        <w:spacing w:after="120" w:line="276"/>
        <w:jc w:val="both"/>
      </w:pPr>
      <w:r>
        <w:rPr>
          <w:rFonts w:ascii="Verdana" w:cs="Verdana" w:eastAsia="Verdana" w:hAnsi="Verdana"/>
        </w:rPr>
        <w:t xml:space="preserve">On 1 April 2026, India began working under a new income tax law for the first-time in more than sixty years. For those of us who learnt the subject through sections like 43B, 44AD, 80C and 194J, the change is less about new rules and more about a new language. The principles we know remain; the numbers, the terms and the forms have changed.</w:t>
      </w:r>
    </w:p>
    <w:p>
      <w:pPr>
        <w:spacing w:after="120" w:line="276"/>
        <w:jc w:val="both"/>
      </w:pPr>
      <w:r>
        <w:rPr>
          <w:rFonts w:ascii="Verdana" w:cs="Verdana" w:eastAsia="Verdana" w:hAnsi="Verdana"/>
        </w:rPr>
        <w:t xml:space="preserve">This guide was written to be the one book a practising professional keeps on the desk during this transition and after it. It explains the Income-tax Act, 2025 in plain words, always showing the new section beside the old one, and it relies on worked illustrations rather than long commentary. Each illustration is built the way a working paper is built, with every step of the calculation visible.</w:t>
      </w:r>
    </w:p>
    <w:p>
      <w:pPr>
        <w:spacing w:after="120" w:line="276"/>
        <w:jc w:val="both"/>
      </w:pPr>
      <w:r>
        <w:rPr>
          <w:rFonts w:ascii="Verdana" w:cs="Verdana" w:eastAsia="Verdana" w:hAnsi="Verdana"/>
        </w:rPr>
        <w:t xml:space="preserve">The coverage runs from the basics of residence and the Tax Year, through each head of income, to the areas where most advisory work lies: corporate tax and MAT, mergers and restructuring, international taxation, transfer pricing, and the TDS and compliance cycle that finance teams handle every month. The appendices bring together the section mapping, the compliance calendar, practice questions and a checklist of common mistakes.</w:t>
      </w:r>
    </w:p>
    <w:p>
      <w:pPr>
        <w:spacing w:after="120" w:line="276"/>
        <w:jc w:val="both"/>
      </w:pPr>
      <w:r>
        <w:rPr>
          <w:rFonts w:ascii="Verdana" w:cs="Verdana" w:eastAsia="Verdana" w:hAnsi="Verdana"/>
        </w:rPr>
        <w:t xml:space="preserve">The law is stated as amended by the Finance Act, 2026. Where the new Act or the Rules leave room for interpretation, or where the position is still settling, the text says so. Suggestions and corrections from readers are welcome and will be taken into the next edition.</w:t>
      </w:r>
    </w:p>
    <w:p>
      <w:pPr>
        <w:spacing w:after="40" w:before="300"/>
        <w:jc w:val="right"/>
      </w:pPr>
      <w:r>
        <w:rPr>
          <w:rFonts w:ascii="Verdana" w:cs="Verdana" w:eastAsia="Verdana" w:hAnsi="Verdana"/>
          <w:b/>
          <w:bCs/>
          <w:sz w:val="22"/>
          <w:szCs w:val="22"/>
        </w:rPr>
        <w:t xml:space="preserve">Vipin Nair</w:t>
      </w:r>
    </w:p>
    <w:p>
      <w:pPr>
        <w:jc w:val="right"/>
      </w:pPr>
      <w:r>
        <w:rPr>
          <w:rFonts w:ascii="Verdana" w:cs="Verdana" w:eastAsia="Verdana" w:hAnsi="Verdana"/>
          <w:color w:val="404040"/>
          <w:sz w:val="20"/>
          <w:szCs w:val="20"/>
        </w:rPr>
        <w:t xml:space="preserve">Ahmedabad, 28 September 2026</w:t>
      </w:r>
    </w:p>
    <w:p>
      <w:pPr>
        <w:pStyle w:val="Heading1"/>
        <w:pageBreakBefore/>
        <w:spacing w:after="200"/>
      </w:pPr>
      <w:r>
        <w:rPr>
          <w:rFonts w:ascii="Verdana" w:cs="Verdana" w:eastAsia="Verdana" w:hAnsi="Verdana"/>
        </w:rPr>
        <w:t xml:space="preserve">How to Use This Guide</w:t>
      </w:r>
    </w:p>
    <w:p>
      <w:pPr>
        <w:spacing w:after="120" w:line="276"/>
        <w:jc w:val="both"/>
      </w:pPr>
      <w:r>
        <w:rPr>
          <w:rFonts w:ascii="Verdana" w:cs="Verdana" w:eastAsia="Verdana" w:hAnsi="Verdana"/>
        </w:rPr>
        <w:t xml:space="preserve">Each chapter follows the same pattern:</w:t>
      </w:r>
    </w:p>
    <w:p>
      <w:pPr>
        <w:pStyle w:val="ListParagraph"/>
        <w:numPr>
          <w:ilvl w:val="0"/>
          <w:numId w:val="2"/>
        </w:numPr>
        <w:spacing w:after="60" w:line="264"/>
      </w:pPr>
      <w:r>
        <w:rPr>
          <w:rFonts w:ascii="Verdana" w:cs="Verdana" w:eastAsia="Verdana" w:hAnsi="Verdana"/>
          <w:b/>
          <w:bCs/>
        </w:rPr>
        <w:t xml:space="preserve">The law in plain words</w:t>
      </w:r>
      <w:r>
        <w:rPr>
          <w:rFonts w:ascii="Verdana" w:cs="Verdana" w:eastAsia="Verdana" w:hAnsi="Verdana"/>
        </w:rPr>
        <w:t xml:space="preserve">, with the new section number and the old 1961 section in brackets.</w:t>
      </w:r>
    </w:p>
    <w:p>
      <w:pPr>
        <w:pStyle w:val="ListParagraph"/>
        <w:numPr>
          <w:ilvl w:val="0"/>
          <w:numId w:val="2"/>
        </w:numPr>
        <w:spacing w:after="60" w:line="264"/>
      </w:pPr>
      <w:r>
        <w:rPr>
          <w:rFonts w:ascii="Verdana" w:cs="Verdana" w:eastAsia="Verdana" w:hAnsi="Verdana"/>
          <w:b/>
          <w:bCs/>
        </w:rPr>
        <w:t xml:space="preserve">Illustrations</w:t>
      </w:r>
      <w:r>
        <w:rPr>
          <w:rFonts w:ascii="Verdana" w:cs="Verdana" w:eastAsia="Verdana" w:hAnsi="Verdana"/>
        </w:rPr>
        <w:t xml:space="preserve"> with real numbers. Every calculation is shown step by step and numbered through the book for easy reference.</w:t>
      </w:r>
    </w:p>
    <w:p>
      <w:pPr>
        <w:pStyle w:val="ListParagraph"/>
        <w:numPr>
          <w:ilvl w:val="0"/>
          <w:numId w:val="2"/>
        </w:numPr>
        <w:spacing w:after="60" w:line="264"/>
      </w:pPr>
      <w:r>
        <w:rPr>
          <w:rFonts w:ascii="Verdana" w:cs="Verdana" w:eastAsia="Verdana" w:hAnsi="Verdana"/>
          <w:b/>
          <w:bCs/>
        </w:rPr>
        <w:t xml:space="preserve">Key point</w:t>
      </w:r>
      <w:r>
        <w:rPr>
          <w:rFonts w:ascii="Verdana" w:cs="Verdana" w:eastAsia="Verdana" w:hAnsi="Verdana"/>
        </w:rPr>
        <w:t xml:space="preserve"> boxes for the issues that most often go wrong in practice.</w:t>
      </w:r>
    </w:p>
    <w:p>
      <w:pPr>
        <w:pStyle w:val="ListParagraph"/>
        <w:numPr>
          <w:ilvl w:val="0"/>
          <w:numId w:val="2"/>
        </w:numPr>
        <w:spacing w:after="60" w:line="264"/>
      </w:pPr>
      <w:r>
        <w:rPr>
          <w:rFonts w:ascii="Verdana" w:cs="Verdana" w:eastAsia="Verdana" w:hAnsi="Verdana"/>
          <w:b/>
          <w:bCs/>
        </w:rPr>
        <w:t xml:space="preserve">Practice notes</w:t>
      </w:r>
      <w:r>
        <w:rPr>
          <w:rFonts w:ascii="Verdana" w:cs="Verdana" w:eastAsia="Verdana" w:hAnsi="Verdana"/>
        </w:rPr>
        <w:t xml:space="preserve"> for client work, audits, due diligence and compliance.</w:t>
      </w:r>
    </w:p>
    <w:p>
      <w:pPr>
        <w:spacing w:after="120" w:line="276"/>
        <w:jc w:val="both"/>
      </w:pPr>
      <w:r>
        <w:rPr>
          <w:rFonts w:ascii="Verdana" w:cs="Verdana" w:eastAsia="Verdana" w:hAnsi="Verdana"/>
        </w:rPr>
        <w:t xml:space="preserve">The guide is arranged in eight parts and a set of appendices:</w:t>
      </w:r>
    </w:p>
    <w:p>
      <w:pPr>
        <w:pStyle w:val="ListParagraph"/>
        <w:numPr>
          <w:ilvl w:val="0"/>
          <w:numId w:val="2"/>
        </w:numPr>
        <w:spacing w:after="60" w:line="264"/>
      </w:pPr>
      <w:r>
        <w:rPr>
          <w:rFonts w:ascii="Verdana" w:cs="Verdana" w:eastAsia="Verdana" w:hAnsi="Verdana"/>
          <w:b/>
          <w:bCs/>
        </w:rPr>
        <w:t xml:space="preserve">Part A, Foundations:</w:t>
      </w:r>
      <w:r>
        <w:rPr>
          <w:rFonts w:ascii="Verdana" w:cs="Verdana" w:eastAsia="Verdana" w:hAnsi="Verdana"/>
        </w:rPr>
        <w:t xml:space="preserve"> the new structure, transition, Tax Year, residence and exempt income.</w:t>
      </w:r>
    </w:p>
    <w:p>
      <w:pPr>
        <w:pStyle w:val="ListParagraph"/>
        <w:numPr>
          <w:ilvl w:val="0"/>
          <w:numId w:val="2"/>
        </w:numPr>
        <w:spacing w:after="60" w:line="264"/>
      </w:pPr>
      <w:r>
        <w:rPr>
          <w:rFonts w:ascii="Verdana" w:cs="Verdana" w:eastAsia="Verdana" w:hAnsi="Verdana"/>
          <w:b/>
          <w:bCs/>
        </w:rPr>
        <w:t xml:space="preserve">Part B, Heads of Income:</w:t>
      </w:r>
      <w:r>
        <w:rPr>
          <w:rFonts w:ascii="Verdana" w:cs="Verdana" w:eastAsia="Verdana" w:hAnsi="Verdana"/>
        </w:rPr>
        <w:t xml:space="preserve"> salaries, house property, business or profession, capital gains and other sources.</w:t>
      </w:r>
    </w:p>
    <w:p>
      <w:pPr>
        <w:pStyle w:val="ListParagraph"/>
        <w:numPr>
          <w:ilvl w:val="0"/>
          <w:numId w:val="2"/>
        </w:numPr>
        <w:spacing w:after="60" w:line="264"/>
      </w:pPr>
      <w:r>
        <w:rPr>
          <w:rFonts w:ascii="Verdana" w:cs="Verdana" w:eastAsia="Verdana" w:hAnsi="Verdana"/>
          <w:b/>
          <w:bCs/>
        </w:rPr>
        <w:t xml:space="preserve">Part C, Total Income and Tax:</w:t>
      </w:r>
      <w:r>
        <w:rPr>
          <w:rFonts w:ascii="Verdana" w:cs="Verdana" w:eastAsia="Verdana" w:hAnsi="Verdana"/>
        </w:rPr>
        <w:t xml:space="preserve"> clubbing, losses, deductions, rates, regimes, HUFs, firms, AOPs and non-profit organisations.</w:t>
      </w:r>
    </w:p>
    <w:p>
      <w:pPr>
        <w:pStyle w:val="ListParagraph"/>
        <w:numPr>
          <w:ilvl w:val="0"/>
          <w:numId w:val="2"/>
        </w:numPr>
        <w:spacing w:after="60" w:line="264"/>
      </w:pPr>
      <w:r>
        <w:rPr>
          <w:rFonts w:ascii="Verdana" w:cs="Verdana" w:eastAsia="Verdana" w:hAnsi="Verdana"/>
          <w:b/>
          <w:bCs/>
        </w:rPr>
        <w:t xml:space="preserve">Part D, Corporate Tax Matters:</w:t>
      </w:r>
      <w:r>
        <w:rPr>
          <w:rFonts w:ascii="Verdana" w:cs="Verdana" w:eastAsia="Verdana" w:hAnsi="Verdana"/>
        </w:rPr>
        <w:t xml:space="preserve"> company regimes, MAT, dividends, buyback, losses, start-ups, tax provisioning, sector issues, GST and Ind AS.</w:t>
      </w:r>
    </w:p>
    <w:p>
      <w:pPr>
        <w:pStyle w:val="ListParagraph"/>
        <w:numPr>
          <w:ilvl w:val="0"/>
          <w:numId w:val="2"/>
        </w:numPr>
        <w:spacing w:after="60" w:line="264"/>
      </w:pPr>
      <w:r>
        <w:rPr>
          <w:rFonts w:ascii="Verdana" w:cs="Verdana" w:eastAsia="Verdana" w:hAnsi="Verdana"/>
          <w:b/>
          <w:bCs/>
        </w:rPr>
        <w:t xml:space="preserve">Part E, Mergers and Acquisitions:</w:t>
      </w:r>
      <w:r>
        <w:rPr>
          <w:rFonts w:ascii="Verdana" w:cs="Verdana" w:eastAsia="Verdana" w:hAnsi="Verdana"/>
        </w:rPr>
        <w:t xml:space="preserve"> amalgamation, demerger, slump sale, conversions and share deals.</w:t>
      </w:r>
    </w:p>
    <w:p>
      <w:pPr>
        <w:pStyle w:val="ListParagraph"/>
        <w:numPr>
          <w:ilvl w:val="0"/>
          <w:numId w:val="2"/>
        </w:numPr>
        <w:spacing w:after="60" w:line="264"/>
      </w:pPr>
      <w:r>
        <w:rPr>
          <w:rFonts w:ascii="Verdana" w:cs="Verdana" w:eastAsia="Verdana" w:hAnsi="Verdana"/>
          <w:b/>
          <w:bCs/>
        </w:rPr>
        <w:t xml:space="preserve">Part F, International Taxation:</w:t>
      </w:r>
      <w:r>
        <w:rPr>
          <w:rFonts w:ascii="Verdana" w:cs="Verdana" w:eastAsia="Verdana" w:hAnsi="Verdana"/>
        </w:rPr>
        <w:t xml:space="preserve"> non-residents, treaties, withholding, foreign tax credit, NRIs, transfer pricing and anti-avoidance.</w:t>
      </w:r>
    </w:p>
    <w:p>
      <w:pPr>
        <w:pStyle w:val="ListParagraph"/>
        <w:numPr>
          <w:ilvl w:val="0"/>
          <w:numId w:val="2"/>
        </w:numPr>
        <w:spacing w:after="60" w:line="264"/>
      </w:pPr>
      <w:r>
        <w:rPr>
          <w:rFonts w:ascii="Verdana" w:cs="Verdana" w:eastAsia="Verdana" w:hAnsi="Verdana"/>
          <w:b/>
          <w:bCs/>
        </w:rPr>
        <w:t xml:space="preserve">Part G, Compliance and Disputes:</w:t>
      </w:r>
      <w:r>
        <w:rPr>
          <w:rFonts w:ascii="Verdana" w:cs="Verdana" w:eastAsia="Verdana" w:hAnsi="Verdana"/>
        </w:rPr>
        <w:t xml:space="preserve"> TDS and TCS, salary TDS, advance tax, returns, assessment, search, appeals, recovery, penalties and forms.</w:t>
      </w:r>
    </w:p>
    <w:p>
      <w:pPr>
        <w:pStyle w:val="ListParagraph"/>
        <w:numPr>
          <w:ilvl w:val="0"/>
          <w:numId w:val="2"/>
        </w:numPr>
        <w:spacing w:after="60" w:line="264"/>
      </w:pPr>
      <w:r>
        <w:rPr>
          <w:rFonts w:ascii="Verdana" w:cs="Verdana" w:eastAsia="Verdana" w:hAnsi="Verdana"/>
          <w:b/>
          <w:bCs/>
        </w:rPr>
        <w:t xml:space="preserve">Part H, Comprehensive Case Studies:</w:t>
      </w:r>
      <w:r>
        <w:rPr>
          <w:rFonts w:ascii="Verdana" w:cs="Verdana" w:eastAsia="Verdana" w:hAnsi="Verdana"/>
        </w:rPr>
        <w:t xml:space="preserve"> sixteen complete computations covering salaried taxpayers, professionals, firms, senior citizens, traders, start-ups, mergers, NRIs, trusts, transfer pricing, company regime choice, small traders, TDS defaults, multiple capital gains, returning NRIs and HUF partition.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2025 Act is mainly a rewrite and renumbering. Most rules you know continue with new numbers. Learn the new numbers and terms, and focus on the real changes flagged in each chapter.</w:t>
            </w:r>
          </w:p>
          <w:p>
            <w:pPr>
              <w:spacing w:after="60" w:line="260"/>
            </w:pPr>
            <w:r>
              <w:rPr>
                <w:rFonts w:ascii="Verdana" w:cs="Verdana" w:eastAsia="Verdana" w:hAnsi="Verdana"/>
                <w:sz w:val="20"/>
                <w:szCs w:val="20"/>
              </w:rPr>
              <w:t xml:space="preserve">All illustrations use Tax Year 2026-27 rates unless stated otherwise. Confirm current figures with the Act, the Rules and any later notification before advising a client.</w:t>
            </w:r>
          </w:p>
        </w:tc>
      </w:tr>
    </w:tbl>
    <w:p>
      <w:pPr>
        <w:spacing w:after="60"/>
      </w:pPr>
    </w:p>
    <w:p>
      <w:pPr>
        <w:pageBreakBefore/>
        <w:spacing w:after="160"/>
      </w:pPr>
      <w:r>
        <w:rPr>
          <w:rFonts w:ascii="Verdana" w:cs="Verdana" w:eastAsia="Verdana" w:hAnsi="Verdana"/>
          <w:b/>
          <w:bCs/>
          <w:color w:val="92400E"/>
          <w:sz w:val="34"/>
          <w:szCs w:val="34"/>
        </w:rPr>
        <w:t xml:space="preserve">Contents</w:t>
      </w:r>
    </w:p>
    <w:p>
      <w:r>
        <w:fldChar w:fldCharType="begin"/>
      </w:r>
      <w:r>
        <w:instrText xml:space="preserve"> TOC \t "TocPart,1,Heading 1,2" \h \z \u </w:instrText>
      </w:r>
      <w:r>
        <w:fldChar w:fldCharType="separate"/>
      </w:r>
    </w:p>
    <w:p>
      <w:pPr>
        <w:tabs>
          <w:tab w:val="right" w:pos="9638"/>
        </w:tabs>
        <w:spacing w:after="80"/>
      </w:pPr>
      <w:r>
        <w:rPr>
          <w:rFonts w:ascii="Verdana" w:cs="Verdana" w:eastAsia="Verdana" w:hAnsi="Verdana"/>
          <w:b/>
          <w:bCs/>
          <w:color w:val="595959"/>
          <w:sz w:val="18"/>
          <w:szCs w:val="18"/>
        </w:rPr>
        <w:t xml:space="preserve">	Page</w:t>
      </w:r>
    </w:p>
    <w:p>
      <w:pPr>
        <w:tabs>
          <w:tab w:val="right" w:pos="9638" w:leader="dot"/>
        </w:tabs>
        <w:spacing w:after="60"/>
        <w:ind w:left="0" w:right="0"/>
      </w:pPr>
      <w:r>
        <w:rPr>
          <w:rFonts w:ascii="Verdana" w:cs="Verdana" w:eastAsia="Verdana" w:hAnsi="Verdana"/>
          <w:b/>
          <w:bCs/>
          <w:color w:val="92400E"/>
          <w:sz w:val="20"/>
          <w:szCs w:val="20"/>
        </w:rPr>
        <w:t xml:space="preserve">PART A: FOUNDATIONS</w:t>
      </w:r>
      <w:r>
        <w:rPr>
          <w:rFonts w:ascii="Verdana" w:cs="Verdana" w:eastAsia="Verdana" w:hAnsi="Verdana"/>
          <w:b/>
          <w:bCs/>
          <w:color w:val="92400E"/>
          <w:sz w:val="20"/>
          <w:szCs w:val="20"/>
        </w:rPr>
        <w:t xml:space="preserve">	10</w:t>
      </w:r>
    </w:p>
    <w:p>
      <w:pPr>
        <w:tabs>
          <w:tab w:val="right" w:pos="9638" w:leader="dot"/>
        </w:tabs>
        <w:spacing w:after="30"/>
        <w:ind w:left="300" w:right="0"/>
      </w:pPr>
      <w:r>
        <w:rPr>
          <w:rFonts w:ascii="Verdana" w:cs="Verdana" w:eastAsia="Verdana" w:hAnsi="Verdana"/>
          <w:sz w:val="20"/>
          <w:szCs w:val="20"/>
        </w:rPr>
        <w:t xml:space="preserve">1. The Big Picture</w:t>
      </w:r>
      <w:r>
        <w:rPr>
          <w:rFonts w:ascii="Verdana" w:cs="Verdana" w:eastAsia="Verdana" w:hAnsi="Verdana"/>
          <w:sz w:val="20"/>
          <w:szCs w:val="20"/>
        </w:rPr>
        <w:t xml:space="preserve">	10</w:t>
      </w:r>
    </w:p>
    <w:p>
      <w:pPr>
        <w:tabs>
          <w:tab w:val="right" w:pos="9638" w:leader="dot"/>
        </w:tabs>
        <w:spacing w:after="30"/>
        <w:ind w:left="300" w:right="0"/>
      </w:pPr>
      <w:r>
        <w:rPr>
          <w:rFonts w:ascii="Verdana" w:cs="Verdana" w:eastAsia="Verdana" w:hAnsi="Verdana"/>
          <w:sz w:val="20"/>
          <w:szCs w:val="20"/>
        </w:rPr>
        <w:t xml:space="preserve">2. Transition: Frequently Asked Questions</w:t>
      </w:r>
      <w:r>
        <w:rPr>
          <w:rFonts w:ascii="Verdana" w:cs="Verdana" w:eastAsia="Verdana" w:hAnsi="Verdana"/>
          <w:sz w:val="20"/>
          <w:szCs w:val="20"/>
        </w:rPr>
        <w:t xml:space="preserve">	16</w:t>
      </w:r>
    </w:p>
    <w:p>
      <w:pPr>
        <w:tabs>
          <w:tab w:val="right" w:pos="9638" w:leader="dot"/>
        </w:tabs>
        <w:spacing w:after="30"/>
        <w:ind w:left="300" w:right="0"/>
      </w:pPr>
      <w:r>
        <w:rPr>
          <w:rFonts w:ascii="Verdana" w:cs="Verdana" w:eastAsia="Verdana" w:hAnsi="Verdana"/>
          <w:sz w:val="20"/>
          <w:szCs w:val="20"/>
        </w:rPr>
        <w:t xml:space="preserve">3. Tax Year (Section 3)</w:t>
      </w:r>
      <w:r>
        <w:rPr>
          <w:rFonts w:ascii="Verdana" w:cs="Verdana" w:eastAsia="Verdana" w:hAnsi="Verdana"/>
          <w:sz w:val="20"/>
          <w:szCs w:val="20"/>
        </w:rPr>
        <w:t xml:space="preserve">	17</w:t>
      </w:r>
    </w:p>
    <w:p>
      <w:pPr>
        <w:tabs>
          <w:tab w:val="right" w:pos="9638" w:leader="dot"/>
        </w:tabs>
        <w:spacing w:after="30"/>
        <w:ind w:left="300" w:right="0"/>
      </w:pPr>
      <w:r>
        <w:rPr>
          <w:rFonts w:ascii="Verdana" w:cs="Verdana" w:eastAsia="Verdana" w:hAnsi="Verdana"/>
          <w:sz w:val="20"/>
          <w:szCs w:val="20"/>
        </w:rPr>
        <w:t xml:space="preserve">4. Residential Status (Section 6)</w:t>
      </w:r>
      <w:r>
        <w:rPr>
          <w:rFonts w:ascii="Verdana" w:cs="Verdana" w:eastAsia="Verdana" w:hAnsi="Verdana"/>
          <w:sz w:val="20"/>
          <w:szCs w:val="20"/>
        </w:rPr>
        <w:t xml:space="preserve">	19</w:t>
      </w:r>
    </w:p>
    <w:p>
      <w:pPr>
        <w:tabs>
          <w:tab w:val="right" w:pos="9638" w:leader="dot"/>
        </w:tabs>
        <w:spacing w:after="30"/>
        <w:ind w:left="300" w:right="0"/>
      </w:pPr>
      <w:r>
        <w:rPr>
          <w:rFonts w:ascii="Verdana" w:cs="Verdana" w:eastAsia="Verdana" w:hAnsi="Verdana"/>
          <w:sz w:val="20"/>
          <w:szCs w:val="20"/>
        </w:rPr>
        <w:t xml:space="preserve">5. Scope of Total Income and Deemed Accrual (Sections 5, 7 and 9)</w:t>
      </w:r>
      <w:r>
        <w:rPr>
          <w:rFonts w:ascii="Verdana" w:cs="Verdana" w:eastAsia="Verdana" w:hAnsi="Verdana"/>
          <w:sz w:val="20"/>
          <w:szCs w:val="20"/>
        </w:rPr>
        <w:t xml:space="preserve">	23</w:t>
      </w:r>
    </w:p>
    <w:p>
      <w:pPr>
        <w:tabs>
          <w:tab w:val="right" w:pos="9638" w:leader="dot"/>
        </w:tabs>
        <w:spacing w:after="30"/>
        <w:ind w:left="300" w:right="0"/>
      </w:pPr>
      <w:r>
        <w:rPr>
          <w:rFonts w:ascii="Verdana" w:cs="Verdana" w:eastAsia="Verdana" w:hAnsi="Verdana"/>
          <w:sz w:val="20"/>
          <w:szCs w:val="20"/>
        </w:rPr>
        <w:t xml:space="preserve">6. Heads of Income and Exempt Income</w:t>
      </w:r>
      <w:r>
        <w:rPr>
          <w:rFonts w:ascii="Verdana" w:cs="Verdana" w:eastAsia="Verdana" w:hAnsi="Verdana"/>
          <w:sz w:val="20"/>
          <w:szCs w:val="20"/>
        </w:rPr>
        <w:t xml:space="preserve">	25</w:t>
      </w:r>
    </w:p>
    <w:p>
      <w:pPr>
        <w:tabs>
          <w:tab w:val="right" w:pos="9638" w:leader="dot"/>
        </w:tabs>
        <w:spacing w:after="60"/>
        <w:ind w:left="0" w:right="0"/>
      </w:pPr>
      <w:r>
        <w:rPr>
          <w:rFonts w:ascii="Verdana" w:cs="Verdana" w:eastAsia="Verdana" w:hAnsi="Verdana"/>
          <w:b/>
          <w:bCs/>
          <w:color w:val="92400E"/>
          <w:sz w:val="20"/>
          <w:szCs w:val="20"/>
        </w:rPr>
        <w:t xml:space="preserve">PART B: HEADS OF INCOME</w:t>
      </w:r>
      <w:r>
        <w:rPr>
          <w:rFonts w:ascii="Verdana" w:cs="Verdana" w:eastAsia="Verdana" w:hAnsi="Verdana"/>
          <w:b/>
          <w:bCs/>
          <w:color w:val="92400E"/>
          <w:sz w:val="20"/>
          <w:szCs w:val="20"/>
        </w:rPr>
        <w:t xml:space="preserve">	29</w:t>
      </w:r>
    </w:p>
    <w:p>
      <w:pPr>
        <w:tabs>
          <w:tab w:val="right" w:pos="9638" w:leader="dot"/>
        </w:tabs>
        <w:spacing w:after="30"/>
        <w:ind w:left="300" w:right="0"/>
      </w:pPr>
      <w:r>
        <w:rPr>
          <w:rFonts w:ascii="Verdana" w:cs="Verdana" w:eastAsia="Verdana" w:hAnsi="Verdana"/>
          <w:sz w:val="20"/>
          <w:szCs w:val="20"/>
        </w:rPr>
        <w:t xml:space="preserve">7. Salaries (Sections 15 to 19)</w:t>
      </w:r>
      <w:r>
        <w:rPr>
          <w:rFonts w:ascii="Verdana" w:cs="Verdana" w:eastAsia="Verdana" w:hAnsi="Verdana"/>
          <w:sz w:val="20"/>
          <w:szCs w:val="20"/>
        </w:rPr>
        <w:t xml:space="preserve">	29</w:t>
      </w:r>
    </w:p>
    <w:p>
      <w:pPr>
        <w:tabs>
          <w:tab w:val="right" w:pos="9638" w:leader="dot"/>
        </w:tabs>
        <w:spacing w:after="30"/>
        <w:ind w:left="300" w:right="0"/>
      </w:pPr>
      <w:r>
        <w:rPr>
          <w:rFonts w:ascii="Verdana" w:cs="Verdana" w:eastAsia="Verdana" w:hAnsi="Verdana"/>
          <w:sz w:val="20"/>
          <w:szCs w:val="20"/>
        </w:rPr>
        <w:t xml:space="preserve">8. Income from House Property (Sections 20 to 25)</w:t>
      </w:r>
      <w:r>
        <w:rPr>
          <w:rFonts w:ascii="Verdana" w:cs="Verdana" w:eastAsia="Verdana" w:hAnsi="Verdana"/>
          <w:sz w:val="20"/>
          <w:szCs w:val="20"/>
        </w:rPr>
        <w:t xml:space="preserve">	38</w:t>
      </w:r>
    </w:p>
    <w:p>
      <w:pPr>
        <w:tabs>
          <w:tab w:val="right" w:pos="9638" w:leader="dot"/>
        </w:tabs>
        <w:spacing w:after="30"/>
        <w:ind w:left="300" w:right="0"/>
      </w:pPr>
      <w:r>
        <w:rPr>
          <w:rFonts w:ascii="Verdana" w:cs="Verdana" w:eastAsia="Verdana" w:hAnsi="Verdana"/>
          <w:sz w:val="20"/>
          <w:szCs w:val="20"/>
        </w:rPr>
        <w:t xml:space="preserve">9. Profits and Gains of Business or Profession (Sections 26 to 66)</w:t>
      </w:r>
      <w:r>
        <w:rPr>
          <w:rFonts w:ascii="Verdana" w:cs="Verdana" w:eastAsia="Verdana" w:hAnsi="Verdana"/>
          <w:sz w:val="20"/>
          <w:szCs w:val="20"/>
        </w:rPr>
        <w:t xml:space="preserve">	42</w:t>
      </w:r>
    </w:p>
    <w:p>
      <w:pPr>
        <w:tabs>
          <w:tab w:val="right" w:pos="9638" w:leader="dot"/>
        </w:tabs>
        <w:spacing w:after="30"/>
        <w:ind w:left="300" w:right="0"/>
      </w:pPr>
      <w:r>
        <w:rPr>
          <w:rFonts w:ascii="Verdana" w:cs="Verdana" w:eastAsia="Verdana" w:hAnsi="Verdana"/>
          <w:sz w:val="20"/>
          <w:szCs w:val="20"/>
        </w:rPr>
        <w:t xml:space="preserve">10. Capital Gains (Sections 67 to 91, 196 to 198)</w:t>
      </w:r>
      <w:r>
        <w:rPr>
          <w:rFonts w:ascii="Verdana" w:cs="Verdana" w:eastAsia="Verdana" w:hAnsi="Verdana"/>
          <w:sz w:val="20"/>
          <w:szCs w:val="20"/>
        </w:rPr>
        <w:t xml:space="preserve">	57</w:t>
      </w:r>
    </w:p>
    <w:p>
      <w:pPr>
        <w:tabs>
          <w:tab w:val="right" w:pos="9638" w:leader="dot"/>
        </w:tabs>
        <w:spacing w:after="30"/>
        <w:ind w:left="300" w:right="0"/>
      </w:pPr>
      <w:r>
        <w:rPr>
          <w:rFonts w:ascii="Verdana" w:cs="Verdana" w:eastAsia="Verdana" w:hAnsi="Verdana"/>
          <w:sz w:val="20"/>
          <w:szCs w:val="20"/>
        </w:rPr>
        <w:t xml:space="preserve">11. Income from Other Sources (Sections 92 to 95)</w:t>
      </w:r>
      <w:r>
        <w:rPr>
          <w:rFonts w:ascii="Verdana" w:cs="Verdana" w:eastAsia="Verdana" w:hAnsi="Verdana"/>
          <w:sz w:val="20"/>
          <w:szCs w:val="20"/>
        </w:rPr>
        <w:t xml:space="preserve">	66</w:t>
      </w:r>
    </w:p>
    <w:p>
      <w:pPr>
        <w:tabs>
          <w:tab w:val="right" w:pos="9638" w:leader="dot"/>
        </w:tabs>
        <w:spacing w:after="30"/>
        <w:ind w:left="300" w:right="0"/>
      </w:pPr>
      <w:r>
        <w:rPr>
          <w:rFonts w:ascii="Verdana" w:cs="Verdana" w:eastAsia="Verdana" w:hAnsi="Verdana"/>
          <w:sz w:val="20"/>
          <w:szCs w:val="20"/>
        </w:rPr>
        <w:t xml:space="preserve">12. Taxation of Investment Products</w:t>
      </w:r>
      <w:r>
        <w:rPr>
          <w:rFonts w:ascii="Verdana" w:cs="Verdana" w:eastAsia="Verdana" w:hAnsi="Verdana"/>
          <w:sz w:val="20"/>
          <w:szCs w:val="20"/>
        </w:rPr>
        <w:t xml:space="preserve">	70</w:t>
      </w:r>
    </w:p>
    <w:p>
      <w:pPr>
        <w:tabs>
          <w:tab w:val="right" w:pos="9638" w:leader="dot"/>
        </w:tabs>
        <w:spacing w:after="30"/>
        <w:ind w:left="300" w:right="0"/>
      </w:pPr>
      <w:r>
        <w:rPr>
          <w:rFonts w:ascii="Verdana" w:cs="Verdana" w:eastAsia="Verdana" w:hAnsi="Verdana"/>
          <w:sz w:val="20"/>
          <w:szCs w:val="20"/>
        </w:rPr>
        <w:t xml:space="preserve">13. Property Transactions: A Practical Guide</w:t>
      </w:r>
      <w:r>
        <w:rPr>
          <w:rFonts w:ascii="Verdana" w:cs="Verdana" w:eastAsia="Verdana" w:hAnsi="Verdana"/>
          <w:sz w:val="20"/>
          <w:szCs w:val="20"/>
        </w:rPr>
        <w:t xml:space="preserve">	72</w:t>
      </w:r>
    </w:p>
    <w:p>
      <w:pPr>
        <w:tabs>
          <w:tab w:val="right" w:pos="9638" w:leader="dot"/>
        </w:tabs>
        <w:spacing w:after="60"/>
        <w:ind w:left="0" w:right="0"/>
      </w:pPr>
      <w:r>
        <w:rPr>
          <w:rFonts w:ascii="Verdana" w:cs="Verdana" w:eastAsia="Verdana" w:hAnsi="Verdana"/>
          <w:b/>
          <w:bCs/>
          <w:color w:val="92400E"/>
          <w:sz w:val="20"/>
          <w:szCs w:val="20"/>
        </w:rPr>
        <w:t xml:space="preserve">PART C: TOTAL INCOME, TAX LIABILITY AND SPECIAL ENTITIES</w:t>
      </w:r>
      <w:r>
        <w:rPr>
          <w:rFonts w:ascii="Verdana" w:cs="Verdana" w:eastAsia="Verdana" w:hAnsi="Verdana"/>
          <w:b/>
          <w:bCs/>
          <w:color w:val="92400E"/>
          <w:sz w:val="20"/>
          <w:szCs w:val="20"/>
        </w:rPr>
        <w:t xml:space="preserve">	74</w:t>
      </w:r>
    </w:p>
    <w:p>
      <w:pPr>
        <w:tabs>
          <w:tab w:val="right" w:pos="9638" w:leader="dot"/>
        </w:tabs>
        <w:spacing w:after="30"/>
        <w:ind w:left="300" w:right="0"/>
      </w:pPr>
      <w:r>
        <w:rPr>
          <w:rFonts w:ascii="Verdana" w:cs="Verdana" w:eastAsia="Verdana" w:hAnsi="Verdana"/>
          <w:sz w:val="20"/>
          <w:szCs w:val="20"/>
        </w:rPr>
        <w:t xml:space="preserve">14. Clubbing and Unexplained Income (Sections 96 to 106)</w:t>
      </w:r>
      <w:r>
        <w:rPr>
          <w:rFonts w:ascii="Verdana" w:cs="Verdana" w:eastAsia="Verdana" w:hAnsi="Verdana"/>
          <w:sz w:val="20"/>
          <w:szCs w:val="20"/>
        </w:rPr>
        <w:t xml:space="preserve">	74</w:t>
      </w:r>
    </w:p>
    <w:p>
      <w:pPr>
        <w:tabs>
          <w:tab w:val="right" w:pos="9638" w:leader="dot"/>
        </w:tabs>
        <w:spacing w:after="30"/>
        <w:ind w:left="300" w:right="0"/>
      </w:pPr>
      <w:r>
        <w:rPr>
          <w:rFonts w:ascii="Verdana" w:cs="Verdana" w:eastAsia="Verdana" w:hAnsi="Verdana"/>
          <w:sz w:val="20"/>
          <w:szCs w:val="20"/>
        </w:rPr>
        <w:t xml:space="preserve">15. Set Off and Carry Forward of Losses (Sections 108 to 121)</w:t>
      </w:r>
      <w:r>
        <w:rPr>
          <w:rFonts w:ascii="Verdana" w:cs="Verdana" w:eastAsia="Verdana" w:hAnsi="Verdana"/>
          <w:sz w:val="20"/>
          <w:szCs w:val="20"/>
        </w:rPr>
        <w:t xml:space="preserve">	77</w:t>
      </w:r>
    </w:p>
    <w:p>
      <w:pPr>
        <w:tabs>
          <w:tab w:val="right" w:pos="9638" w:leader="dot"/>
        </w:tabs>
        <w:spacing w:after="30"/>
        <w:ind w:left="300" w:right="0"/>
      </w:pPr>
      <w:r>
        <w:rPr>
          <w:rFonts w:ascii="Verdana" w:cs="Verdana" w:eastAsia="Verdana" w:hAnsi="Verdana"/>
          <w:sz w:val="20"/>
          <w:szCs w:val="20"/>
        </w:rPr>
        <w:t xml:space="preserve">16. Deductions (Sections 122 to 154)</w:t>
      </w:r>
      <w:r>
        <w:rPr>
          <w:rFonts w:ascii="Verdana" w:cs="Verdana" w:eastAsia="Verdana" w:hAnsi="Verdana"/>
          <w:sz w:val="20"/>
          <w:szCs w:val="20"/>
        </w:rPr>
        <w:t xml:space="preserve">	79</w:t>
      </w:r>
    </w:p>
    <w:p>
      <w:pPr>
        <w:tabs>
          <w:tab w:val="right" w:pos="9638" w:leader="dot"/>
        </w:tabs>
        <w:spacing w:after="30"/>
        <w:ind w:left="300" w:right="0"/>
      </w:pPr>
      <w:r>
        <w:rPr>
          <w:rFonts w:ascii="Verdana" w:cs="Verdana" w:eastAsia="Verdana" w:hAnsi="Verdana"/>
          <w:sz w:val="20"/>
          <w:szCs w:val="20"/>
        </w:rPr>
        <w:t xml:space="preserve">17. Tax Rates, Regimes and Rebate for Individuals</w:t>
      </w:r>
      <w:r>
        <w:rPr>
          <w:rFonts w:ascii="Verdana" w:cs="Verdana" w:eastAsia="Verdana" w:hAnsi="Verdana"/>
          <w:sz w:val="20"/>
          <w:szCs w:val="20"/>
        </w:rPr>
        <w:t xml:space="preserve">	84</w:t>
      </w:r>
    </w:p>
    <w:p>
      <w:pPr>
        <w:tabs>
          <w:tab w:val="right" w:pos="9638" w:leader="dot"/>
        </w:tabs>
        <w:spacing w:after="30"/>
        <w:ind w:left="300" w:right="0"/>
      </w:pPr>
      <w:r>
        <w:rPr>
          <w:rFonts w:ascii="Verdana" w:cs="Verdana" w:eastAsia="Verdana" w:hAnsi="Verdana"/>
          <w:sz w:val="20"/>
          <w:szCs w:val="20"/>
        </w:rPr>
        <w:t xml:space="preserve">18. Tax Planning for Individuals and Families</w:t>
      </w:r>
      <w:r>
        <w:rPr>
          <w:rFonts w:ascii="Verdana" w:cs="Verdana" w:eastAsia="Verdana" w:hAnsi="Verdana"/>
          <w:sz w:val="20"/>
          <w:szCs w:val="20"/>
        </w:rPr>
        <w:t xml:space="preserve">	87</w:t>
      </w:r>
    </w:p>
    <w:p>
      <w:pPr>
        <w:tabs>
          <w:tab w:val="right" w:pos="9638" w:leader="dot"/>
        </w:tabs>
        <w:spacing w:after="30"/>
        <w:ind w:left="300" w:right="0"/>
      </w:pPr>
      <w:r>
        <w:rPr>
          <w:rFonts w:ascii="Verdana" w:cs="Verdana" w:eastAsia="Verdana" w:hAnsi="Verdana"/>
          <w:sz w:val="20"/>
          <w:szCs w:val="20"/>
        </w:rPr>
        <w:t xml:space="preserve">19. Taxation of Senior Citizens</w:t>
      </w:r>
      <w:r>
        <w:rPr>
          <w:rFonts w:ascii="Verdana" w:cs="Verdana" w:eastAsia="Verdana" w:hAnsi="Verdana"/>
          <w:sz w:val="20"/>
          <w:szCs w:val="20"/>
        </w:rPr>
        <w:t xml:space="preserve">	89</w:t>
      </w:r>
    </w:p>
    <w:p>
      <w:pPr>
        <w:tabs>
          <w:tab w:val="right" w:pos="9638" w:leader="dot"/>
        </w:tabs>
        <w:spacing w:after="30"/>
        <w:ind w:left="300" w:right="0"/>
      </w:pPr>
      <w:r>
        <w:rPr>
          <w:rFonts w:ascii="Verdana" w:cs="Verdana" w:eastAsia="Verdana" w:hAnsi="Verdana"/>
          <w:sz w:val="20"/>
          <w:szCs w:val="20"/>
        </w:rPr>
        <w:t xml:space="preserve">20. Retirement and Succession Planning</w:t>
      </w:r>
      <w:r>
        <w:rPr>
          <w:rFonts w:ascii="Verdana" w:cs="Verdana" w:eastAsia="Verdana" w:hAnsi="Verdana"/>
          <w:sz w:val="20"/>
          <w:szCs w:val="20"/>
        </w:rPr>
        <w:t xml:space="preserve">	91</w:t>
      </w:r>
    </w:p>
    <w:p>
      <w:pPr>
        <w:tabs>
          <w:tab w:val="right" w:pos="9638" w:leader="dot"/>
        </w:tabs>
        <w:spacing w:after="30"/>
        <w:ind w:left="300" w:right="0"/>
      </w:pPr>
      <w:r>
        <w:rPr>
          <w:rFonts w:ascii="Verdana" w:cs="Verdana" w:eastAsia="Verdana" w:hAnsi="Verdana"/>
          <w:sz w:val="20"/>
          <w:szCs w:val="20"/>
        </w:rPr>
        <w:t xml:space="preserve">21. Taxation of Hindu Undivided Families</w:t>
      </w:r>
      <w:r>
        <w:rPr>
          <w:rFonts w:ascii="Verdana" w:cs="Verdana" w:eastAsia="Verdana" w:hAnsi="Verdana"/>
          <w:sz w:val="20"/>
          <w:szCs w:val="20"/>
        </w:rPr>
        <w:t xml:space="preserve">	93</w:t>
      </w:r>
    </w:p>
    <w:p>
      <w:pPr>
        <w:tabs>
          <w:tab w:val="right" w:pos="9638" w:leader="dot"/>
        </w:tabs>
        <w:spacing w:after="30"/>
        <w:ind w:left="300" w:right="0"/>
      </w:pPr>
      <w:r>
        <w:rPr>
          <w:rFonts w:ascii="Verdana" w:cs="Verdana" w:eastAsia="Verdana" w:hAnsi="Verdana"/>
          <w:sz w:val="20"/>
          <w:szCs w:val="20"/>
        </w:rPr>
        <w:t xml:space="preserve">22. Firms, LLPs, AOPs and BOIs</w:t>
      </w:r>
      <w:r>
        <w:rPr>
          <w:rFonts w:ascii="Verdana" w:cs="Verdana" w:eastAsia="Verdana" w:hAnsi="Verdana"/>
          <w:sz w:val="20"/>
          <w:szCs w:val="20"/>
        </w:rPr>
        <w:t xml:space="preserve">	95</w:t>
      </w:r>
    </w:p>
    <w:p>
      <w:pPr>
        <w:tabs>
          <w:tab w:val="right" w:pos="9638" w:leader="dot"/>
        </w:tabs>
        <w:spacing w:after="30"/>
        <w:ind w:left="300" w:right="0"/>
      </w:pPr>
      <w:r>
        <w:rPr>
          <w:rFonts w:ascii="Verdana" w:cs="Verdana" w:eastAsia="Verdana" w:hAnsi="Verdana"/>
          <w:sz w:val="20"/>
          <w:szCs w:val="20"/>
        </w:rPr>
        <w:t xml:space="preserve">23. Non-Profit Organisations (Sections 332 to 355)</w:t>
      </w:r>
      <w:r>
        <w:rPr>
          <w:rFonts w:ascii="Verdana" w:cs="Verdana" w:eastAsia="Verdana" w:hAnsi="Verdana"/>
          <w:sz w:val="20"/>
          <w:szCs w:val="20"/>
        </w:rPr>
        <w:t xml:space="preserve">	97</w:t>
      </w:r>
    </w:p>
    <w:p>
      <w:pPr>
        <w:tabs>
          <w:tab w:val="right" w:pos="9638" w:leader="dot"/>
        </w:tabs>
        <w:spacing w:after="30"/>
        <w:ind w:left="300" w:right="0"/>
      </w:pPr>
      <w:r>
        <w:rPr>
          <w:rFonts w:ascii="Verdana" w:cs="Verdana" w:eastAsia="Verdana" w:hAnsi="Verdana"/>
          <w:sz w:val="20"/>
          <w:szCs w:val="20"/>
        </w:rPr>
        <w:t xml:space="preserve">24. Co-operative Societies</w:t>
      </w:r>
      <w:r>
        <w:rPr>
          <w:rFonts w:ascii="Verdana" w:cs="Verdana" w:eastAsia="Verdana" w:hAnsi="Verdana"/>
          <w:sz w:val="20"/>
          <w:szCs w:val="20"/>
        </w:rPr>
        <w:t xml:space="preserve">	99</w:t>
      </w:r>
    </w:p>
    <w:p>
      <w:pPr>
        <w:tabs>
          <w:tab w:val="right" w:pos="9638" w:leader="dot"/>
        </w:tabs>
        <w:spacing w:after="60"/>
        <w:ind w:left="0" w:right="0"/>
      </w:pPr>
      <w:r>
        <w:rPr>
          <w:rFonts w:ascii="Verdana" w:cs="Verdana" w:eastAsia="Verdana" w:hAnsi="Verdana"/>
          <w:b/>
          <w:bCs/>
          <w:color w:val="92400E"/>
          <w:sz w:val="20"/>
          <w:szCs w:val="20"/>
        </w:rPr>
        <w:t xml:space="preserve">PART D: CORPORATE TAX MATTERS</w:t>
      </w:r>
      <w:r>
        <w:rPr>
          <w:rFonts w:ascii="Verdana" w:cs="Verdana" w:eastAsia="Verdana" w:hAnsi="Verdana"/>
          <w:b/>
          <w:bCs/>
          <w:color w:val="92400E"/>
          <w:sz w:val="20"/>
          <w:szCs w:val="20"/>
        </w:rPr>
        <w:t xml:space="preserve">	101</w:t>
      </w:r>
    </w:p>
    <w:p>
      <w:pPr>
        <w:tabs>
          <w:tab w:val="right" w:pos="9638" w:leader="dot"/>
        </w:tabs>
        <w:spacing w:after="30"/>
        <w:ind w:left="300" w:right="0"/>
      </w:pPr>
      <w:r>
        <w:rPr>
          <w:rFonts w:ascii="Verdana" w:cs="Verdana" w:eastAsia="Verdana" w:hAnsi="Verdana"/>
          <w:sz w:val="20"/>
          <w:szCs w:val="20"/>
        </w:rPr>
        <w:t xml:space="preserve">25. Taxation of Companies: Rates, Regimes and MAT</w:t>
      </w:r>
      <w:r>
        <w:rPr>
          <w:rFonts w:ascii="Verdana" w:cs="Verdana" w:eastAsia="Verdana" w:hAnsi="Verdana"/>
          <w:sz w:val="20"/>
          <w:szCs w:val="20"/>
        </w:rPr>
        <w:t xml:space="preserve">	101</w:t>
      </w:r>
    </w:p>
    <w:p>
      <w:pPr>
        <w:tabs>
          <w:tab w:val="right" w:pos="9638" w:leader="dot"/>
        </w:tabs>
        <w:spacing w:after="30"/>
        <w:ind w:left="300" w:right="0"/>
      </w:pPr>
      <w:r>
        <w:rPr>
          <w:rFonts w:ascii="Verdana" w:cs="Verdana" w:eastAsia="Verdana" w:hAnsi="Verdana"/>
          <w:sz w:val="20"/>
          <w:szCs w:val="20"/>
        </w:rPr>
        <w:t xml:space="preserve">26. Other Corporate Tax Matters</w:t>
      </w:r>
      <w:r>
        <w:rPr>
          <w:rFonts w:ascii="Verdana" w:cs="Verdana" w:eastAsia="Verdana" w:hAnsi="Verdana"/>
          <w:sz w:val="20"/>
          <w:szCs w:val="20"/>
        </w:rPr>
        <w:t xml:space="preserve">	106</w:t>
      </w:r>
    </w:p>
    <w:p>
      <w:pPr>
        <w:tabs>
          <w:tab w:val="right" w:pos="9638" w:leader="dot"/>
        </w:tabs>
        <w:spacing w:after="30"/>
        <w:ind w:left="300" w:right="0"/>
      </w:pPr>
      <w:r>
        <w:rPr>
          <w:rFonts w:ascii="Verdana" w:cs="Verdana" w:eastAsia="Verdana" w:hAnsi="Verdana"/>
          <w:sz w:val="20"/>
          <w:szCs w:val="20"/>
        </w:rPr>
        <w:t xml:space="preserve">27. Sector Specific Tax Issues</w:t>
      </w:r>
      <w:r>
        <w:rPr>
          <w:rFonts w:ascii="Verdana" w:cs="Verdana" w:eastAsia="Verdana" w:hAnsi="Verdana"/>
          <w:sz w:val="20"/>
          <w:szCs w:val="20"/>
        </w:rPr>
        <w:t xml:space="preserve">	111</w:t>
      </w:r>
    </w:p>
    <w:p>
      <w:pPr>
        <w:tabs>
          <w:tab w:val="right" w:pos="9638" w:leader="dot"/>
        </w:tabs>
        <w:spacing w:after="30"/>
        <w:ind w:left="300" w:right="0"/>
      </w:pPr>
      <w:r>
        <w:rPr>
          <w:rFonts w:ascii="Verdana" w:cs="Verdana" w:eastAsia="Verdana" w:hAnsi="Verdana"/>
          <w:sz w:val="20"/>
          <w:szCs w:val="20"/>
        </w:rPr>
        <w:t xml:space="preserve">28. Income Tax and GST</w:t>
      </w:r>
      <w:r>
        <w:rPr>
          <w:rFonts w:ascii="Verdana" w:cs="Verdana" w:eastAsia="Verdana" w:hAnsi="Verdana"/>
          <w:sz w:val="20"/>
          <w:szCs w:val="20"/>
        </w:rPr>
        <w:t xml:space="preserve">	113</w:t>
      </w:r>
    </w:p>
    <w:p>
      <w:pPr>
        <w:tabs>
          <w:tab w:val="right" w:pos="9638" w:leader="dot"/>
        </w:tabs>
        <w:spacing w:after="30"/>
        <w:ind w:left="300" w:right="0"/>
      </w:pPr>
      <w:r>
        <w:rPr>
          <w:rFonts w:ascii="Verdana" w:cs="Verdana" w:eastAsia="Verdana" w:hAnsi="Verdana"/>
          <w:sz w:val="20"/>
          <w:szCs w:val="20"/>
        </w:rPr>
        <w:t xml:space="preserve">29. Income Tax and Ind AS</w:t>
      </w:r>
      <w:r>
        <w:rPr>
          <w:rFonts w:ascii="Verdana" w:cs="Verdana" w:eastAsia="Verdana" w:hAnsi="Verdana"/>
          <w:sz w:val="20"/>
          <w:szCs w:val="20"/>
        </w:rPr>
        <w:t xml:space="preserve">	114</w:t>
      </w:r>
    </w:p>
    <w:p>
      <w:pPr>
        <w:tabs>
          <w:tab w:val="right" w:pos="9638" w:leader="dot"/>
        </w:tabs>
        <w:spacing w:after="60"/>
        <w:ind w:left="0" w:right="0"/>
      </w:pPr>
      <w:r>
        <w:rPr>
          <w:rFonts w:ascii="Verdana" w:cs="Verdana" w:eastAsia="Verdana" w:hAnsi="Verdana"/>
          <w:b/>
          <w:bCs/>
          <w:color w:val="92400E"/>
          <w:sz w:val="20"/>
          <w:szCs w:val="20"/>
        </w:rPr>
        <w:t xml:space="preserve">PART E: MERGERS, ACQUISITIONS AND BUSINESS REORGANISATION</w:t>
      </w:r>
      <w:r>
        <w:rPr>
          <w:rFonts w:ascii="Verdana" w:cs="Verdana" w:eastAsia="Verdana" w:hAnsi="Verdana"/>
          <w:b/>
          <w:bCs/>
          <w:color w:val="92400E"/>
          <w:sz w:val="20"/>
          <w:szCs w:val="20"/>
        </w:rPr>
        <w:t xml:space="preserve">	116</w:t>
      </w:r>
    </w:p>
    <w:p>
      <w:pPr>
        <w:tabs>
          <w:tab w:val="right" w:pos="9638" w:leader="dot"/>
        </w:tabs>
        <w:spacing w:after="30"/>
        <w:ind w:left="300" w:right="0"/>
      </w:pPr>
      <w:r>
        <w:rPr>
          <w:rFonts w:ascii="Verdana" w:cs="Verdana" w:eastAsia="Verdana" w:hAnsi="Verdana"/>
          <w:sz w:val="20"/>
          <w:szCs w:val="20"/>
        </w:rPr>
        <w:t xml:space="preserve">30. Mergers and Acquisitions</w:t>
      </w:r>
      <w:r>
        <w:rPr>
          <w:rFonts w:ascii="Verdana" w:cs="Verdana" w:eastAsia="Verdana" w:hAnsi="Verdana"/>
          <w:sz w:val="20"/>
          <w:szCs w:val="20"/>
        </w:rPr>
        <w:t xml:space="preserve">	116</w:t>
      </w:r>
    </w:p>
    <w:p>
      <w:pPr>
        <w:tabs>
          <w:tab w:val="right" w:pos="9638" w:leader="dot"/>
        </w:tabs>
        <w:spacing w:after="60"/>
        <w:ind w:left="0" w:right="0"/>
      </w:pPr>
      <w:r>
        <w:rPr>
          <w:rFonts w:ascii="Verdana" w:cs="Verdana" w:eastAsia="Verdana" w:hAnsi="Verdana"/>
          <w:b/>
          <w:bCs/>
          <w:color w:val="92400E"/>
          <w:sz w:val="20"/>
          <w:szCs w:val="20"/>
        </w:rPr>
        <w:t xml:space="preserve">PART F: INTERNATIONAL TAXATION</w:t>
      </w:r>
      <w:r>
        <w:rPr>
          <w:rFonts w:ascii="Verdana" w:cs="Verdana" w:eastAsia="Verdana" w:hAnsi="Verdana"/>
          <w:b/>
          <w:bCs/>
          <w:color w:val="92400E"/>
          <w:sz w:val="20"/>
          <w:szCs w:val="20"/>
        </w:rPr>
        <w:t xml:space="preserve">	125</w:t>
      </w:r>
    </w:p>
    <w:p>
      <w:pPr>
        <w:tabs>
          <w:tab w:val="right" w:pos="9638" w:leader="dot"/>
        </w:tabs>
        <w:spacing w:after="30"/>
        <w:ind w:left="300" w:right="0"/>
      </w:pPr>
      <w:r>
        <w:rPr>
          <w:rFonts w:ascii="Verdana" w:cs="Verdana" w:eastAsia="Verdana" w:hAnsi="Verdana"/>
          <w:sz w:val="20"/>
          <w:szCs w:val="20"/>
        </w:rPr>
        <w:t xml:space="preserve">31. Taxation of Non-Residents and Tax Treaties</w:t>
      </w:r>
      <w:r>
        <w:rPr>
          <w:rFonts w:ascii="Verdana" w:cs="Verdana" w:eastAsia="Verdana" w:hAnsi="Verdana"/>
          <w:sz w:val="20"/>
          <w:szCs w:val="20"/>
        </w:rPr>
        <w:t xml:space="preserve">	125</w:t>
      </w:r>
    </w:p>
    <w:p>
      <w:pPr>
        <w:tabs>
          <w:tab w:val="right" w:pos="9638" w:leader="dot"/>
        </w:tabs>
        <w:spacing w:after="30"/>
        <w:ind w:left="300" w:right="0"/>
      </w:pPr>
      <w:r>
        <w:rPr>
          <w:rFonts w:ascii="Verdana" w:cs="Verdana" w:eastAsia="Verdana" w:hAnsi="Verdana"/>
          <w:sz w:val="20"/>
          <w:szCs w:val="20"/>
        </w:rPr>
        <w:t xml:space="preserve">32. Non-Resident Individuals and NRIs</w:t>
      </w:r>
      <w:r>
        <w:rPr>
          <w:rFonts w:ascii="Verdana" w:cs="Verdana" w:eastAsia="Verdana" w:hAnsi="Verdana"/>
          <w:sz w:val="20"/>
          <w:szCs w:val="20"/>
        </w:rPr>
        <w:t xml:space="preserve">	133</w:t>
      </w:r>
    </w:p>
    <w:p>
      <w:pPr>
        <w:tabs>
          <w:tab w:val="right" w:pos="9638" w:leader="dot"/>
        </w:tabs>
        <w:spacing w:after="30"/>
        <w:ind w:left="300" w:right="0"/>
      </w:pPr>
      <w:r>
        <w:rPr>
          <w:rFonts w:ascii="Verdana" w:cs="Verdana" w:eastAsia="Verdana" w:hAnsi="Verdana"/>
          <w:sz w:val="20"/>
          <w:szCs w:val="20"/>
        </w:rPr>
        <w:t xml:space="preserve">33. Transfer Pricing (Sections 161 to 173)</w:t>
      </w:r>
      <w:r>
        <w:rPr>
          <w:rFonts w:ascii="Verdana" w:cs="Verdana" w:eastAsia="Verdana" w:hAnsi="Verdana"/>
          <w:sz w:val="20"/>
          <w:szCs w:val="20"/>
        </w:rPr>
        <w:t xml:space="preserve">	135</w:t>
      </w:r>
    </w:p>
    <w:p>
      <w:pPr>
        <w:tabs>
          <w:tab w:val="right" w:pos="9638" w:leader="dot"/>
        </w:tabs>
        <w:spacing w:after="30"/>
        <w:ind w:left="300" w:right="0"/>
      </w:pPr>
      <w:r>
        <w:rPr>
          <w:rFonts w:ascii="Verdana" w:cs="Verdana" w:eastAsia="Verdana" w:hAnsi="Verdana"/>
          <w:sz w:val="20"/>
          <w:szCs w:val="20"/>
        </w:rPr>
        <w:t xml:space="preserve">34. Anti-Avoidance Rules</w:t>
      </w:r>
      <w:r>
        <w:rPr>
          <w:rFonts w:ascii="Verdana" w:cs="Verdana" w:eastAsia="Verdana" w:hAnsi="Verdana"/>
          <w:sz w:val="20"/>
          <w:szCs w:val="20"/>
        </w:rPr>
        <w:t xml:space="preserve">	142</w:t>
      </w:r>
    </w:p>
    <w:p>
      <w:pPr>
        <w:tabs>
          <w:tab w:val="right" w:pos="9638" w:leader="dot"/>
        </w:tabs>
        <w:spacing w:after="60"/>
        <w:ind w:left="0" w:right="0"/>
      </w:pPr>
      <w:r>
        <w:rPr>
          <w:rFonts w:ascii="Verdana" w:cs="Verdana" w:eastAsia="Verdana" w:hAnsi="Verdana"/>
          <w:b/>
          <w:bCs/>
          <w:color w:val="92400E"/>
          <w:sz w:val="20"/>
          <w:szCs w:val="20"/>
        </w:rPr>
        <w:t xml:space="preserve">PART G: COMPLIANCE, ASSESSMENT AND DISPUTES</w:t>
      </w:r>
      <w:r>
        <w:rPr>
          <w:rFonts w:ascii="Verdana" w:cs="Verdana" w:eastAsia="Verdana" w:hAnsi="Verdana"/>
          <w:b/>
          <w:bCs/>
          <w:color w:val="92400E"/>
          <w:sz w:val="20"/>
          <w:szCs w:val="20"/>
        </w:rPr>
        <w:t xml:space="preserve">	145</w:t>
      </w:r>
    </w:p>
    <w:p>
      <w:pPr>
        <w:tabs>
          <w:tab w:val="right" w:pos="9638" w:leader="dot"/>
        </w:tabs>
        <w:spacing w:after="30"/>
        <w:ind w:left="300" w:right="0"/>
      </w:pPr>
      <w:r>
        <w:rPr>
          <w:rFonts w:ascii="Verdana" w:cs="Verdana" w:eastAsia="Verdana" w:hAnsi="Verdana"/>
          <w:sz w:val="20"/>
          <w:szCs w:val="20"/>
        </w:rPr>
        <w:t xml:space="preserve">35. TDS and TCS (Sections 392 to 397)</w:t>
      </w:r>
      <w:r>
        <w:rPr>
          <w:rFonts w:ascii="Verdana" w:cs="Verdana" w:eastAsia="Verdana" w:hAnsi="Verdana"/>
          <w:sz w:val="20"/>
          <w:szCs w:val="20"/>
        </w:rPr>
        <w:t xml:space="preserve">	145</w:t>
      </w:r>
    </w:p>
    <w:p>
      <w:pPr>
        <w:tabs>
          <w:tab w:val="right" w:pos="9638" w:leader="dot"/>
        </w:tabs>
        <w:spacing w:after="30"/>
        <w:ind w:left="300" w:right="0"/>
      </w:pPr>
      <w:r>
        <w:rPr>
          <w:rFonts w:ascii="Verdana" w:cs="Verdana" w:eastAsia="Verdana" w:hAnsi="Verdana"/>
          <w:sz w:val="20"/>
          <w:szCs w:val="20"/>
        </w:rPr>
        <w:t xml:space="preserve">36. TDS on Salary (Section 392)</w:t>
      </w:r>
      <w:r>
        <w:rPr>
          <w:rFonts w:ascii="Verdana" w:cs="Verdana" w:eastAsia="Verdana" w:hAnsi="Verdana"/>
          <w:sz w:val="20"/>
          <w:szCs w:val="20"/>
        </w:rPr>
        <w:t xml:space="preserve">	153</w:t>
      </w:r>
    </w:p>
    <w:p>
      <w:pPr>
        <w:tabs>
          <w:tab w:val="right" w:pos="9638" w:leader="dot"/>
        </w:tabs>
        <w:spacing w:after="30"/>
        <w:ind w:left="300" w:right="0"/>
      </w:pPr>
      <w:r>
        <w:rPr>
          <w:rFonts w:ascii="Verdana" w:cs="Verdana" w:eastAsia="Verdana" w:hAnsi="Verdana"/>
          <w:sz w:val="20"/>
          <w:szCs w:val="20"/>
        </w:rPr>
        <w:t xml:space="preserve">37. Advance Tax, Interest and Fees</w:t>
      </w:r>
      <w:r>
        <w:rPr>
          <w:rFonts w:ascii="Verdana" w:cs="Verdana" w:eastAsia="Verdana" w:hAnsi="Verdana"/>
          <w:sz w:val="20"/>
          <w:szCs w:val="20"/>
        </w:rPr>
        <w:t xml:space="preserve">	155</w:t>
      </w:r>
    </w:p>
    <w:p>
      <w:pPr>
        <w:tabs>
          <w:tab w:val="right" w:pos="9638" w:leader="dot"/>
        </w:tabs>
        <w:spacing w:after="30"/>
        <w:ind w:left="300" w:right="0"/>
      </w:pPr>
      <w:r>
        <w:rPr>
          <w:rFonts w:ascii="Verdana" w:cs="Verdana" w:eastAsia="Verdana" w:hAnsi="Verdana"/>
          <w:sz w:val="20"/>
          <w:szCs w:val="20"/>
        </w:rPr>
        <w:t xml:space="preserve">38. PAN and Return of Income (Sections 262 to 267)</w:t>
      </w:r>
      <w:r>
        <w:rPr>
          <w:rFonts w:ascii="Verdana" w:cs="Verdana" w:eastAsia="Verdana" w:hAnsi="Verdana"/>
          <w:sz w:val="20"/>
          <w:szCs w:val="20"/>
        </w:rPr>
        <w:t xml:space="preserve">	157</w:t>
      </w:r>
    </w:p>
    <w:p>
      <w:pPr>
        <w:tabs>
          <w:tab w:val="right" w:pos="9638" w:leader="dot"/>
        </w:tabs>
        <w:spacing w:after="30"/>
        <w:ind w:left="300" w:right="0"/>
      </w:pPr>
      <w:r>
        <w:rPr>
          <w:rFonts w:ascii="Verdana" w:cs="Verdana" w:eastAsia="Verdana" w:hAnsi="Verdana"/>
          <w:sz w:val="20"/>
          <w:szCs w:val="20"/>
        </w:rPr>
        <w:t xml:space="preserve">39. Tax Audit (Section 63)</w:t>
      </w:r>
      <w:r>
        <w:rPr>
          <w:rFonts w:ascii="Verdana" w:cs="Verdana" w:eastAsia="Verdana" w:hAnsi="Verdana"/>
          <w:sz w:val="20"/>
          <w:szCs w:val="20"/>
        </w:rPr>
        <w:t xml:space="preserve">	160</w:t>
      </w:r>
    </w:p>
    <w:p>
      <w:pPr>
        <w:tabs>
          <w:tab w:val="right" w:pos="9638" w:leader="dot"/>
        </w:tabs>
        <w:spacing w:after="30"/>
        <w:ind w:left="300" w:right="0"/>
      </w:pPr>
      <w:r>
        <w:rPr>
          <w:rFonts w:ascii="Verdana" w:cs="Verdana" w:eastAsia="Verdana" w:hAnsi="Verdana"/>
          <w:sz w:val="20"/>
          <w:szCs w:val="20"/>
        </w:rPr>
        <w:t xml:space="preserve">40. Handling Income Tax Notices</w:t>
      </w:r>
      <w:r>
        <w:rPr>
          <w:rFonts w:ascii="Verdana" w:cs="Verdana" w:eastAsia="Verdana" w:hAnsi="Verdana"/>
          <w:sz w:val="20"/>
          <w:szCs w:val="20"/>
        </w:rPr>
        <w:t xml:space="preserve">	162</w:t>
      </w:r>
    </w:p>
    <w:p>
      <w:pPr>
        <w:tabs>
          <w:tab w:val="right" w:pos="9638" w:leader="dot"/>
        </w:tabs>
        <w:spacing w:after="30"/>
        <w:ind w:left="300" w:right="0"/>
      </w:pPr>
      <w:r>
        <w:rPr>
          <w:rFonts w:ascii="Verdana" w:cs="Verdana" w:eastAsia="Verdana" w:hAnsi="Verdana"/>
          <w:sz w:val="20"/>
          <w:szCs w:val="20"/>
        </w:rPr>
        <w:t xml:space="preserve">41. Digital Compliance and Faceless Procedures</w:t>
      </w:r>
      <w:r>
        <w:rPr>
          <w:rFonts w:ascii="Verdana" w:cs="Verdana" w:eastAsia="Verdana" w:hAnsi="Verdana"/>
          <w:sz w:val="20"/>
          <w:szCs w:val="20"/>
        </w:rPr>
        <w:t xml:space="preserve">	164</w:t>
      </w:r>
    </w:p>
    <w:p>
      <w:pPr>
        <w:tabs>
          <w:tab w:val="right" w:pos="9638" w:leader="dot"/>
        </w:tabs>
        <w:spacing w:after="30"/>
        <w:ind w:left="300" w:right="0"/>
      </w:pPr>
      <w:r>
        <w:rPr>
          <w:rFonts w:ascii="Verdana" w:cs="Verdana" w:eastAsia="Verdana" w:hAnsi="Verdana"/>
          <w:sz w:val="20"/>
          <w:szCs w:val="20"/>
        </w:rPr>
        <w:t xml:space="preserve">42. Assessment and Reassessment</w:t>
      </w:r>
      <w:r>
        <w:rPr>
          <w:rFonts w:ascii="Verdana" w:cs="Verdana" w:eastAsia="Verdana" w:hAnsi="Verdana"/>
          <w:sz w:val="20"/>
          <w:szCs w:val="20"/>
        </w:rPr>
        <w:t xml:space="preserve">	166</w:t>
      </w:r>
    </w:p>
    <w:p>
      <w:pPr>
        <w:tabs>
          <w:tab w:val="right" w:pos="9638" w:leader="dot"/>
        </w:tabs>
        <w:spacing w:after="30"/>
        <w:ind w:left="300" w:right="0"/>
      </w:pPr>
      <w:r>
        <w:rPr>
          <w:rFonts w:ascii="Verdana" w:cs="Verdana" w:eastAsia="Verdana" w:hAnsi="Verdana"/>
          <w:sz w:val="20"/>
          <w:szCs w:val="20"/>
        </w:rPr>
        <w:t xml:space="preserve">43. Search, Survey and Block Assessment</w:t>
      </w:r>
      <w:r>
        <w:rPr>
          <w:rFonts w:ascii="Verdana" w:cs="Verdana" w:eastAsia="Verdana" w:hAnsi="Verdana"/>
          <w:sz w:val="20"/>
          <w:szCs w:val="20"/>
        </w:rPr>
        <w:t xml:space="preserve">	170</w:t>
      </w:r>
    </w:p>
    <w:p>
      <w:pPr>
        <w:tabs>
          <w:tab w:val="right" w:pos="9638" w:leader="dot"/>
        </w:tabs>
        <w:spacing w:after="30"/>
        <w:ind w:left="300" w:right="0"/>
      </w:pPr>
      <w:r>
        <w:rPr>
          <w:rFonts w:ascii="Verdana" w:cs="Verdana" w:eastAsia="Verdana" w:hAnsi="Verdana"/>
          <w:sz w:val="20"/>
          <w:szCs w:val="20"/>
        </w:rPr>
        <w:t xml:space="preserve">44. Appeals and Dispute Resolution</w:t>
      </w:r>
      <w:r>
        <w:rPr>
          <w:rFonts w:ascii="Verdana" w:cs="Verdana" w:eastAsia="Verdana" w:hAnsi="Verdana"/>
          <w:sz w:val="20"/>
          <w:szCs w:val="20"/>
        </w:rPr>
        <w:t xml:space="preserve">	172</w:t>
      </w:r>
    </w:p>
    <w:p>
      <w:pPr>
        <w:tabs>
          <w:tab w:val="right" w:pos="9638" w:leader="dot"/>
        </w:tabs>
        <w:spacing w:after="30"/>
        <w:ind w:left="300" w:right="0"/>
      </w:pPr>
      <w:r>
        <w:rPr>
          <w:rFonts w:ascii="Verdana" w:cs="Verdana" w:eastAsia="Verdana" w:hAnsi="Verdana"/>
          <w:sz w:val="20"/>
          <w:szCs w:val="20"/>
        </w:rPr>
        <w:t xml:space="preserve">45. Collection, Recovery and Refunds</w:t>
      </w:r>
      <w:r>
        <w:rPr>
          <w:rFonts w:ascii="Verdana" w:cs="Verdana" w:eastAsia="Verdana" w:hAnsi="Verdana"/>
          <w:sz w:val="20"/>
          <w:szCs w:val="20"/>
        </w:rPr>
        <w:t xml:space="preserve">	174</w:t>
      </w:r>
    </w:p>
    <w:p>
      <w:pPr>
        <w:tabs>
          <w:tab w:val="right" w:pos="9638" w:leader="dot"/>
        </w:tabs>
        <w:spacing w:after="30"/>
        <w:ind w:left="300" w:right="0"/>
      </w:pPr>
      <w:r>
        <w:rPr>
          <w:rFonts w:ascii="Verdana" w:cs="Verdana" w:eastAsia="Verdana" w:hAnsi="Verdana"/>
          <w:sz w:val="20"/>
          <w:szCs w:val="20"/>
        </w:rPr>
        <w:t xml:space="preserve">46. Penalties</w:t>
      </w:r>
      <w:r>
        <w:rPr>
          <w:rFonts w:ascii="Verdana" w:cs="Verdana" w:eastAsia="Verdana" w:hAnsi="Verdana"/>
          <w:sz w:val="20"/>
          <w:szCs w:val="20"/>
        </w:rPr>
        <w:t xml:space="preserve">	175</w:t>
      </w:r>
    </w:p>
    <w:p>
      <w:pPr>
        <w:tabs>
          <w:tab w:val="right" w:pos="9638" w:leader="dot"/>
        </w:tabs>
        <w:spacing w:after="30"/>
        <w:ind w:left="300" w:right="0"/>
      </w:pPr>
      <w:r>
        <w:rPr>
          <w:rFonts w:ascii="Verdana" w:cs="Verdana" w:eastAsia="Verdana" w:hAnsi="Verdana"/>
          <w:sz w:val="20"/>
          <w:szCs w:val="20"/>
        </w:rPr>
        <w:t xml:space="preserve">47. Forms Under the Income-tax Rules, 2026</w:t>
      </w:r>
      <w:r>
        <w:rPr>
          <w:rFonts w:ascii="Verdana" w:cs="Verdana" w:eastAsia="Verdana" w:hAnsi="Verdana"/>
          <w:sz w:val="20"/>
          <w:szCs w:val="20"/>
        </w:rPr>
        <w:t xml:space="preserve">	178</w:t>
      </w:r>
    </w:p>
    <w:p>
      <w:pPr>
        <w:tabs>
          <w:tab w:val="right" w:pos="9638" w:leader="dot"/>
        </w:tabs>
        <w:spacing w:after="60"/>
        <w:ind w:left="0" w:right="0"/>
      </w:pPr>
      <w:r>
        <w:rPr>
          <w:rFonts w:ascii="Verdana" w:cs="Verdana" w:eastAsia="Verdana" w:hAnsi="Verdana"/>
          <w:b/>
          <w:bCs/>
          <w:color w:val="92400E"/>
          <w:sz w:val="20"/>
          <w:szCs w:val="20"/>
        </w:rPr>
        <w:t xml:space="preserve">PART H: COMPREHENSIVE CASE STUDIES</w:t>
      </w:r>
      <w:r>
        <w:rPr>
          <w:rFonts w:ascii="Verdana" w:cs="Verdana" w:eastAsia="Verdana" w:hAnsi="Verdana"/>
          <w:b/>
          <w:bCs/>
          <w:color w:val="92400E"/>
          <w:sz w:val="20"/>
          <w:szCs w:val="20"/>
        </w:rPr>
        <w:t xml:space="preserve">	179</w:t>
      </w:r>
    </w:p>
    <w:p>
      <w:pPr>
        <w:tabs>
          <w:tab w:val="right" w:pos="9638" w:leader="dot"/>
        </w:tabs>
        <w:spacing w:after="30"/>
        <w:ind w:left="300" w:right="0"/>
      </w:pPr>
      <w:r>
        <w:rPr>
          <w:rFonts w:ascii="Verdana" w:cs="Verdana" w:eastAsia="Verdana" w:hAnsi="Verdana"/>
          <w:sz w:val="20"/>
          <w:szCs w:val="20"/>
        </w:rPr>
        <w:t xml:space="preserve">48. Case Study 1: Salaried Taxpayer with Property and Investments</w:t>
      </w:r>
      <w:r>
        <w:rPr>
          <w:rFonts w:ascii="Verdana" w:cs="Verdana" w:eastAsia="Verdana" w:hAnsi="Verdana"/>
          <w:sz w:val="20"/>
          <w:szCs w:val="20"/>
        </w:rPr>
        <w:t xml:space="preserve">	179</w:t>
      </w:r>
    </w:p>
    <w:p>
      <w:pPr>
        <w:tabs>
          <w:tab w:val="right" w:pos="9638" w:leader="dot"/>
        </w:tabs>
        <w:spacing w:after="30"/>
        <w:ind w:left="300" w:right="0"/>
      </w:pPr>
      <w:r>
        <w:rPr>
          <w:rFonts w:ascii="Verdana" w:cs="Verdana" w:eastAsia="Verdana" w:hAnsi="Verdana"/>
          <w:sz w:val="20"/>
          <w:szCs w:val="20"/>
        </w:rPr>
        <w:t xml:space="preserve">49. Case Study 2: Professional with Books of Account</w:t>
      </w:r>
      <w:r>
        <w:rPr>
          <w:rFonts w:ascii="Verdana" w:cs="Verdana" w:eastAsia="Verdana" w:hAnsi="Verdana"/>
          <w:sz w:val="20"/>
          <w:szCs w:val="20"/>
        </w:rPr>
        <w:t xml:space="preserve">	181</w:t>
      </w:r>
    </w:p>
    <w:p>
      <w:pPr>
        <w:tabs>
          <w:tab w:val="right" w:pos="9638" w:leader="dot"/>
        </w:tabs>
        <w:spacing w:after="30"/>
        <w:ind w:left="300" w:right="0"/>
      </w:pPr>
      <w:r>
        <w:rPr>
          <w:rFonts w:ascii="Verdana" w:cs="Verdana" w:eastAsia="Verdana" w:hAnsi="Verdana"/>
          <w:sz w:val="20"/>
          <w:szCs w:val="20"/>
        </w:rPr>
        <w:t xml:space="preserve">50. Case Study 3: Partnership Firm and its Partners</w:t>
      </w:r>
      <w:r>
        <w:rPr>
          <w:rFonts w:ascii="Verdana" w:cs="Verdana" w:eastAsia="Verdana" w:hAnsi="Verdana"/>
          <w:sz w:val="20"/>
          <w:szCs w:val="20"/>
        </w:rPr>
        <w:t xml:space="preserve">	183</w:t>
      </w:r>
    </w:p>
    <w:p>
      <w:pPr>
        <w:tabs>
          <w:tab w:val="right" w:pos="9638" w:leader="dot"/>
        </w:tabs>
        <w:spacing w:after="30"/>
        <w:ind w:left="300" w:right="0"/>
      </w:pPr>
      <w:r>
        <w:rPr>
          <w:rFonts w:ascii="Verdana" w:cs="Verdana" w:eastAsia="Verdana" w:hAnsi="Verdana"/>
          <w:sz w:val="20"/>
          <w:szCs w:val="20"/>
        </w:rPr>
        <w:t xml:space="preserve">51. Case Study 4: Senior Citizen Selling a House</w:t>
      </w:r>
      <w:r>
        <w:rPr>
          <w:rFonts w:ascii="Verdana" w:cs="Verdana" w:eastAsia="Verdana" w:hAnsi="Verdana"/>
          <w:sz w:val="20"/>
          <w:szCs w:val="20"/>
        </w:rPr>
        <w:t xml:space="preserve">	184</w:t>
      </w:r>
    </w:p>
    <w:p>
      <w:pPr>
        <w:tabs>
          <w:tab w:val="right" w:pos="9638" w:leader="dot"/>
        </w:tabs>
        <w:spacing w:after="30"/>
        <w:ind w:left="300" w:right="0"/>
      </w:pPr>
      <w:r>
        <w:rPr>
          <w:rFonts w:ascii="Verdana" w:cs="Verdana" w:eastAsia="Verdana" w:hAnsi="Verdana"/>
          <w:sz w:val="20"/>
          <w:szCs w:val="20"/>
        </w:rPr>
        <w:t xml:space="preserve">52. Case Study 5: F&amp;O Trader with Salary</w:t>
      </w:r>
      <w:r>
        <w:rPr>
          <w:rFonts w:ascii="Verdana" w:cs="Verdana" w:eastAsia="Verdana" w:hAnsi="Verdana"/>
          <w:sz w:val="20"/>
          <w:szCs w:val="20"/>
        </w:rPr>
        <w:t xml:space="preserve">	186</w:t>
      </w:r>
    </w:p>
    <w:p>
      <w:pPr>
        <w:tabs>
          <w:tab w:val="right" w:pos="9638" w:leader="dot"/>
        </w:tabs>
        <w:spacing w:after="30"/>
        <w:ind w:left="300" w:right="0"/>
      </w:pPr>
      <w:r>
        <w:rPr>
          <w:rFonts w:ascii="Verdana" w:cs="Verdana" w:eastAsia="Verdana" w:hAnsi="Verdana"/>
          <w:sz w:val="20"/>
          <w:szCs w:val="20"/>
        </w:rPr>
        <w:t xml:space="preserve">53. Case Study 6: Start-up Company, Section 140 and MAT</w:t>
      </w:r>
      <w:r>
        <w:rPr>
          <w:rFonts w:ascii="Verdana" w:cs="Verdana" w:eastAsia="Verdana" w:hAnsi="Verdana"/>
          <w:sz w:val="20"/>
          <w:szCs w:val="20"/>
        </w:rPr>
        <w:t xml:space="preserve">	187</w:t>
      </w:r>
    </w:p>
    <w:p>
      <w:pPr>
        <w:tabs>
          <w:tab w:val="right" w:pos="9638" w:leader="dot"/>
        </w:tabs>
        <w:spacing w:after="30"/>
        <w:ind w:left="300" w:right="0"/>
      </w:pPr>
      <w:r>
        <w:rPr>
          <w:rFonts w:ascii="Verdana" w:cs="Verdana" w:eastAsia="Verdana" w:hAnsi="Verdana"/>
          <w:sz w:val="20"/>
          <w:szCs w:val="20"/>
        </w:rPr>
        <w:t xml:space="preserve">54. Case Study 7: Merger of Group Companies</w:t>
      </w:r>
      <w:r>
        <w:rPr>
          <w:rFonts w:ascii="Verdana" w:cs="Verdana" w:eastAsia="Verdana" w:hAnsi="Verdana"/>
          <w:sz w:val="20"/>
          <w:szCs w:val="20"/>
        </w:rPr>
        <w:t xml:space="preserve">	188</w:t>
      </w:r>
    </w:p>
    <w:p>
      <w:pPr>
        <w:tabs>
          <w:tab w:val="right" w:pos="9638" w:leader="dot"/>
        </w:tabs>
        <w:spacing w:after="30"/>
        <w:ind w:left="300" w:right="0"/>
      </w:pPr>
      <w:r>
        <w:rPr>
          <w:rFonts w:ascii="Verdana" w:cs="Verdana" w:eastAsia="Verdana" w:hAnsi="Verdana"/>
          <w:sz w:val="20"/>
          <w:szCs w:val="20"/>
        </w:rPr>
        <w:t xml:space="preserve">55. Case Study 8: Non-Resident Individual</w:t>
      </w:r>
      <w:r>
        <w:rPr>
          <w:rFonts w:ascii="Verdana" w:cs="Verdana" w:eastAsia="Verdana" w:hAnsi="Verdana"/>
          <w:sz w:val="20"/>
          <w:szCs w:val="20"/>
        </w:rPr>
        <w:t xml:space="preserve">	189</w:t>
      </w:r>
    </w:p>
    <w:p>
      <w:pPr>
        <w:tabs>
          <w:tab w:val="right" w:pos="9638" w:leader="dot"/>
        </w:tabs>
        <w:spacing w:after="30"/>
        <w:ind w:left="300" w:right="0"/>
      </w:pPr>
      <w:r>
        <w:rPr>
          <w:rFonts w:ascii="Verdana" w:cs="Verdana" w:eastAsia="Verdana" w:hAnsi="Verdana"/>
          <w:sz w:val="20"/>
          <w:szCs w:val="20"/>
        </w:rPr>
        <w:t xml:space="preserve">56. Case Study 9: Educational Trust</w:t>
      </w:r>
      <w:r>
        <w:rPr>
          <w:rFonts w:ascii="Verdana" w:cs="Verdana" w:eastAsia="Verdana" w:hAnsi="Verdana"/>
          <w:sz w:val="20"/>
          <w:szCs w:val="20"/>
        </w:rPr>
        <w:t xml:space="preserve">	190</w:t>
      </w:r>
    </w:p>
    <w:p>
      <w:pPr>
        <w:tabs>
          <w:tab w:val="right" w:pos="9638" w:leader="dot"/>
        </w:tabs>
        <w:spacing w:after="30"/>
        <w:ind w:left="300" w:right="0"/>
      </w:pPr>
      <w:r>
        <w:rPr>
          <w:rFonts w:ascii="Verdana" w:cs="Verdana" w:eastAsia="Verdana" w:hAnsi="Verdana"/>
          <w:sz w:val="20"/>
          <w:szCs w:val="20"/>
        </w:rPr>
        <w:t xml:space="preserve">57. Case Study 10: Transfer Pricing Adjustment and Secondary Adjustment</w:t>
      </w:r>
      <w:r>
        <w:rPr>
          <w:rFonts w:ascii="Verdana" w:cs="Verdana" w:eastAsia="Verdana" w:hAnsi="Verdana"/>
          <w:sz w:val="20"/>
          <w:szCs w:val="20"/>
        </w:rPr>
        <w:t xml:space="preserve">	191</w:t>
      </w:r>
    </w:p>
    <w:p>
      <w:pPr>
        <w:tabs>
          <w:tab w:val="right" w:pos="9638" w:leader="dot"/>
        </w:tabs>
        <w:spacing w:after="30"/>
        <w:ind w:left="300" w:right="0"/>
      </w:pPr>
      <w:r>
        <w:rPr>
          <w:rFonts w:ascii="Verdana" w:cs="Verdana" w:eastAsia="Verdana" w:hAnsi="Verdana"/>
          <w:sz w:val="20"/>
          <w:szCs w:val="20"/>
        </w:rPr>
        <w:t xml:space="preserve">58. Case Study 11: Company Regime Choice over Five Years</w:t>
      </w:r>
      <w:r>
        <w:rPr>
          <w:rFonts w:ascii="Verdana" w:cs="Verdana" w:eastAsia="Verdana" w:hAnsi="Verdana"/>
          <w:sz w:val="20"/>
          <w:szCs w:val="20"/>
        </w:rPr>
        <w:t xml:space="preserve">	192</w:t>
      </w:r>
    </w:p>
    <w:p>
      <w:pPr>
        <w:tabs>
          <w:tab w:val="right" w:pos="9638" w:leader="dot"/>
        </w:tabs>
        <w:spacing w:after="30"/>
        <w:ind w:left="300" w:right="0"/>
      </w:pPr>
      <w:r>
        <w:rPr>
          <w:rFonts w:ascii="Verdana" w:cs="Verdana" w:eastAsia="Verdana" w:hAnsi="Verdana"/>
          <w:sz w:val="20"/>
          <w:szCs w:val="20"/>
        </w:rPr>
        <w:t xml:space="preserve">59. Case Study 12: Small Trader under the Presumptive Scheme</w:t>
      </w:r>
      <w:r>
        <w:rPr>
          <w:rFonts w:ascii="Verdana" w:cs="Verdana" w:eastAsia="Verdana" w:hAnsi="Verdana"/>
          <w:sz w:val="20"/>
          <w:szCs w:val="20"/>
        </w:rPr>
        <w:t xml:space="preserve">	193</w:t>
      </w:r>
    </w:p>
    <w:p>
      <w:pPr>
        <w:tabs>
          <w:tab w:val="right" w:pos="9638" w:leader="dot"/>
        </w:tabs>
        <w:spacing w:after="30"/>
        <w:ind w:left="300" w:right="0"/>
      </w:pPr>
      <w:r>
        <w:rPr>
          <w:rFonts w:ascii="Verdana" w:cs="Verdana" w:eastAsia="Verdana" w:hAnsi="Verdana"/>
          <w:sz w:val="20"/>
          <w:szCs w:val="20"/>
        </w:rPr>
        <w:t xml:space="preserve">60. Case Study 13: Correcting a TDS Default</w:t>
      </w:r>
      <w:r>
        <w:rPr>
          <w:rFonts w:ascii="Verdana" w:cs="Verdana" w:eastAsia="Verdana" w:hAnsi="Verdana"/>
          <w:sz w:val="20"/>
          <w:szCs w:val="20"/>
        </w:rPr>
        <w:t xml:space="preserve">	194</w:t>
      </w:r>
    </w:p>
    <w:p>
      <w:pPr>
        <w:tabs>
          <w:tab w:val="right" w:pos="9638" w:leader="dot"/>
        </w:tabs>
        <w:spacing w:after="30"/>
        <w:ind w:left="300" w:right="0"/>
      </w:pPr>
      <w:r>
        <w:rPr>
          <w:rFonts w:ascii="Verdana" w:cs="Verdana" w:eastAsia="Verdana" w:hAnsi="Verdana"/>
          <w:sz w:val="20"/>
          <w:szCs w:val="20"/>
        </w:rPr>
        <w:t xml:space="preserve">61. Case Study 14: Several Capital Assets Sold in One Year</w:t>
      </w:r>
      <w:r>
        <w:rPr>
          <w:rFonts w:ascii="Verdana" w:cs="Verdana" w:eastAsia="Verdana" w:hAnsi="Verdana"/>
          <w:sz w:val="20"/>
          <w:szCs w:val="20"/>
        </w:rPr>
        <w:t xml:space="preserve">	195</w:t>
      </w:r>
    </w:p>
    <w:p>
      <w:pPr>
        <w:tabs>
          <w:tab w:val="right" w:pos="9638" w:leader="dot"/>
        </w:tabs>
        <w:spacing w:after="30"/>
        <w:ind w:left="300" w:right="0"/>
      </w:pPr>
      <w:r>
        <w:rPr>
          <w:rFonts w:ascii="Verdana" w:cs="Verdana" w:eastAsia="Verdana" w:hAnsi="Verdana"/>
          <w:sz w:val="20"/>
          <w:szCs w:val="20"/>
        </w:rPr>
        <w:t xml:space="preserve">62. Case Study 15: Returning NRI and the RNOR Window</w:t>
      </w:r>
      <w:r>
        <w:rPr>
          <w:rFonts w:ascii="Verdana" w:cs="Verdana" w:eastAsia="Verdana" w:hAnsi="Verdana"/>
          <w:sz w:val="20"/>
          <w:szCs w:val="20"/>
        </w:rPr>
        <w:t xml:space="preserve">	196</w:t>
      </w:r>
    </w:p>
    <w:p>
      <w:pPr>
        <w:tabs>
          <w:tab w:val="right" w:pos="9638" w:leader="dot"/>
        </w:tabs>
        <w:spacing w:after="30"/>
        <w:ind w:left="300" w:right="0"/>
      </w:pPr>
      <w:r>
        <w:rPr>
          <w:rFonts w:ascii="Verdana" w:cs="Verdana" w:eastAsia="Verdana" w:hAnsi="Verdana"/>
          <w:sz w:val="20"/>
          <w:szCs w:val="20"/>
        </w:rPr>
        <w:t xml:space="preserve">63. Case Study 16: Partition of an HUF</w:t>
      </w:r>
      <w:r>
        <w:rPr>
          <w:rFonts w:ascii="Verdana" w:cs="Verdana" w:eastAsia="Verdana" w:hAnsi="Verdana"/>
          <w:sz w:val="20"/>
          <w:szCs w:val="20"/>
        </w:rPr>
        <w:t xml:space="preserve">	197</w:t>
      </w:r>
    </w:p>
    <w:p>
      <w:pPr>
        <w:tabs>
          <w:tab w:val="right" w:pos="9638" w:leader="dot"/>
        </w:tabs>
        <w:spacing w:after="60"/>
        <w:ind w:left="0" w:right="0"/>
      </w:pPr>
      <w:r>
        <w:rPr>
          <w:rFonts w:ascii="Verdana" w:cs="Verdana" w:eastAsia="Verdana" w:hAnsi="Verdana"/>
          <w:b/>
          <w:bCs/>
          <w:color w:val="92400E"/>
          <w:sz w:val="20"/>
          <w:szCs w:val="20"/>
        </w:rPr>
        <w:t xml:space="preserve">APPENDICES</w:t>
      </w:r>
      <w:r>
        <w:rPr>
          <w:rFonts w:ascii="Verdana" w:cs="Verdana" w:eastAsia="Verdana" w:hAnsi="Verdana"/>
          <w:b/>
          <w:bCs/>
          <w:color w:val="92400E"/>
          <w:sz w:val="20"/>
          <w:szCs w:val="20"/>
        </w:rPr>
        <w:t xml:space="preserve">	198</w:t>
      </w:r>
    </w:p>
    <w:p>
      <w:pPr>
        <w:tabs>
          <w:tab w:val="right" w:pos="9638" w:leader="dot"/>
        </w:tabs>
        <w:spacing w:after="30"/>
        <w:ind w:left="300" w:right="0"/>
      </w:pPr>
      <w:r>
        <w:rPr>
          <w:rFonts w:ascii="Verdana" w:cs="Verdana" w:eastAsia="Verdana" w:hAnsi="Verdana"/>
          <w:sz w:val="20"/>
          <w:szCs w:val="20"/>
        </w:rPr>
        <w:t xml:space="preserve">Appendix A: Section Mapping, 1961 Act to 2025 Act</w:t>
      </w:r>
      <w:r>
        <w:rPr>
          <w:rFonts w:ascii="Verdana" w:cs="Verdana" w:eastAsia="Verdana" w:hAnsi="Verdana"/>
          <w:sz w:val="20"/>
          <w:szCs w:val="20"/>
        </w:rPr>
        <w:t xml:space="preserve">	198</w:t>
      </w:r>
    </w:p>
    <w:p>
      <w:pPr>
        <w:tabs>
          <w:tab w:val="right" w:pos="9638" w:leader="dot"/>
        </w:tabs>
        <w:spacing w:after="30"/>
        <w:ind w:left="300" w:right="0"/>
      </w:pPr>
      <w:r>
        <w:rPr>
          <w:rFonts w:ascii="Verdana" w:cs="Verdana" w:eastAsia="Verdana" w:hAnsi="Verdana"/>
          <w:sz w:val="20"/>
          <w:szCs w:val="20"/>
        </w:rPr>
        <w:t xml:space="preserve">Appendix B: Compliance Calendar for Tax Year 2026-27</w:t>
      </w:r>
      <w:r>
        <w:rPr>
          <w:rFonts w:ascii="Verdana" w:cs="Verdana" w:eastAsia="Verdana" w:hAnsi="Verdana"/>
          <w:sz w:val="20"/>
          <w:szCs w:val="20"/>
        </w:rPr>
        <w:t xml:space="preserve">	200</w:t>
      </w:r>
    </w:p>
    <w:p>
      <w:pPr>
        <w:tabs>
          <w:tab w:val="right" w:pos="9638" w:leader="dot"/>
        </w:tabs>
        <w:spacing w:after="30"/>
        <w:ind w:left="300" w:right="0"/>
      </w:pPr>
      <w:r>
        <w:rPr>
          <w:rFonts w:ascii="Verdana" w:cs="Verdana" w:eastAsia="Verdana" w:hAnsi="Verdana"/>
          <w:sz w:val="20"/>
          <w:szCs w:val="20"/>
        </w:rPr>
        <w:t xml:space="preserve">Appendix C: Practice Questions with Answers</w:t>
      </w:r>
      <w:r>
        <w:rPr>
          <w:rFonts w:ascii="Verdana" w:cs="Verdana" w:eastAsia="Verdana" w:hAnsi="Verdana"/>
          <w:sz w:val="20"/>
          <w:szCs w:val="20"/>
        </w:rPr>
        <w:t xml:space="preserve">	201</w:t>
      </w:r>
    </w:p>
    <w:p>
      <w:pPr>
        <w:tabs>
          <w:tab w:val="right" w:pos="9638" w:leader="dot"/>
        </w:tabs>
        <w:spacing w:after="30"/>
        <w:ind w:left="300" w:right="0"/>
      </w:pPr>
      <w:r>
        <w:rPr>
          <w:rFonts w:ascii="Verdana" w:cs="Verdana" w:eastAsia="Verdana" w:hAnsi="Verdana"/>
          <w:sz w:val="20"/>
          <w:szCs w:val="20"/>
        </w:rPr>
        <w:t xml:space="preserve">Appendix D: Common Mistakes Checklist</w:t>
      </w:r>
      <w:r>
        <w:rPr>
          <w:rFonts w:ascii="Verdana" w:cs="Verdana" w:eastAsia="Verdana" w:hAnsi="Verdana"/>
          <w:sz w:val="20"/>
          <w:szCs w:val="20"/>
        </w:rPr>
        <w:t xml:space="preserve">	208</w:t>
      </w:r>
    </w:p>
    <w:p>
      <w:pPr>
        <w:tabs>
          <w:tab w:val="right" w:pos="9638" w:leader="dot"/>
        </w:tabs>
        <w:spacing w:after="30"/>
        <w:ind w:left="300" w:right="0"/>
      </w:pPr>
      <w:r>
        <w:rPr>
          <w:rFonts w:ascii="Verdana" w:cs="Verdana" w:eastAsia="Verdana" w:hAnsi="Verdana"/>
          <w:sz w:val="20"/>
          <w:szCs w:val="20"/>
        </w:rPr>
        <w:t xml:space="preserve">Appendix E: Digest of Landmark Rulings</w:t>
      </w:r>
      <w:r>
        <w:rPr>
          <w:rFonts w:ascii="Verdana" w:cs="Verdana" w:eastAsia="Verdana" w:hAnsi="Verdana"/>
          <w:sz w:val="20"/>
          <w:szCs w:val="20"/>
        </w:rPr>
        <w:t xml:space="preserve">	209</w:t>
      </w:r>
    </w:p>
    <w:p>
      <w:pPr>
        <w:tabs>
          <w:tab w:val="right" w:pos="9638" w:leader="dot"/>
        </w:tabs>
        <w:spacing w:after="30"/>
        <w:ind w:left="300" w:right="0"/>
      </w:pPr>
      <w:r>
        <w:rPr>
          <w:rFonts w:ascii="Verdana" w:cs="Verdana" w:eastAsia="Verdana" w:hAnsi="Verdana"/>
          <w:sz w:val="20"/>
          <w:szCs w:val="20"/>
        </w:rPr>
        <w:t xml:space="preserve">Appendix F: Glossary</w:t>
      </w:r>
      <w:r>
        <w:rPr>
          <w:rFonts w:ascii="Verdana" w:cs="Verdana" w:eastAsia="Verdana" w:hAnsi="Verdana"/>
          <w:sz w:val="20"/>
          <w:szCs w:val="20"/>
        </w:rPr>
        <w:t xml:space="preserve">	213</w:t>
      </w:r>
    </w:p>
    <w:p>
      <w:pPr>
        <w:tabs>
          <w:tab w:val="right" w:pos="9638" w:leader="dot"/>
        </w:tabs>
        <w:spacing w:after="30"/>
        <w:ind w:left="300" w:right="0"/>
      </w:pPr>
      <w:r>
        <w:rPr>
          <w:rFonts w:ascii="Verdana" w:cs="Verdana" w:eastAsia="Verdana" w:hAnsi="Verdana"/>
          <w:sz w:val="20"/>
          <w:szCs w:val="20"/>
        </w:rPr>
        <w:t xml:space="preserve">Appendix G: Rates and Thresholds at a Glance (Tax Year 2026-27)</w:t>
      </w:r>
      <w:r>
        <w:rPr>
          <w:rFonts w:ascii="Verdana" w:cs="Verdana" w:eastAsia="Verdana" w:hAnsi="Verdana"/>
          <w:sz w:val="20"/>
          <w:szCs w:val="20"/>
        </w:rPr>
        <w:t xml:space="preserve">	215</w:t>
      </w:r>
    </w:p>
    <w:p>
      <w:pPr>
        <w:tabs>
          <w:tab w:val="right" w:pos="9638" w:leader="dot"/>
        </w:tabs>
        <w:spacing w:after="30"/>
        <w:ind w:left="300" w:right="0"/>
      </w:pPr>
      <w:r>
        <w:rPr>
          <w:rFonts w:ascii="Verdana" w:cs="Verdana" w:eastAsia="Verdana" w:hAnsi="Verdana"/>
          <w:sz w:val="20"/>
          <w:szCs w:val="20"/>
        </w:rPr>
        <w:t xml:space="preserve">Appendix H: Year-end Tax Checklists</w:t>
      </w:r>
      <w:r>
        <w:rPr>
          <w:rFonts w:ascii="Verdana" w:cs="Verdana" w:eastAsia="Verdana" w:hAnsi="Verdana"/>
          <w:sz w:val="20"/>
          <w:szCs w:val="20"/>
        </w:rPr>
        <w:t xml:space="preserve">	216</w:t>
      </w:r>
    </w:p>
    <w:p>
      <w:pPr>
        <w:tabs>
          <w:tab w:val="right" w:pos="9638" w:leader="dot"/>
        </w:tabs>
        <w:spacing w:after="30"/>
        <w:ind w:left="300" w:right="0"/>
      </w:pPr>
      <w:r>
        <w:rPr>
          <w:rFonts w:ascii="Verdana" w:cs="Verdana" w:eastAsia="Verdana" w:hAnsi="Verdana"/>
          <w:sz w:val="20"/>
          <w:szCs w:val="20"/>
        </w:rPr>
        <w:t xml:space="preserve">Appendix I: Specimen Formats</w:t>
      </w:r>
      <w:r>
        <w:rPr>
          <w:rFonts w:ascii="Verdana" w:cs="Verdana" w:eastAsia="Verdana" w:hAnsi="Verdana"/>
          <w:sz w:val="20"/>
          <w:szCs w:val="20"/>
        </w:rPr>
        <w:t xml:space="preserve">	217</w:t>
      </w:r>
    </w:p>
    <w:p>
      <w:pPr>
        <w:tabs>
          <w:tab w:val="right" w:pos="9638" w:leader="dot"/>
        </w:tabs>
        <w:spacing w:after="30"/>
        <w:ind w:left="300" w:right="0"/>
      </w:pPr>
      <w:r>
        <w:rPr>
          <w:rFonts w:ascii="Verdana" w:cs="Verdana" w:eastAsia="Verdana" w:hAnsi="Verdana"/>
          <w:sz w:val="20"/>
          <w:szCs w:val="20"/>
        </w:rPr>
        <w:t xml:space="preserve">Appendix J: Selected Sections of the Income-tax Act, 2025</w:t>
      </w:r>
      <w:r>
        <w:rPr>
          <w:rFonts w:ascii="Verdana" w:cs="Verdana" w:eastAsia="Verdana" w:hAnsi="Verdana"/>
          <w:sz w:val="20"/>
          <w:szCs w:val="20"/>
        </w:rPr>
        <w:t xml:space="preserve">	219</w:t>
      </w:r>
    </w:p>
    <w:p>
      <w:pPr>
        <w:tabs>
          <w:tab w:val="right" w:pos="9638" w:leader="dot"/>
        </w:tabs>
        <w:spacing w:after="30"/>
        <w:ind w:left="300" w:right="0"/>
      </w:pPr>
      <w:r>
        <w:rPr>
          <w:rFonts w:ascii="Verdana" w:cs="Verdana" w:eastAsia="Verdana" w:hAnsi="Verdana"/>
          <w:sz w:val="20"/>
          <w:szCs w:val="20"/>
        </w:rPr>
        <w:t xml:space="preserve">Appendix K: Depreciation Rates (Written Down Value Method)</w:t>
      </w:r>
      <w:r>
        <w:rPr>
          <w:rFonts w:ascii="Verdana" w:cs="Verdana" w:eastAsia="Verdana" w:hAnsi="Verdana"/>
          <w:sz w:val="20"/>
          <w:szCs w:val="20"/>
        </w:rPr>
        <w:t xml:space="preserve">	223</w:t>
      </w:r>
    </w:p>
    <w:p>
      <w:pPr>
        <w:tabs>
          <w:tab w:val="right" w:pos="9638" w:leader="dot"/>
        </w:tabs>
        <w:spacing w:after="30"/>
        <w:ind w:left="300" w:right="0"/>
      </w:pPr>
      <w:r>
        <w:rPr>
          <w:rFonts w:ascii="Verdana" w:cs="Verdana" w:eastAsia="Verdana" w:hAnsi="Verdana"/>
          <w:sz w:val="20"/>
          <w:szCs w:val="20"/>
        </w:rPr>
        <w:t xml:space="preserve">Appendix L: Cost Inflation Index</w:t>
      </w:r>
      <w:r>
        <w:rPr>
          <w:rFonts w:ascii="Verdana" w:cs="Verdana" w:eastAsia="Verdana" w:hAnsi="Verdana"/>
          <w:sz w:val="20"/>
          <w:szCs w:val="20"/>
        </w:rPr>
        <w:t xml:space="preserve">	224</w:t>
      </w:r>
    </w:p>
    <w:p>
      <w:pPr>
        <w:tabs>
          <w:tab w:val="right" w:pos="9638" w:leader="dot"/>
        </w:tabs>
        <w:spacing w:after="30"/>
        <w:ind w:left="300" w:right="0"/>
      </w:pPr>
      <w:r>
        <w:rPr>
          <w:rFonts w:ascii="Verdana" w:cs="Verdana" w:eastAsia="Verdana" w:hAnsi="Verdana"/>
          <w:sz w:val="20"/>
          <w:szCs w:val="20"/>
        </w:rPr>
        <w:t xml:space="preserve">References</w:t>
      </w:r>
      <w:r>
        <w:rPr>
          <w:rFonts w:ascii="Verdana" w:cs="Verdana" w:eastAsia="Verdana" w:hAnsi="Verdana"/>
          <w:sz w:val="20"/>
          <w:szCs w:val="20"/>
        </w:rPr>
        <w:t xml:space="preserve">	225</w:t>
      </w:r>
    </w:p>
    <w:p>
      <w:pPr>
        <w:tabs>
          <w:tab w:val="right" w:pos="9638" w:leader="dot"/>
        </w:tabs>
        <w:spacing w:after="30"/>
        <w:ind w:left="300" w:right="0"/>
      </w:pPr>
      <w:r>
        <w:rPr>
          <w:rFonts w:ascii="Verdana" w:cs="Verdana" w:eastAsia="Verdana" w:hAnsi="Verdana"/>
          <w:sz w:val="20"/>
          <w:szCs w:val="20"/>
        </w:rPr>
        <w:t xml:space="preserve">Table of Cases</w:t>
      </w:r>
      <w:r>
        <w:rPr>
          <w:rFonts w:ascii="Verdana" w:cs="Verdana" w:eastAsia="Verdana" w:hAnsi="Verdana"/>
          <w:sz w:val="20"/>
          <w:szCs w:val="20"/>
        </w:rPr>
        <w:t xml:space="preserve">	226</w:t>
      </w:r>
    </w:p>
    <w:p>
      <w:pPr>
        <w:tabs>
          <w:tab w:val="right" w:pos="9638" w:leader="dot"/>
        </w:tabs>
        <w:spacing w:after="30"/>
        <w:ind w:left="300" w:right="0"/>
      </w:pPr>
      <w:r>
        <w:rPr>
          <w:rFonts w:ascii="Verdana" w:cs="Verdana" w:eastAsia="Verdana" w:hAnsi="Verdana"/>
          <w:sz w:val="20"/>
          <w:szCs w:val="20"/>
        </w:rPr>
        <w:t xml:space="preserve">Index</w:t>
      </w:r>
      <w:r>
        <w:rPr>
          <w:rFonts w:ascii="Verdana" w:cs="Verdana" w:eastAsia="Verdana" w:hAnsi="Verdana"/>
          <w:sz w:val="20"/>
          <w:szCs w:val="20"/>
        </w:rPr>
        <w:t xml:space="preserve">	228</w:t>
      </w:r>
    </w:p>
    <w:p>
      <w:r>
        <w:fldChar w:fldCharType="end"/>
      </w:r>
    </w:p>
    <w:p>
      <w:pPr>
        <w:pStyle w:val="Heading1"/>
        <w:pageBreakBefore/>
        <w:spacing w:after="200"/>
      </w:pPr>
      <w:r>
        <w:rPr>
          <w:rFonts w:ascii="Verdana" w:cs="Verdana" w:eastAsia="Verdana" w:hAnsi="Verdana"/>
        </w:rPr>
        <w:t xml:space="preserve">List of Illustrations</w:t>
      </w:r>
    </w:p>
    <w:p>
      <w:pPr>
        <w:spacing w:after="120"/>
      </w:pPr>
      <w:r>
        <w:rPr>
          <w:rFonts w:ascii="Verdana" w:cs="Verdana" w:eastAsia="Verdana" w:hAnsi="Verdana"/>
          <w:i/>
          <w:iCs/>
          <w:color w:val="404040"/>
          <w:sz w:val="19"/>
          <w:szCs w:val="19"/>
        </w:rPr>
        <w:t xml:space="preserve">Illustrations are numbered through the guide. The chapter number is shown in brackets.</w:t>
      </w:r>
    </w:p>
    <w:p>
      <w:pPr>
        <w:tabs>
          <w:tab w:val="right" w:pos="9638" w:leader="dot"/>
        </w:tabs>
        <w:spacing w:after="20"/>
        <w:ind w:left="300" w:right="0"/>
      </w:pPr>
      <w:r>
        <w:rPr>
          <w:rFonts w:ascii="Verdana" w:cs="Verdana" w:eastAsia="Verdana" w:hAnsi="Verdana"/>
          <w:sz w:val="19"/>
          <w:szCs w:val="19"/>
        </w:rPr>
        <w:t xml:space="preserve">1. Two returns, two Acts (Chapter 1)</w:t>
      </w:r>
      <w:r>
        <w:rPr>
          <w:rFonts w:ascii="Verdana" w:cs="Verdana" w:eastAsia="Verdana" w:hAnsi="Verdana"/>
          <w:sz w:val="19"/>
          <w:szCs w:val="19"/>
        </w:rPr>
        <w:t xml:space="preserve">	11</w:t>
      </w:r>
    </w:p>
    <w:p>
      <w:pPr>
        <w:tabs>
          <w:tab w:val="right" w:pos="9638" w:leader="dot"/>
        </w:tabs>
        <w:spacing w:after="20"/>
        <w:ind w:left="300" w:right="0"/>
      </w:pPr>
      <w:r>
        <w:rPr>
          <w:rFonts w:ascii="Verdana" w:cs="Verdana" w:eastAsia="Verdana" w:hAnsi="Verdana"/>
          <w:sz w:val="19"/>
          <w:szCs w:val="19"/>
        </w:rPr>
        <w:t xml:space="preserve">2. New LLP (Chapter 3)</w:t>
      </w:r>
      <w:r>
        <w:rPr>
          <w:rFonts w:ascii="Verdana" w:cs="Verdana" w:eastAsia="Verdana" w:hAnsi="Verdana"/>
          <w:sz w:val="19"/>
          <w:szCs w:val="19"/>
        </w:rPr>
        <w:t xml:space="preserve">	17</w:t>
      </w:r>
    </w:p>
    <w:p>
      <w:pPr>
        <w:tabs>
          <w:tab w:val="right" w:pos="9638" w:leader="dot"/>
        </w:tabs>
        <w:spacing w:after="20"/>
        <w:ind w:left="300" w:right="0"/>
      </w:pPr>
      <w:r>
        <w:rPr>
          <w:rFonts w:ascii="Verdana" w:cs="Verdana" w:eastAsia="Verdana" w:hAnsi="Verdana"/>
          <w:sz w:val="19"/>
          <w:szCs w:val="19"/>
        </w:rPr>
        <w:t xml:space="preserve">3. Discontinued business (Chapter 3)</w:t>
      </w:r>
      <w:r>
        <w:rPr>
          <w:rFonts w:ascii="Verdana" w:cs="Verdana" w:eastAsia="Verdana" w:hAnsi="Verdana"/>
          <w:sz w:val="19"/>
          <w:szCs w:val="19"/>
        </w:rPr>
        <w:t xml:space="preserve">	18</w:t>
      </w:r>
    </w:p>
    <w:p>
      <w:pPr>
        <w:tabs>
          <w:tab w:val="right" w:pos="9638" w:leader="dot"/>
        </w:tabs>
        <w:spacing w:after="20"/>
        <w:ind w:left="300" w:right="0"/>
      </w:pPr>
      <w:r>
        <w:rPr>
          <w:rFonts w:ascii="Verdana" w:cs="Verdana" w:eastAsia="Verdana" w:hAnsi="Verdana"/>
          <w:sz w:val="19"/>
          <w:szCs w:val="19"/>
        </w:rPr>
        <w:t xml:space="preserve">4. Employee sent abroad (Chapter 4)</w:t>
      </w:r>
      <w:r>
        <w:rPr>
          <w:rFonts w:ascii="Verdana" w:cs="Verdana" w:eastAsia="Verdana" w:hAnsi="Verdana"/>
          <w:sz w:val="19"/>
          <w:szCs w:val="19"/>
        </w:rPr>
        <w:t xml:space="preserve">	19</w:t>
      </w:r>
    </w:p>
    <w:p>
      <w:pPr>
        <w:tabs>
          <w:tab w:val="right" w:pos="9638" w:leader="dot"/>
        </w:tabs>
        <w:spacing w:after="20"/>
        <w:ind w:left="300" w:right="0"/>
      </w:pPr>
      <w:r>
        <w:rPr>
          <w:rFonts w:ascii="Verdana" w:cs="Verdana" w:eastAsia="Verdana" w:hAnsi="Verdana"/>
          <w:sz w:val="19"/>
          <w:szCs w:val="19"/>
        </w:rPr>
        <w:t xml:space="preserve">5. Returning NRI (Chapter 4)</w:t>
      </w:r>
      <w:r>
        <w:rPr>
          <w:rFonts w:ascii="Verdana" w:cs="Verdana" w:eastAsia="Verdana" w:hAnsi="Verdana"/>
          <w:sz w:val="19"/>
          <w:szCs w:val="19"/>
        </w:rPr>
        <w:t xml:space="preserve">	19</w:t>
      </w:r>
    </w:p>
    <w:p>
      <w:pPr>
        <w:tabs>
          <w:tab w:val="right" w:pos="9638" w:leader="dot"/>
        </w:tabs>
        <w:spacing w:after="20"/>
        <w:ind w:left="300" w:right="0"/>
      </w:pPr>
      <w:r>
        <w:rPr>
          <w:rFonts w:ascii="Verdana" w:cs="Verdana" w:eastAsia="Verdana" w:hAnsi="Verdana"/>
          <w:sz w:val="19"/>
          <w:szCs w:val="19"/>
        </w:rPr>
        <w:t xml:space="preserve">6. Counting days (Chapter 4)</w:t>
      </w:r>
      <w:r>
        <w:rPr>
          <w:rFonts w:ascii="Verdana" w:cs="Verdana" w:eastAsia="Verdana" w:hAnsi="Verdana"/>
          <w:sz w:val="19"/>
          <w:szCs w:val="19"/>
        </w:rPr>
        <w:t xml:space="preserve">	20</w:t>
      </w:r>
    </w:p>
    <w:p>
      <w:pPr>
        <w:tabs>
          <w:tab w:val="right" w:pos="9638" w:leader="dot"/>
        </w:tabs>
        <w:spacing w:after="20"/>
        <w:ind w:left="300" w:right="0"/>
      </w:pPr>
      <w:r>
        <w:rPr>
          <w:rFonts w:ascii="Verdana" w:cs="Verdana" w:eastAsia="Verdana" w:hAnsi="Verdana"/>
          <w:sz w:val="19"/>
          <w:szCs w:val="19"/>
        </w:rPr>
        <w:t xml:space="preserve">7. Visiting NRI with large Indian income (Chapter 4)</w:t>
      </w:r>
      <w:r>
        <w:rPr>
          <w:rFonts w:ascii="Verdana" w:cs="Verdana" w:eastAsia="Verdana" w:hAnsi="Verdana"/>
          <w:sz w:val="19"/>
          <w:szCs w:val="19"/>
        </w:rPr>
        <w:t xml:space="preserve">	20</w:t>
      </w:r>
    </w:p>
    <w:p>
      <w:pPr>
        <w:tabs>
          <w:tab w:val="right" w:pos="9638" w:leader="dot"/>
        </w:tabs>
        <w:spacing w:after="20"/>
        <w:ind w:left="300" w:right="0"/>
      </w:pPr>
      <w:r>
        <w:rPr>
          <w:rFonts w:ascii="Verdana" w:cs="Verdana" w:eastAsia="Verdana" w:hAnsi="Verdana"/>
          <w:sz w:val="19"/>
          <w:szCs w:val="19"/>
        </w:rPr>
        <w:t xml:space="preserve">8. Deemed resident (Chapter 4)</w:t>
      </w:r>
      <w:r>
        <w:rPr>
          <w:rFonts w:ascii="Verdana" w:cs="Verdana" w:eastAsia="Verdana" w:hAnsi="Verdana"/>
          <w:sz w:val="19"/>
          <w:szCs w:val="19"/>
        </w:rPr>
        <w:t xml:space="preserve">	21</w:t>
      </w:r>
    </w:p>
    <w:p>
      <w:pPr>
        <w:tabs>
          <w:tab w:val="right" w:pos="9638" w:leader="dot"/>
        </w:tabs>
        <w:spacing w:after="20"/>
        <w:ind w:left="300" w:right="0"/>
      </w:pPr>
      <w:r>
        <w:rPr>
          <w:rFonts w:ascii="Verdana" w:cs="Verdana" w:eastAsia="Verdana" w:hAnsi="Verdana"/>
          <w:sz w:val="19"/>
          <w:szCs w:val="19"/>
        </w:rPr>
        <w:t xml:space="preserve">9. Returning professional (Chapter 4)</w:t>
      </w:r>
      <w:r>
        <w:rPr>
          <w:rFonts w:ascii="Verdana" w:cs="Verdana" w:eastAsia="Verdana" w:hAnsi="Verdana"/>
          <w:sz w:val="19"/>
          <w:szCs w:val="19"/>
        </w:rPr>
        <w:t xml:space="preserve">	21</w:t>
      </w:r>
    </w:p>
    <w:p>
      <w:pPr>
        <w:tabs>
          <w:tab w:val="right" w:pos="9638" w:leader="dot"/>
        </w:tabs>
        <w:spacing w:after="20"/>
        <w:ind w:left="300" w:right="0"/>
      </w:pPr>
      <w:r>
        <w:rPr>
          <w:rFonts w:ascii="Verdana" w:cs="Verdana" w:eastAsia="Verdana" w:hAnsi="Verdana"/>
          <w:sz w:val="19"/>
          <w:szCs w:val="19"/>
        </w:rPr>
        <w:t xml:space="preserve">10. POEM risk (Chapter 4)</w:t>
      </w:r>
      <w:r>
        <w:rPr>
          <w:rFonts w:ascii="Verdana" w:cs="Verdana" w:eastAsia="Verdana" w:hAnsi="Verdana"/>
          <w:sz w:val="19"/>
          <w:szCs w:val="19"/>
        </w:rPr>
        <w:t xml:space="preserve">	22</w:t>
      </w:r>
    </w:p>
    <w:p>
      <w:pPr>
        <w:tabs>
          <w:tab w:val="right" w:pos="9638" w:leader="dot"/>
        </w:tabs>
        <w:spacing w:after="20"/>
        <w:ind w:left="300" w:right="0"/>
      </w:pPr>
      <w:r>
        <w:rPr>
          <w:rFonts w:ascii="Verdana" w:cs="Verdana" w:eastAsia="Verdana" w:hAnsi="Verdana"/>
          <w:sz w:val="19"/>
          <w:szCs w:val="19"/>
        </w:rPr>
        <w:t xml:space="preserve">11. Tie breaker (Chapter 4)</w:t>
      </w:r>
      <w:r>
        <w:rPr>
          <w:rFonts w:ascii="Verdana" w:cs="Verdana" w:eastAsia="Verdana" w:hAnsi="Verdana"/>
          <w:sz w:val="19"/>
          <w:szCs w:val="19"/>
        </w:rPr>
        <w:t xml:space="preserve">	22</w:t>
      </w:r>
    </w:p>
    <w:p>
      <w:pPr>
        <w:tabs>
          <w:tab w:val="right" w:pos="9638" w:leader="dot"/>
        </w:tabs>
        <w:spacing w:after="20"/>
        <w:ind w:left="300" w:right="0"/>
      </w:pPr>
      <w:r>
        <w:rPr>
          <w:rFonts w:ascii="Verdana" w:cs="Verdana" w:eastAsia="Verdana" w:hAnsi="Verdana"/>
          <w:sz w:val="19"/>
          <w:szCs w:val="19"/>
        </w:rPr>
        <w:t xml:space="preserve">12. Scope of total income (Chapter 5)</w:t>
      </w:r>
      <w:r>
        <w:rPr>
          <w:rFonts w:ascii="Verdana" w:cs="Verdana" w:eastAsia="Verdana" w:hAnsi="Verdana"/>
          <w:sz w:val="19"/>
          <w:szCs w:val="19"/>
        </w:rPr>
        <w:t xml:space="preserve">	23</w:t>
      </w:r>
    </w:p>
    <w:p>
      <w:pPr>
        <w:tabs>
          <w:tab w:val="right" w:pos="9638" w:leader="dot"/>
        </w:tabs>
        <w:spacing w:after="20"/>
        <w:ind w:left="300" w:right="0"/>
      </w:pPr>
      <w:r>
        <w:rPr>
          <w:rFonts w:ascii="Verdana" w:cs="Verdana" w:eastAsia="Verdana" w:hAnsi="Verdana"/>
          <w:sz w:val="19"/>
          <w:szCs w:val="19"/>
        </w:rPr>
        <w:t xml:space="preserve">13. Citing an exemption (Chapter 6)</w:t>
      </w:r>
      <w:r>
        <w:rPr>
          <w:rFonts w:ascii="Verdana" w:cs="Verdana" w:eastAsia="Verdana" w:hAnsi="Verdana"/>
          <w:sz w:val="19"/>
          <w:szCs w:val="19"/>
        </w:rPr>
        <w:t xml:space="preserve">	25</w:t>
      </w:r>
    </w:p>
    <w:p>
      <w:pPr>
        <w:tabs>
          <w:tab w:val="right" w:pos="9638" w:leader="dot"/>
        </w:tabs>
        <w:spacing w:after="20"/>
        <w:ind w:left="300" w:right="0"/>
      </w:pPr>
      <w:r>
        <w:rPr>
          <w:rFonts w:ascii="Verdana" w:cs="Verdana" w:eastAsia="Verdana" w:hAnsi="Verdana"/>
          <w:sz w:val="19"/>
          <w:szCs w:val="19"/>
        </w:rPr>
        <w:t xml:space="preserve">14. Partial integration (old regime, individual below 60) (Chapter 6)</w:t>
      </w:r>
      <w:r>
        <w:rPr>
          <w:rFonts w:ascii="Verdana" w:cs="Verdana" w:eastAsia="Verdana" w:hAnsi="Verdana"/>
          <w:sz w:val="19"/>
          <w:szCs w:val="19"/>
        </w:rPr>
        <w:t xml:space="preserve">	27</w:t>
      </w:r>
    </w:p>
    <w:p>
      <w:pPr>
        <w:tabs>
          <w:tab w:val="right" w:pos="9638" w:leader="dot"/>
        </w:tabs>
        <w:spacing w:after="20"/>
        <w:ind w:left="300" w:right="0"/>
      </w:pPr>
      <w:r>
        <w:rPr>
          <w:rFonts w:ascii="Verdana" w:cs="Verdana" w:eastAsia="Verdana" w:hAnsi="Verdana"/>
          <w:sz w:val="19"/>
          <w:szCs w:val="19"/>
        </w:rPr>
        <w:t xml:space="preserve">15. Priya, Mumbai, age 32, Tax Year 2026-27 (Chapter 7)</w:t>
      </w:r>
      <w:r>
        <w:rPr>
          <w:rFonts w:ascii="Verdana" w:cs="Verdana" w:eastAsia="Verdana" w:hAnsi="Verdana"/>
          <w:sz w:val="19"/>
          <w:szCs w:val="19"/>
        </w:rPr>
        <w:t xml:space="preserve">	29</w:t>
      </w:r>
    </w:p>
    <w:p>
      <w:pPr>
        <w:tabs>
          <w:tab w:val="right" w:pos="9638" w:leader="dot"/>
        </w:tabs>
        <w:spacing w:after="20"/>
        <w:ind w:left="300" w:right="0"/>
      </w:pPr>
      <w:r>
        <w:rPr>
          <w:rFonts w:ascii="Verdana" w:cs="Verdana" w:eastAsia="Verdana" w:hAnsi="Verdana"/>
          <w:sz w:val="19"/>
          <w:szCs w:val="19"/>
        </w:rPr>
        <w:t xml:space="preserve">16. ESOP (Chapter 7)</w:t>
      </w:r>
      <w:r>
        <w:rPr>
          <w:rFonts w:ascii="Verdana" w:cs="Verdana" w:eastAsia="Verdana" w:hAnsi="Verdana"/>
          <w:sz w:val="19"/>
          <w:szCs w:val="19"/>
        </w:rPr>
        <w:t xml:space="preserve">	31</w:t>
      </w:r>
    </w:p>
    <w:p>
      <w:pPr>
        <w:tabs>
          <w:tab w:val="right" w:pos="9638" w:leader="dot"/>
        </w:tabs>
        <w:spacing w:after="20"/>
        <w:ind w:left="300" w:right="0"/>
      </w:pPr>
      <w:r>
        <w:rPr>
          <w:rFonts w:ascii="Verdana" w:cs="Verdana" w:eastAsia="Verdana" w:hAnsi="Verdana"/>
          <w:sz w:val="19"/>
          <w:szCs w:val="19"/>
        </w:rPr>
        <w:t xml:space="preserve">17. Director remuneration (Chapter 7)</w:t>
      </w:r>
      <w:r>
        <w:rPr>
          <w:rFonts w:ascii="Verdana" w:cs="Verdana" w:eastAsia="Verdana" w:hAnsi="Verdana"/>
          <w:sz w:val="19"/>
          <w:szCs w:val="19"/>
        </w:rPr>
        <w:t xml:space="preserve">	31</w:t>
      </w:r>
    </w:p>
    <w:p>
      <w:pPr>
        <w:tabs>
          <w:tab w:val="right" w:pos="9638" w:leader="dot"/>
        </w:tabs>
        <w:spacing w:after="20"/>
        <w:ind w:left="300" w:right="0"/>
      </w:pPr>
      <w:r>
        <w:rPr>
          <w:rFonts w:ascii="Verdana" w:cs="Verdana" w:eastAsia="Verdana" w:hAnsi="Verdana"/>
          <w:sz w:val="19"/>
          <w:szCs w:val="19"/>
        </w:rPr>
        <w:t xml:space="preserve">18. HRA in Ahmedabad (Chapter 7)</w:t>
      </w:r>
      <w:r>
        <w:rPr>
          <w:rFonts w:ascii="Verdana" w:cs="Verdana" w:eastAsia="Verdana" w:hAnsi="Verdana"/>
          <w:sz w:val="19"/>
          <w:szCs w:val="19"/>
        </w:rPr>
        <w:t xml:space="preserve">	32</w:t>
      </w:r>
    </w:p>
    <w:p>
      <w:pPr>
        <w:tabs>
          <w:tab w:val="right" w:pos="9638" w:leader="dot"/>
        </w:tabs>
        <w:spacing w:after="20"/>
        <w:ind w:left="300" w:right="0"/>
      </w:pPr>
      <w:r>
        <w:rPr>
          <w:rFonts w:ascii="Verdana" w:cs="Verdana" w:eastAsia="Verdana" w:hAnsi="Verdana"/>
          <w:sz w:val="19"/>
          <w:szCs w:val="19"/>
        </w:rPr>
        <w:t xml:space="preserve">19. Company car and loan (Chapter 7)</w:t>
      </w:r>
      <w:r>
        <w:rPr>
          <w:rFonts w:ascii="Verdana" w:cs="Verdana" w:eastAsia="Verdana" w:hAnsi="Verdana"/>
          <w:sz w:val="19"/>
          <w:szCs w:val="19"/>
        </w:rPr>
        <w:t xml:space="preserve">	33</w:t>
      </w:r>
    </w:p>
    <w:p>
      <w:pPr>
        <w:tabs>
          <w:tab w:val="right" w:pos="9638" w:leader="dot"/>
        </w:tabs>
        <w:spacing w:after="20"/>
        <w:ind w:left="300" w:right="0"/>
      </w:pPr>
      <w:r>
        <w:rPr>
          <w:rFonts w:ascii="Verdana" w:cs="Verdana" w:eastAsia="Verdana" w:hAnsi="Verdana"/>
          <w:sz w:val="19"/>
          <w:szCs w:val="19"/>
        </w:rPr>
        <w:t xml:space="preserve">20. Employer retirement contributions above Rs. 7.5 lakh (Chapter 7)</w:t>
      </w:r>
      <w:r>
        <w:rPr>
          <w:rFonts w:ascii="Verdana" w:cs="Verdana" w:eastAsia="Verdana" w:hAnsi="Verdana"/>
          <w:sz w:val="19"/>
          <w:szCs w:val="19"/>
        </w:rPr>
        <w:t xml:space="preserve">	33</w:t>
      </w:r>
    </w:p>
    <w:p>
      <w:pPr>
        <w:tabs>
          <w:tab w:val="right" w:pos="9638" w:leader="dot"/>
        </w:tabs>
        <w:spacing w:after="20"/>
        <w:ind w:left="300" w:right="0"/>
      </w:pPr>
      <w:r>
        <w:rPr>
          <w:rFonts w:ascii="Verdana" w:cs="Verdana" w:eastAsia="Verdana" w:hAnsi="Verdana"/>
          <w:sz w:val="19"/>
          <w:szCs w:val="19"/>
        </w:rPr>
        <w:t xml:space="preserve">21. Gratuity (Chapter 7)</w:t>
      </w:r>
      <w:r>
        <w:rPr>
          <w:rFonts w:ascii="Verdana" w:cs="Verdana" w:eastAsia="Verdana" w:hAnsi="Verdana"/>
          <w:sz w:val="19"/>
          <w:szCs w:val="19"/>
        </w:rPr>
        <w:t xml:space="preserve">	34</w:t>
      </w:r>
    </w:p>
    <w:p>
      <w:pPr>
        <w:tabs>
          <w:tab w:val="right" w:pos="9638" w:leader="dot"/>
        </w:tabs>
        <w:spacing w:after="20"/>
        <w:ind w:left="300" w:right="0"/>
      </w:pPr>
      <w:r>
        <w:rPr>
          <w:rFonts w:ascii="Verdana" w:cs="Verdana" w:eastAsia="Verdana" w:hAnsi="Verdana"/>
          <w:sz w:val="19"/>
          <w:szCs w:val="19"/>
        </w:rPr>
        <w:t xml:space="preserve">22. Leave encashment (Chapter 7)</w:t>
      </w:r>
      <w:r>
        <w:rPr>
          <w:rFonts w:ascii="Verdana" w:cs="Verdana" w:eastAsia="Verdana" w:hAnsi="Verdana"/>
          <w:sz w:val="19"/>
          <w:szCs w:val="19"/>
        </w:rPr>
        <w:t xml:space="preserve">	34</w:t>
      </w:r>
    </w:p>
    <w:p>
      <w:pPr>
        <w:tabs>
          <w:tab w:val="right" w:pos="9638" w:leader="dot"/>
        </w:tabs>
        <w:spacing w:after="20"/>
        <w:ind w:left="300" w:right="0"/>
      </w:pPr>
      <w:r>
        <w:rPr>
          <w:rFonts w:ascii="Verdana" w:cs="Verdana" w:eastAsia="Verdana" w:hAnsi="Verdana"/>
          <w:sz w:val="19"/>
          <w:szCs w:val="19"/>
        </w:rPr>
        <w:t xml:space="preserve">23. Commuted pension (Chapter 7)</w:t>
      </w:r>
      <w:r>
        <w:rPr>
          <w:rFonts w:ascii="Verdana" w:cs="Verdana" w:eastAsia="Verdana" w:hAnsi="Verdana"/>
          <w:sz w:val="19"/>
          <w:szCs w:val="19"/>
        </w:rPr>
        <w:t xml:space="preserve">	34</w:t>
      </w:r>
    </w:p>
    <w:p>
      <w:pPr>
        <w:tabs>
          <w:tab w:val="right" w:pos="9638" w:leader="dot"/>
        </w:tabs>
        <w:spacing w:after="20"/>
        <w:ind w:left="300" w:right="0"/>
      </w:pPr>
      <w:r>
        <w:rPr>
          <w:rFonts w:ascii="Verdana" w:cs="Verdana" w:eastAsia="Verdana" w:hAnsi="Verdana"/>
          <w:sz w:val="19"/>
          <w:szCs w:val="19"/>
        </w:rPr>
        <w:t xml:space="preserve">24. Arrears relief (Chapter 7)</w:t>
      </w:r>
      <w:r>
        <w:rPr>
          <w:rFonts w:ascii="Verdana" w:cs="Verdana" w:eastAsia="Verdana" w:hAnsi="Verdana"/>
          <w:sz w:val="19"/>
          <w:szCs w:val="19"/>
        </w:rPr>
        <w:t xml:space="preserve">	36</w:t>
      </w:r>
    </w:p>
    <w:p>
      <w:pPr>
        <w:tabs>
          <w:tab w:val="right" w:pos="9638" w:leader="dot"/>
        </w:tabs>
        <w:spacing w:after="20"/>
        <w:ind w:left="300" w:right="0"/>
      </w:pPr>
      <w:r>
        <w:rPr>
          <w:rFonts w:ascii="Verdana" w:cs="Verdana" w:eastAsia="Verdana" w:hAnsi="Verdana"/>
          <w:sz w:val="19"/>
          <w:szCs w:val="19"/>
        </w:rPr>
        <w:t xml:space="preserve">25. RSUs of a US parent (Chapter 7)</w:t>
      </w:r>
      <w:r>
        <w:rPr>
          <w:rFonts w:ascii="Verdana" w:cs="Verdana" w:eastAsia="Verdana" w:hAnsi="Verdana"/>
          <w:sz w:val="19"/>
          <w:szCs w:val="19"/>
        </w:rPr>
        <w:t xml:space="preserve">	37</w:t>
      </w:r>
    </w:p>
    <w:p>
      <w:pPr>
        <w:tabs>
          <w:tab w:val="right" w:pos="9638" w:leader="dot"/>
        </w:tabs>
        <w:spacing w:after="20"/>
        <w:ind w:left="300" w:right="0"/>
      </w:pPr>
      <w:r>
        <w:rPr>
          <w:rFonts w:ascii="Verdana" w:cs="Verdana" w:eastAsia="Verdana" w:hAnsi="Verdana"/>
          <w:sz w:val="19"/>
          <w:szCs w:val="19"/>
        </w:rPr>
        <w:t xml:space="preserve">26. Let out flat (Chapter 8)</w:t>
      </w:r>
      <w:r>
        <w:rPr>
          <w:rFonts w:ascii="Verdana" w:cs="Verdana" w:eastAsia="Verdana" w:hAnsi="Verdana"/>
          <w:sz w:val="19"/>
          <w:szCs w:val="19"/>
        </w:rPr>
        <w:t xml:space="preserve">	38</w:t>
      </w:r>
    </w:p>
    <w:p>
      <w:pPr>
        <w:tabs>
          <w:tab w:val="right" w:pos="9638" w:leader="dot"/>
        </w:tabs>
        <w:spacing w:after="20"/>
        <w:ind w:left="300" w:right="0"/>
      </w:pPr>
      <w:r>
        <w:rPr>
          <w:rFonts w:ascii="Verdana" w:cs="Verdana" w:eastAsia="Verdana" w:hAnsi="Verdana"/>
          <w:sz w:val="19"/>
          <w:szCs w:val="19"/>
        </w:rPr>
        <w:t xml:space="preserve">27. Arrears (Chapter 8)</w:t>
      </w:r>
      <w:r>
        <w:rPr>
          <w:rFonts w:ascii="Verdana" w:cs="Verdana" w:eastAsia="Verdana" w:hAnsi="Verdana"/>
          <w:sz w:val="19"/>
          <w:szCs w:val="19"/>
        </w:rPr>
        <w:t xml:space="preserve">	39</w:t>
      </w:r>
    </w:p>
    <w:p>
      <w:pPr>
        <w:tabs>
          <w:tab w:val="right" w:pos="9638" w:leader="dot"/>
        </w:tabs>
        <w:spacing w:after="20"/>
        <w:ind w:left="300" w:right="0"/>
      </w:pPr>
      <w:r>
        <w:rPr>
          <w:rFonts w:ascii="Verdana" w:cs="Verdana" w:eastAsia="Verdana" w:hAnsi="Verdana"/>
          <w:sz w:val="19"/>
          <w:szCs w:val="19"/>
        </w:rPr>
        <w:t xml:space="preserve">28. Vacancy (Chapter 8)</w:t>
      </w:r>
      <w:r>
        <w:rPr>
          <w:rFonts w:ascii="Verdana" w:cs="Verdana" w:eastAsia="Verdana" w:hAnsi="Verdana"/>
          <w:sz w:val="19"/>
          <w:szCs w:val="19"/>
        </w:rPr>
        <w:t xml:space="preserve">	40</w:t>
      </w:r>
    </w:p>
    <w:p>
      <w:pPr>
        <w:tabs>
          <w:tab w:val="right" w:pos="9638" w:leader="dot"/>
        </w:tabs>
        <w:spacing w:after="20"/>
        <w:ind w:left="300" w:right="0"/>
      </w:pPr>
      <w:r>
        <w:rPr>
          <w:rFonts w:ascii="Verdana" w:cs="Verdana" w:eastAsia="Verdana" w:hAnsi="Verdana"/>
          <w:sz w:val="19"/>
          <w:szCs w:val="19"/>
        </w:rPr>
        <w:t xml:space="preserve">29. Pre-construction interest (Chapter 8)</w:t>
      </w:r>
      <w:r>
        <w:rPr>
          <w:rFonts w:ascii="Verdana" w:cs="Verdana" w:eastAsia="Verdana" w:hAnsi="Verdana"/>
          <w:sz w:val="19"/>
          <w:szCs w:val="19"/>
        </w:rPr>
        <w:t xml:space="preserve">	40</w:t>
      </w:r>
    </w:p>
    <w:p>
      <w:pPr>
        <w:tabs>
          <w:tab w:val="right" w:pos="9638" w:leader="dot"/>
        </w:tabs>
        <w:spacing w:after="20"/>
        <w:ind w:left="300" w:right="0"/>
      </w:pPr>
      <w:r>
        <w:rPr>
          <w:rFonts w:ascii="Verdana" w:cs="Verdana" w:eastAsia="Verdana" w:hAnsi="Verdana"/>
          <w:sz w:val="19"/>
          <w:szCs w:val="19"/>
        </w:rPr>
        <w:t xml:space="preserve">30. Benefit from business (Chapter 9)</w:t>
      </w:r>
      <w:r>
        <w:rPr>
          <w:rFonts w:ascii="Verdana" w:cs="Verdana" w:eastAsia="Verdana" w:hAnsi="Verdana"/>
          <w:sz w:val="19"/>
          <w:szCs w:val="19"/>
        </w:rPr>
        <w:t xml:space="preserve">	43</w:t>
      </w:r>
    </w:p>
    <w:p>
      <w:pPr>
        <w:tabs>
          <w:tab w:val="right" w:pos="9638" w:leader="dot"/>
        </w:tabs>
        <w:spacing w:after="20"/>
        <w:ind w:left="300" w:right="0"/>
      </w:pPr>
      <w:r>
        <w:rPr>
          <w:rFonts w:ascii="Verdana" w:cs="Verdana" w:eastAsia="Verdana" w:hAnsi="Verdana"/>
          <w:sz w:val="19"/>
          <w:szCs w:val="19"/>
        </w:rPr>
        <w:t xml:space="preserve">31. Sharma Traders Pvt. Ltd., Tax Year 2026-27 (Chapter 9)</w:t>
      </w:r>
      <w:r>
        <w:rPr>
          <w:rFonts w:ascii="Verdana" w:cs="Verdana" w:eastAsia="Verdana" w:hAnsi="Verdana"/>
          <w:sz w:val="19"/>
          <w:szCs w:val="19"/>
        </w:rPr>
        <w:t xml:space="preserve">	43</w:t>
      </w:r>
    </w:p>
    <w:p>
      <w:pPr>
        <w:tabs>
          <w:tab w:val="right" w:pos="9638" w:leader="dot"/>
        </w:tabs>
        <w:spacing w:after="20"/>
        <w:ind w:left="300" w:right="0"/>
      </w:pPr>
      <w:r>
        <w:rPr>
          <w:rFonts w:ascii="Verdana" w:cs="Verdana" w:eastAsia="Verdana" w:hAnsi="Verdana"/>
          <w:sz w:val="19"/>
          <w:szCs w:val="19"/>
        </w:rPr>
        <w:t xml:space="preserve">32. Capital or revenue? (Chapter 9)</w:t>
      </w:r>
      <w:r>
        <w:rPr>
          <w:rFonts w:ascii="Verdana" w:cs="Verdana" w:eastAsia="Verdana" w:hAnsi="Verdana"/>
          <w:sz w:val="19"/>
          <w:szCs w:val="19"/>
        </w:rPr>
        <w:t xml:space="preserve">	44</w:t>
      </w:r>
    </w:p>
    <w:p>
      <w:pPr>
        <w:tabs>
          <w:tab w:val="right" w:pos="9638" w:leader="dot"/>
        </w:tabs>
        <w:spacing w:after="20"/>
        <w:ind w:left="300" w:right="0"/>
      </w:pPr>
      <w:r>
        <w:rPr>
          <w:rFonts w:ascii="Verdana" w:cs="Verdana" w:eastAsia="Verdana" w:hAnsi="Verdana"/>
          <w:sz w:val="19"/>
          <w:szCs w:val="19"/>
        </w:rPr>
        <w:t xml:space="preserve">33. Professional fees without TDS (Chapter 9)</w:t>
      </w:r>
      <w:r>
        <w:rPr>
          <w:rFonts w:ascii="Verdana" w:cs="Verdana" w:eastAsia="Verdana" w:hAnsi="Verdana"/>
          <w:sz w:val="19"/>
          <w:szCs w:val="19"/>
        </w:rPr>
        <w:t xml:space="preserve">	44</w:t>
      </w:r>
    </w:p>
    <w:p>
      <w:pPr>
        <w:tabs>
          <w:tab w:val="right" w:pos="9638" w:leader="dot"/>
        </w:tabs>
        <w:spacing w:after="20"/>
        <w:ind w:left="300" w:right="0"/>
      </w:pPr>
      <w:r>
        <w:rPr>
          <w:rFonts w:ascii="Verdana" w:cs="Verdana" w:eastAsia="Verdana" w:hAnsi="Verdana"/>
          <w:sz w:val="19"/>
          <w:szCs w:val="19"/>
        </w:rPr>
        <w:t xml:space="preserve">34. Partner remuneration (Chapter 9)</w:t>
      </w:r>
      <w:r>
        <w:rPr>
          <w:rFonts w:ascii="Verdana" w:cs="Verdana" w:eastAsia="Verdana" w:hAnsi="Verdana"/>
          <w:sz w:val="19"/>
          <w:szCs w:val="19"/>
        </w:rPr>
        <w:t xml:space="preserve">	45</w:t>
      </w:r>
    </w:p>
    <w:p>
      <w:pPr>
        <w:tabs>
          <w:tab w:val="right" w:pos="9638" w:leader="dot"/>
        </w:tabs>
        <w:spacing w:after="20"/>
        <w:ind w:left="300" w:right="0"/>
      </w:pPr>
      <w:r>
        <w:rPr>
          <w:rFonts w:ascii="Verdana" w:cs="Verdana" w:eastAsia="Verdana" w:hAnsi="Verdana"/>
          <w:sz w:val="19"/>
          <w:szCs w:val="19"/>
        </w:rPr>
        <w:t xml:space="preserve">35. Cash purchase (Chapter 9)</w:t>
      </w:r>
      <w:r>
        <w:rPr>
          <w:rFonts w:ascii="Verdana" w:cs="Verdana" w:eastAsia="Verdana" w:hAnsi="Verdana"/>
          <w:sz w:val="19"/>
          <w:szCs w:val="19"/>
        </w:rPr>
        <w:t xml:space="preserve">	45</w:t>
      </w:r>
    </w:p>
    <w:p>
      <w:pPr>
        <w:tabs>
          <w:tab w:val="right" w:pos="9638" w:leader="dot"/>
        </w:tabs>
        <w:spacing w:after="20"/>
        <w:ind w:left="300" w:right="0"/>
      </w:pPr>
      <w:r>
        <w:rPr>
          <w:rFonts w:ascii="Verdana" w:cs="Verdana" w:eastAsia="Verdana" w:hAnsi="Verdana"/>
          <w:sz w:val="19"/>
          <w:szCs w:val="19"/>
        </w:rPr>
        <w:t xml:space="preserve">36. MSME supplier (Chapter 9)</w:t>
      </w:r>
      <w:r>
        <w:rPr>
          <w:rFonts w:ascii="Verdana" w:cs="Verdana" w:eastAsia="Verdana" w:hAnsi="Verdana"/>
          <w:sz w:val="19"/>
          <w:szCs w:val="19"/>
        </w:rPr>
        <w:t xml:space="preserve">	46</w:t>
      </w:r>
    </w:p>
    <w:p>
      <w:pPr>
        <w:tabs>
          <w:tab w:val="right" w:pos="9638" w:leader="dot"/>
        </w:tabs>
        <w:spacing w:after="20"/>
        <w:ind w:left="300" w:right="0"/>
      </w:pPr>
      <w:r>
        <w:rPr>
          <w:rFonts w:ascii="Verdana" w:cs="Verdana" w:eastAsia="Verdana" w:hAnsi="Verdana"/>
          <w:sz w:val="19"/>
          <w:szCs w:val="19"/>
        </w:rPr>
        <w:t xml:space="preserve">37. Liability written back (Chapter 9)</w:t>
      </w:r>
      <w:r>
        <w:rPr>
          <w:rFonts w:ascii="Verdana" w:cs="Verdana" w:eastAsia="Verdana" w:hAnsi="Verdana"/>
          <w:sz w:val="19"/>
          <w:szCs w:val="19"/>
        </w:rPr>
        <w:t xml:space="preserve">	46</w:t>
      </w:r>
    </w:p>
    <w:p>
      <w:pPr>
        <w:tabs>
          <w:tab w:val="right" w:pos="9638" w:leader="dot"/>
        </w:tabs>
        <w:spacing w:after="20"/>
        <w:ind w:left="300" w:right="0"/>
      </w:pPr>
      <w:r>
        <w:rPr>
          <w:rFonts w:ascii="Verdana" w:cs="Verdana" w:eastAsia="Verdana" w:hAnsi="Verdana"/>
          <w:sz w:val="19"/>
          <w:szCs w:val="19"/>
        </w:rPr>
        <w:t xml:space="preserve">38. Half rate (Chapter 9)</w:t>
      </w:r>
      <w:r>
        <w:rPr>
          <w:rFonts w:ascii="Verdana" w:cs="Verdana" w:eastAsia="Verdana" w:hAnsi="Verdana"/>
          <w:sz w:val="19"/>
          <w:szCs w:val="19"/>
        </w:rPr>
        <w:t xml:space="preserve">	47</w:t>
      </w:r>
    </w:p>
    <w:p>
      <w:pPr>
        <w:tabs>
          <w:tab w:val="right" w:pos="9638" w:leader="dot"/>
        </w:tabs>
        <w:spacing w:after="20"/>
        <w:ind w:left="300" w:right="0"/>
      </w:pPr>
      <w:r>
        <w:rPr>
          <w:rFonts w:ascii="Verdana" w:cs="Verdana" w:eastAsia="Verdana" w:hAnsi="Verdana"/>
          <w:sz w:val="19"/>
          <w:szCs w:val="19"/>
        </w:rPr>
        <w:t xml:space="preserve">39. Preliminary expenses (Chapter 9)</w:t>
      </w:r>
      <w:r>
        <w:rPr>
          <w:rFonts w:ascii="Verdana" w:cs="Verdana" w:eastAsia="Verdana" w:hAnsi="Verdana"/>
          <w:sz w:val="19"/>
          <w:szCs w:val="19"/>
        </w:rPr>
        <w:t xml:space="preserve">	48</w:t>
      </w:r>
    </w:p>
    <w:p>
      <w:pPr>
        <w:tabs>
          <w:tab w:val="right" w:pos="9638" w:leader="dot"/>
        </w:tabs>
        <w:spacing w:after="20"/>
        <w:ind w:left="300" w:right="0"/>
      </w:pPr>
      <w:r>
        <w:rPr>
          <w:rFonts w:ascii="Verdana" w:cs="Verdana" w:eastAsia="Verdana" w:hAnsi="Verdana"/>
          <w:sz w:val="19"/>
          <w:szCs w:val="19"/>
        </w:rPr>
        <w:t xml:space="preserve">40. Builder sale (Chapter 9)</w:t>
      </w:r>
      <w:r>
        <w:rPr>
          <w:rFonts w:ascii="Verdana" w:cs="Verdana" w:eastAsia="Verdana" w:hAnsi="Verdana"/>
          <w:sz w:val="19"/>
          <w:szCs w:val="19"/>
        </w:rPr>
        <w:t xml:space="preserve">	48</w:t>
      </w:r>
    </w:p>
    <w:p>
      <w:pPr>
        <w:tabs>
          <w:tab w:val="right" w:pos="9638" w:leader="dot"/>
        </w:tabs>
        <w:spacing w:after="20"/>
        <w:ind w:left="300" w:right="0"/>
      </w:pPr>
      <w:r>
        <w:rPr>
          <w:rFonts w:ascii="Verdana" w:cs="Verdana" w:eastAsia="Verdana" w:hAnsi="Verdana"/>
          <w:sz w:val="19"/>
          <w:szCs w:val="19"/>
        </w:rPr>
        <w:t xml:space="preserve">41. F&amp;O turnover (Chapter 9)</w:t>
      </w:r>
      <w:r>
        <w:rPr>
          <w:rFonts w:ascii="Verdana" w:cs="Verdana" w:eastAsia="Verdana" w:hAnsi="Verdana"/>
          <w:sz w:val="19"/>
          <w:szCs w:val="19"/>
        </w:rPr>
        <w:t xml:space="preserve">	48</w:t>
      </w:r>
    </w:p>
    <w:p>
      <w:pPr>
        <w:tabs>
          <w:tab w:val="right" w:pos="9638" w:leader="dot"/>
        </w:tabs>
        <w:spacing w:after="20"/>
        <w:ind w:left="300" w:right="0"/>
      </w:pPr>
      <w:r>
        <w:rPr>
          <w:rFonts w:ascii="Verdana" w:cs="Verdana" w:eastAsia="Verdana" w:hAnsi="Verdana"/>
          <w:sz w:val="19"/>
          <w:szCs w:val="19"/>
        </w:rPr>
        <w:t xml:space="preserve">42. Kirana trader (Chapter 9)</w:t>
      </w:r>
      <w:r>
        <w:rPr>
          <w:rFonts w:ascii="Verdana" w:cs="Verdana" w:eastAsia="Verdana" w:hAnsi="Verdana"/>
          <w:sz w:val="19"/>
          <w:szCs w:val="19"/>
        </w:rPr>
        <w:t xml:space="preserve">	49</w:t>
      </w:r>
    </w:p>
    <w:p>
      <w:pPr>
        <w:tabs>
          <w:tab w:val="right" w:pos="9638" w:leader="dot"/>
        </w:tabs>
        <w:spacing w:after="20"/>
        <w:ind w:left="300" w:right="0"/>
      </w:pPr>
      <w:r>
        <w:rPr>
          <w:rFonts w:ascii="Verdana" w:cs="Verdana" w:eastAsia="Verdana" w:hAnsi="Verdana"/>
          <w:sz w:val="19"/>
          <w:szCs w:val="19"/>
        </w:rPr>
        <w:t xml:space="preserve">43. Doctor (Chapter 9)</w:t>
      </w:r>
      <w:r>
        <w:rPr>
          <w:rFonts w:ascii="Verdana" w:cs="Verdana" w:eastAsia="Verdana" w:hAnsi="Verdana"/>
          <w:sz w:val="19"/>
          <w:szCs w:val="19"/>
        </w:rPr>
        <w:t xml:space="preserve">	49</w:t>
      </w:r>
    </w:p>
    <w:p>
      <w:pPr>
        <w:tabs>
          <w:tab w:val="right" w:pos="9638" w:leader="dot"/>
        </w:tabs>
        <w:spacing w:after="20"/>
        <w:ind w:left="300" w:right="0"/>
      </w:pPr>
      <w:r>
        <w:rPr>
          <w:rFonts w:ascii="Verdana" w:cs="Verdana" w:eastAsia="Verdana" w:hAnsi="Verdana"/>
          <w:sz w:val="19"/>
          <w:szCs w:val="19"/>
        </w:rPr>
        <w:t xml:space="preserve">44. Software and website costs (Chapter 9)</w:t>
      </w:r>
      <w:r>
        <w:rPr>
          <w:rFonts w:ascii="Verdana" w:cs="Verdana" w:eastAsia="Verdana" w:hAnsi="Verdana"/>
          <w:sz w:val="19"/>
          <w:szCs w:val="19"/>
        </w:rPr>
        <w:t xml:space="preserve">	50</w:t>
      </w:r>
    </w:p>
    <w:p>
      <w:pPr>
        <w:tabs>
          <w:tab w:val="right" w:pos="9638" w:leader="dot"/>
        </w:tabs>
        <w:spacing w:after="20"/>
        <w:ind w:left="300" w:right="0"/>
      </w:pPr>
      <w:r>
        <w:rPr>
          <w:rFonts w:ascii="Verdana" w:cs="Verdana" w:eastAsia="Verdana" w:hAnsi="Verdana"/>
          <w:sz w:val="19"/>
          <w:szCs w:val="19"/>
        </w:rPr>
        <w:t xml:space="preserve">45. Capitalisation of interest (Chapter 9)</w:t>
      </w:r>
      <w:r>
        <w:rPr>
          <w:rFonts w:ascii="Verdana" w:cs="Verdana" w:eastAsia="Verdana" w:hAnsi="Verdana"/>
          <w:sz w:val="19"/>
          <w:szCs w:val="19"/>
        </w:rPr>
        <w:t xml:space="preserve">	51</w:t>
      </w:r>
    </w:p>
    <w:p>
      <w:pPr>
        <w:tabs>
          <w:tab w:val="right" w:pos="9638" w:leader="dot"/>
        </w:tabs>
        <w:spacing w:after="20"/>
        <w:ind w:left="300" w:right="0"/>
      </w:pPr>
      <w:r>
        <w:rPr>
          <w:rFonts w:ascii="Verdana" w:cs="Verdana" w:eastAsia="Verdana" w:hAnsi="Verdana"/>
          <w:sz w:val="19"/>
          <w:szCs w:val="19"/>
        </w:rPr>
        <w:t xml:space="preserve">46. Salary to a relative (Chapter 9)</w:t>
      </w:r>
      <w:r>
        <w:rPr>
          <w:rFonts w:ascii="Verdana" w:cs="Verdana" w:eastAsia="Verdana" w:hAnsi="Verdana"/>
          <w:sz w:val="19"/>
          <w:szCs w:val="19"/>
        </w:rPr>
        <w:t xml:space="preserve">	52</w:t>
      </w:r>
    </w:p>
    <w:p>
      <w:pPr>
        <w:tabs>
          <w:tab w:val="right" w:pos="9638" w:leader="dot"/>
        </w:tabs>
        <w:spacing w:after="20"/>
        <w:ind w:left="300" w:right="0"/>
      </w:pPr>
      <w:r>
        <w:rPr>
          <w:rFonts w:ascii="Verdana" w:cs="Verdana" w:eastAsia="Verdana" w:hAnsi="Verdana"/>
          <w:sz w:val="19"/>
          <w:szCs w:val="19"/>
        </w:rPr>
        <w:t xml:space="preserve">47. Bonus timing (Chapter 9)</w:t>
      </w:r>
      <w:r>
        <w:rPr>
          <w:rFonts w:ascii="Verdana" w:cs="Verdana" w:eastAsia="Verdana" w:hAnsi="Verdana"/>
          <w:sz w:val="19"/>
          <w:szCs w:val="19"/>
        </w:rPr>
        <w:t xml:space="preserve">	52</w:t>
      </w:r>
    </w:p>
    <w:p>
      <w:pPr>
        <w:tabs>
          <w:tab w:val="right" w:pos="9638" w:leader="dot"/>
        </w:tabs>
        <w:spacing w:after="20"/>
        <w:ind w:left="300" w:right="0"/>
      </w:pPr>
      <w:r>
        <w:rPr>
          <w:rFonts w:ascii="Verdana" w:cs="Verdana" w:eastAsia="Verdana" w:hAnsi="Verdana"/>
          <w:sz w:val="19"/>
          <w:szCs w:val="19"/>
        </w:rPr>
        <w:t xml:space="preserve">48. Block of computers (Chapter 9)</w:t>
      </w:r>
      <w:r>
        <w:rPr>
          <w:rFonts w:ascii="Verdana" w:cs="Verdana" w:eastAsia="Verdana" w:hAnsi="Verdana"/>
          <w:sz w:val="19"/>
          <w:szCs w:val="19"/>
        </w:rPr>
        <w:t xml:space="preserve">	53</w:t>
      </w:r>
    </w:p>
    <w:p>
      <w:pPr>
        <w:tabs>
          <w:tab w:val="right" w:pos="9638" w:leader="dot"/>
        </w:tabs>
        <w:spacing w:after="20"/>
        <w:ind w:left="300" w:right="0"/>
      </w:pPr>
      <w:r>
        <w:rPr>
          <w:rFonts w:ascii="Verdana" w:cs="Verdana" w:eastAsia="Verdana" w:hAnsi="Verdana"/>
          <w:sz w:val="19"/>
          <w:szCs w:val="19"/>
        </w:rPr>
        <w:t xml:space="preserve">49. Opting out of the business scheme (Chapter 9)</w:t>
      </w:r>
      <w:r>
        <w:rPr>
          <w:rFonts w:ascii="Verdana" w:cs="Verdana" w:eastAsia="Verdana" w:hAnsi="Verdana"/>
          <w:sz w:val="19"/>
          <w:szCs w:val="19"/>
        </w:rPr>
        <w:t xml:space="preserve">	53</w:t>
      </w:r>
    </w:p>
    <w:p>
      <w:pPr>
        <w:tabs>
          <w:tab w:val="right" w:pos="9638" w:leader="dot"/>
        </w:tabs>
        <w:spacing w:after="20"/>
        <w:ind w:left="300" w:right="0"/>
      </w:pPr>
      <w:r>
        <w:rPr>
          <w:rFonts w:ascii="Verdana" w:cs="Verdana" w:eastAsia="Verdana" w:hAnsi="Verdana"/>
          <w:sz w:val="19"/>
          <w:szCs w:val="19"/>
        </w:rPr>
        <w:t xml:space="preserve">50. Goods carriages (Chapter 9)</w:t>
      </w:r>
      <w:r>
        <w:rPr>
          <w:rFonts w:ascii="Verdana" w:cs="Verdana" w:eastAsia="Verdana" w:hAnsi="Verdana"/>
          <w:sz w:val="19"/>
          <w:szCs w:val="19"/>
        </w:rPr>
        <w:t xml:space="preserve">	53</w:t>
      </w:r>
    </w:p>
    <w:p>
      <w:pPr>
        <w:tabs>
          <w:tab w:val="right" w:pos="9638" w:leader="dot"/>
        </w:tabs>
        <w:spacing w:after="20"/>
        <w:ind w:left="300" w:right="0"/>
      </w:pPr>
      <w:r>
        <w:rPr>
          <w:rFonts w:ascii="Verdana" w:cs="Verdana" w:eastAsia="Verdana" w:hAnsi="Verdana"/>
          <w:sz w:val="19"/>
          <w:szCs w:val="19"/>
        </w:rPr>
        <w:t xml:space="preserve">51. VDA (Chapter 9)</w:t>
      </w:r>
      <w:r>
        <w:rPr>
          <w:rFonts w:ascii="Verdana" w:cs="Verdana" w:eastAsia="Verdana" w:hAnsi="Verdana"/>
          <w:sz w:val="19"/>
          <w:szCs w:val="19"/>
        </w:rPr>
        <w:t xml:space="preserve">	55</w:t>
      </w:r>
    </w:p>
    <w:p>
      <w:pPr>
        <w:tabs>
          <w:tab w:val="right" w:pos="9638" w:leader="dot"/>
        </w:tabs>
        <w:spacing w:after="20"/>
        <w:ind w:left="300" w:right="0"/>
      </w:pPr>
      <w:r>
        <w:rPr>
          <w:rFonts w:ascii="Verdana" w:cs="Verdana" w:eastAsia="Verdana" w:hAnsi="Verdana"/>
          <w:sz w:val="19"/>
          <w:szCs w:val="19"/>
        </w:rPr>
        <w:t xml:space="preserve">52. Content creator (Chapter 9)</w:t>
      </w:r>
      <w:r>
        <w:rPr>
          <w:rFonts w:ascii="Verdana" w:cs="Verdana" w:eastAsia="Verdana" w:hAnsi="Verdana"/>
          <w:sz w:val="19"/>
          <w:szCs w:val="19"/>
        </w:rPr>
        <w:t xml:space="preserve">	55</w:t>
      </w:r>
    </w:p>
    <w:p>
      <w:pPr>
        <w:tabs>
          <w:tab w:val="right" w:pos="9638" w:leader="dot"/>
        </w:tabs>
        <w:spacing w:after="20"/>
        <w:ind w:left="300" w:right="0"/>
      </w:pPr>
      <w:r>
        <w:rPr>
          <w:rFonts w:ascii="Verdana" w:cs="Verdana" w:eastAsia="Verdana" w:hAnsi="Verdana"/>
          <w:sz w:val="19"/>
          <w:szCs w:val="19"/>
        </w:rPr>
        <w:t xml:space="preserve">53. Percentage of completion (Chapter 9)</w:t>
      </w:r>
      <w:r>
        <w:rPr>
          <w:rFonts w:ascii="Verdana" w:cs="Verdana" w:eastAsia="Verdana" w:hAnsi="Verdana"/>
          <w:sz w:val="19"/>
          <w:szCs w:val="19"/>
        </w:rPr>
        <w:t xml:space="preserve">	56</w:t>
      </w:r>
    </w:p>
    <w:p>
      <w:pPr>
        <w:tabs>
          <w:tab w:val="right" w:pos="9638" w:leader="dot"/>
        </w:tabs>
        <w:spacing w:after="20"/>
        <w:ind w:left="300" w:right="0"/>
      </w:pPr>
      <w:r>
        <w:rPr>
          <w:rFonts w:ascii="Verdana" w:cs="Verdana" w:eastAsia="Verdana" w:hAnsi="Verdana"/>
          <w:sz w:val="19"/>
          <w:szCs w:val="19"/>
        </w:rPr>
        <w:t xml:space="preserve">54. Interest on NPA (Chapter 9)</w:t>
      </w:r>
      <w:r>
        <w:rPr>
          <w:rFonts w:ascii="Verdana" w:cs="Verdana" w:eastAsia="Verdana" w:hAnsi="Verdana"/>
          <w:sz w:val="19"/>
          <w:szCs w:val="19"/>
        </w:rPr>
        <w:t xml:space="preserve">	56</w:t>
      </w:r>
    </w:p>
    <w:p>
      <w:pPr>
        <w:tabs>
          <w:tab w:val="right" w:pos="9638" w:leader="dot"/>
        </w:tabs>
        <w:spacing w:after="20"/>
        <w:ind w:left="300" w:right="0"/>
      </w:pPr>
      <w:r>
        <w:rPr>
          <w:rFonts w:ascii="Verdana" w:cs="Verdana" w:eastAsia="Verdana" w:hAnsi="Verdana"/>
          <w:sz w:val="19"/>
          <w:szCs w:val="19"/>
        </w:rPr>
        <w:t xml:space="preserve">55. Share portfolio (Chapter 10)</w:t>
      </w:r>
      <w:r>
        <w:rPr>
          <w:rFonts w:ascii="Verdana" w:cs="Verdana" w:eastAsia="Verdana" w:hAnsi="Verdana"/>
          <w:sz w:val="19"/>
          <w:szCs w:val="19"/>
        </w:rPr>
        <w:t xml:space="preserve">	57</w:t>
      </w:r>
    </w:p>
    <w:p>
      <w:pPr>
        <w:tabs>
          <w:tab w:val="right" w:pos="9638" w:leader="dot"/>
        </w:tabs>
        <w:spacing w:after="20"/>
        <w:ind w:left="300" w:right="0"/>
      </w:pPr>
      <w:r>
        <w:rPr>
          <w:rFonts w:ascii="Verdana" w:cs="Verdana" w:eastAsia="Verdana" w:hAnsi="Verdana"/>
          <w:sz w:val="19"/>
          <w:szCs w:val="19"/>
        </w:rPr>
        <w:t xml:space="preserve">56. Unlisted shares (Chapter 10)</w:t>
      </w:r>
      <w:r>
        <w:rPr>
          <w:rFonts w:ascii="Verdana" w:cs="Verdana" w:eastAsia="Verdana" w:hAnsi="Verdana"/>
          <w:sz w:val="19"/>
          <w:szCs w:val="19"/>
        </w:rPr>
        <w:t xml:space="preserve">	58</w:t>
      </w:r>
    </w:p>
    <w:p>
      <w:pPr>
        <w:tabs>
          <w:tab w:val="right" w:pos="9638" w:leader="dot"/>
        </w:tabs>
        <w:spacing w:after="20"/>
        <w:ind w:left="300" w:right="0"/>
      </w:pPr>
      <w:r>
        <w:rPr>
          <w:rFonts w:ascii="Verdana" w:cs="Verdana" w:eastAsia="Verdana" w:hAnsi="Verdana"/>
          <w:sz w:val="19"/>
          <w:szCs w:val="19"/>
        </w:rPr>
        <w:t xml:space="preserve">57. Sale of flat with reinvestment (Chapter 10)</w:t>
      </w:r>
      <w:r>
        <w:rPr>
          <w:rFonts w:ascii="Verdana" w:cs="Verdana" w:eastAsia="Verdana" w:hAnsi="Verdana"/>
          <w:sz w:val="19"/>
          <w:szCs w:val="19"/>
        </w:rPr>
        <w:t xml:space="preserve">	58</w:t>
      </w:r>
    </w:p>
    <w:p>
      <w:pPr>
        <w:tabs>
          <w:tab w:val="right" w:pos="9638" w:leader="dot"/>
        </w:tabs>
        <w:spacing w:after="20"/>
        <w:ind w:left="300" w:right="0"/>
      </w:pPr>
      <w:r>
        <w:rPr>
          <w:rFonts w:ascii="Verdana" w:cs="Verdana" w:eastAsia="Verdana" w:hAnsi="Verdana"/>
          <w:sz w:val="19"/>
          <w:szCs w:val="19"/>
        </w:rPr>
        <w:t xml:space="preserve">58. Buyback (Chapter 10)</w:t>
      </w:r>
      <w:r>
        <w:rPr>
          <w:rFonts w:ascii="Verdana" w:cs="Verdana" w:eastAsia="Verdana" w:hAnsi="Verdana"/>
          <w:sz w:val="19"/>
          <w:szCs w:val="19"/>
        </w:rPr>
        <w:t xml:space="preserve">	59</w:t>
      </w:r>
    </w:p>
    <w:p>
      <w:pPr>
        <w:tabs>
          <w:tab w:val="right" w:pos="9638" w:leader="dot"/>
        </w:tabs>
        <w:spacing w:after="20"/>
        <w:ind w:left="300" w:right="0"/>
      </w:pPr>
      <w:r>
        <w:rPr>
          <w:rFonts w:ascii="Verdana" w:cs="Verdana" w:eastAsia="Verdana" w:hAnsi="Verdana"/>
          <w:sz w:val="19"/>
          <w:szCs w:val="19"/>
        </w:rPr>
        <w:t xml:space="preserve">59. Agricultural land (Chapter 10)</w:t>
      </w:r>
      <w:r>
        <w:rPr>
          <w:rFonts w:ascii="Verdana" w:cs="Verdana" w:eastAsia="Verdana" w:hAnsi="Verdana"/>
          <w:sz w:val="19"/>
          <w:szCs w:val="19"/>
        </w:rPr>
        <w:t xml:space="preserve">	59</w:t>
      </w:r>
    </w:p>
    <w:p>
      <w:pPr>
        <w:tabs>
          <w:tab w:val="right" w:pos="9638" w:leader="dot"/>
        </w:tabs>
        <w:spacing w:after="20"/>
        <w:ind w:left="300" w:right="0"/>
      </w:pPr>
      <w:r>
        <w:rPr>
          <w:rFonts w:ascii="Verdana" w:cs="Verdana" w:eastAsia="Verdana" w:hAnsi="Verdana"/>
          <w:sz w:val="19"/>
          <w:szCs w:val="19"/>
        </w:rPr>
        <w:t xml:space="preserve">60. Joint development (Chapter 10)</w:t>
      </w:r>
      <w:r>
        <w:rPr>
          <w:rFonts w:ascii="Verdana" w:cs="Verdana" w:eastAsia="Verdana" w:hAnsi="Verdana"/>
          <w:sz w:val="19"/>
          <w:szCs w:val="19"/>
        </w:rPr>
        <w:t xml:space="preserve">	60</w:t>
      </w:r>
    </w:p>
    <w:p>
      <w:pPr>
        <w:tabs>
          <w:tab w:val="right" w:pos="9638" w:leader="dot"/>
        </w:tabs>
        <w:spacing w:after="20"/>
        <w:ind w:left="300" w:right="0"/>
      </w:pPr>
      <w:r>
        <w:rPr>
          <w:rFonts w:ascii="Verdana" w:cs="Verdana" w:eastAsia="Verdana" w:hAnsi="Verdana"/>
          <w:sz w:val="19"/>
          <w:szCs w:val="19"/>
        </w:rPr>
        <w:t xml:space="preserve">61. Grandfathering of listed shares (Chapter 10)</w:t>
      </w:r>
      <w:r>
        <w:rPr>
          <w:rFonts w:ascii="Verdana" w:cs="Verdana" w:eastAsia="Verdana" w:hAnsi="Verdana"/>
          <w:sz w:val="19"/>
          <w:szCs w:val="19"/>
        </w:rPr>
        <w:t xml:space="preserve">	61</w:t>
      </w:r>
    </w:p>
    <w:p>
      <w:pPr>
        <w:tabs>
          <w:tab w:val="right" w:pos="9638" w:leader="dot"/>
        </w:tabs>
        <w:spacing w:after="20"/>
        <w:ind w:left="300" w:right="0"/>
      </w:pPr>
      <w:r>
        <w:rPr>
          <w:rFonts w:ascii="Verdana" w:cs="Verdana" w:eastAsia="Verdana" w:hAnsi="Verdana"/>
          <w:sz w:val="19"/>
          <w:szCs w:val="19"/>
        </w:rPr>
        <w:t xml:space="preserve">62. Indexation comparison (Chapter 10)</w:t>
      </w:r>
      <w:r>
        <w:rPr>
          <w:rFonts w:ascii="Verdana" w:cs="Verdana" w:eastAsia="Verdana" w:hAnsi="Verdana"/>
          <w:sz w:val="19"/>
          <w:szCs w:val="19"/>
        </w:rPr>
        <w:t xml:space="preserve">	62</w:t>
      </w:r>
    </w:p>
    <w:p>
      <w:pPr>
        <w:tabs>
          <w:tab w:val="right" w:pos="9638" w:leader="dot"/>
        </w:tabs>
        <w:spacing w:after="20"/>
        <w:ind w:left="300" w:right="0"/>
      </w:pPr>
      <w:r>
        <w:rPr>
          <w:rFonts w:ascii="Verdana" w:cs="Verdana" w:eastAsia="Verdana" w:hAnsi="Verdana"/>
          <w:sz w:val="19"/>
          <w:szCs w:val="19"/>
        </w:rPr>
        <w:t xml:space="preserve">63. Section 86 (Chapter 10)</w:t>
      </w:r>
      <w:r>
        <w:rPr>
          <w:rFonts w:ascii="Verdana" w:cs="Verdana" w:eastAsia="Verdana" w:hAnsi="Verdana"/>
          <w:sz w:val="19"/>
          <w:szCs w:val="19"/>
        </w:rPr>
        <w:t xml:space="preserve">	62</w:t>
      </w:r>
    </w:p>
    <w:p>
      <w:pPr>
        <w:tabs>
          <w:tab w:val="right" w:pos="9638" w:leader="dot"/>
        </w:tabs>
        <w:spacing w:after="20"/>
        <w:ind w:left="300" w:right="0"/>
      </w:pPr>
      <w:r>
        <w:rPr>
          <w:rFonts w:ascii="Verdana" w:cs="Verdana" w:eastAsia="Verdana" w:hAnsi="Verdana"/>
          <w:sz w:val="19"/>
          <w:szCs w:val="19"/>
        </w:rPr>
        <w:t xml:space="preserve">64. Unused exemption (Chapter 10)</w:t>
      </w:r>
      <w:r>
        <w:rPr>
          <w:rFonts w:ascii="Verdana" w:cs="Verdana" w:eastAsia="Verdana" w:hAnsi="Verdana"/>
          <w:sz w:val="19"/>
          <w:szCs w:val="19"/>
        </w:rPr>
        <w:t xml:space="preserve">	63</w:t>
      </w:r>
    </w:p>
    <w:p>
      <w:pPr>
        <w:tabs>
          <w:tab w:val="right" w:pos="9638" w:leader="dot"/>
        </w:tabs>
        <w:spacing w:after="20"/>
        <w:ind w:left="300" w:right="0"/>
      </w:pPr>
      <w:r>
        <w:rPr>
          <w:rFonts w:ascii="Verdana" w:cs="Verdana" w:eastAsia="Verdana" w:hAnsi="Verdana"/>
          <w:sz w:val="19"/>
          <w:szCs w:val="19"/>
        </w:rPr>
        <w:t xml:space="preserve">65. Sale of inherited house (Chapter 10)</w:t>
      </w:r>
      <w:r>
        <w:rPr>
          <w:rFonts w:ascii="Verdana" w:cs="Verdana" w:eastAsia="Verdana" w:hAnsi="Verdana"/>
          <w:sz w:val="19"/>
          <w:szCs w:val="19"/>
        </w:rPr>
        <w:t xml:space="preserve">	64</w:t>
      </w:r>
    </w:p>
    <w:p>
      <w:pPr>
        <w:tabs>
          <w:tab w:val="right" w:pos="9638" w:leader="dot"/>
        </w:tabs>
        <w:spacing w:after="20"/>
        <w:ind w:left="300" w:right="0"/>
      </w:pPr>
      <w:r>
        <w:rPr>
          <w:rFonts w:ascii="Verdana" w:cs="Verdana" w:eastAsia="Verdana" w:hAnsi="Verdana"/>
          <w:sz w:val="19"/>
          <w:szCs w:val="19"/>
        </w:rPr>
        <w:t xml:space="preserve">66. Harvesting gains (Chapter 10)</w:t>
      </w:r>
      <w:r>
        <w:rPr>
          <w:rFonts w:ascii="Verdana" w:cs="Verdana" w:eastAsia="Verdana" w:hAnsi="Verdana"/>
          <w:sz w:val="19"/>
          <w:szCs w:val="19"/>
        </w:rPr>
        <w:t xml:space="preserve">	65</w:t>
      </w:r>
    </w:p>
    <w:p>
      <w:pPr>
        <w:tabs>
          <w:tab w:val="right" w:pos="9638" w:leader="dot"/>
        </w:tabs>
        <w:spacing w:after="20"/>
        <w:ind w:left="300" w:right="0"/>
      </w:pPr>
      <w:r>
        <w:rPr>
          <w:rFonts w:ascii="Verdana" w:cs="Verdana" w:eastAsia="Verdana" w:hAnsi="Verdana"/>
          <w:sz w:val="19"/>
          <w:szCs w:val="19"/>
        </w:rPr>
        <w:t xml:space="preserve">67. Deemed dividend (Chapter 11)</w:t>
      </w:r>
      <w:r>
        <w:rPr>
          <w:rFonts w:ascii="Verdana" w:cs="Verdana" w:eastAsia="Verdana" w:hAnsi="Verdana"/>
          <w:sz w:val="19"/>
          <w:szCs w:val="19"/>
        </w:rPr>
        <w:t xml:space="preserve">	66</w:t>
      </w:r>
    </w:p>
    <w:p>
      <w:pPr>
        <w:tabs>
          <w:tab w:val="right" w:pos="9638" w:leader="dot"/>
        </w:tabs>
        <w:spacing w:after="20"/>
        <w:ind w:left="300" w:right="0"/>
      </w:pPr>
      <w:r>
        <w:rPr>
          <w:rFonts w:ascii="Verdana" w:cs="Verdana" w:eastAsia="Verdana" w:hAnsi="Verdana"/>
          <w:sz w:val="19"/>
          <w:szCs w:val="19"/>
        </w:rPr>
        <w:t xml:space="preserve">68. Gifts from friends (Chapter 11)</w:t>
      </w:r>
      <w:r>
        <w:rPr>
          <w:rFonts w:ascii="Verdana" w:cs="Verdana" w:eastAsia="Verdana" w:hAnsi="Verdana"/>
          <w:sz w:val="19"/>
          <w:szCs w:val="19"/>
        </w:rPr>
        <w:t xml:space="preserve">	67</w:t>
      </w:r>
    </w:p>
    <w:p>
      <w:pPr>
        <w:tabs>
          <w:tab w:val="right" w:pos="9638" w:leader="dot"/>
        </w:tabs>
        <w:spacing w:after="20"/>
        <w:ind w:left="300" w:right="0"/>
      </w:pPr>
      <w:r>
        <w:rPr>
          <w:rFonts w:ascii="Verdana" w:cs="Verdana" w:eastAsia="Verdana" w:hAnsi="Verdana"/>
          <w:sz w:val="19"/>
          <w:szCs w:val="19"/>
        </w:rPr>
        <w:t xml:space="preserve">69. Property bought below stamp value (Chapter 11)</w:t>
      </w:r>
      <w:r>
        <w:rPr>
          <w:rFonts w:ascii="Verdana" w:cs="Verdana" w:eastAsia="Verdana" w:hAnsi="Verdana"/>
          <w:sz w:val="19"/>
          <w:szCs w:val="19"/>
        </w:rPr>
        <w:t xml:space="preserve">	67</w:t>
      </w:r>
    </w:p>
    <w:p>
      <w:pPr>
        <w:tabs>
          <w:tab w:val="right" w:pos="9638" w:leader="dot"/>
        </w:tabs>
        <w:spacing w:after="20"/>
        <w:ind w:left="300" w:right="0"/>
      </w:pPr>
      <w:r>
        <w:rPr>
          <w:rFonts w:ascii="Verdana" w:cs="Verdana" w:eastAsia="Verdana" w:hAnsi="Verdana"/>
          <w:sz w:val="19"/>
          <w:szCs w:val="19"/>
        </w:rPr>
        <w:t xml:space="preserve">70. Shares received below FMV (Chapter 11)</w:t>
      </w:r>
      <w:r>
        <w:rPr>
          <w:rFonts w:ascii="Verdana" w:cs="Verdana" w:eastAsia="Verdana" w:hAnsi="Verdana"/>
          <w:sz w:val="19"/>
          <w:szCs w:val="19"/>
        </w:rPr>
        <w:t xml:space="preserve">	67</w:t>
      </w:r>
    </w:p>
    <w:p>
      <w:pPr>
        <w:tabs>
          <w:tab w:val="right" w:pos="9638" w:leader="dot"/>
        </w:tabs>
        <w:spacing w:after="20"/>
        <w:ind w:left="300" w:right="0"/>
      </w:pPr>
      <w:r>
        <w:rPr>
          <w:rFonts w:ascii="Verdana" w:cs="Verdana" w:eastAsia="Verdana" w:hAnsi="Verdana"/>
          <w:sz w:val="19"/>
          <w:szCs w:val="19"/>
        </w:rPr>
        <w:t xml:space="preserve">71. Interest on enhanced compensation (Chapter 11)</w:t>
      </w:r>
      <w:r>
        <w:rPr>
          <w:rFonts w:ascii="Verdana" w:cs="Verdana" w:eastAsia="Verdana" w:hAnsi="Verdana"/>
          <w:sz w:val="19"/>
          <w:szCs w:val="19"/>
        </w:rPr>
        <w:t xml:space="preserve">	68</w:t>
      </w:r>
    </w:p>
    <w:p>
      <w:pPr>
        <w:tabs>
          <w:tab w:val="right" w:pos="9638" w:leader="dot"/>
        </w:tabs>
        <w:spacing w:after="20"/>
        <w:ind w:left="300" w:right="0"/>
      </w:pPr>
      <w:r>
        <w:rPr>
          <w:rFonts w:ascii="Verdana" w:cs="Verdana" w:eastAsia="Verdana" w:hAnsi="Verdana"/>
          <w:sz w:val="19"/>
          <w:szCs w:val="19"/>
        </w:rPr>
        <w:t xml:space="preserve">72. Family pension (Chapter 11)</w:t>
      </w:r>
      <w:r>
        <w:rPr>
          <w:rFonts w:ascii="Verdana" w:cs="Verdana" w:eastAsia="Verdana" w:hAnsi="Verdana"/>
          <w:sz w:val="19"/>
          <w:szCs w:val="19"/>
        </w:rPr>
        <w:t xml:space="preserve">	68</w:t>
      </w:r>
    </w:p>
    <w:p>
      <w:pPr>
        <w:tabs>
          <w:tab w:val="right" w:pos="9638" w:leader="dot"/>
        </w:tabs>
        <w:spacing w:after="20"/>
        <w:ind w:left="300" w:right="0"/>
      </w:pPr>
      <w:r>
        <w:rPr>
          <w:rFonts w:ascii="Verdana" w:cs="Verdana" w:eastAsia="Verdana" w:hAnsi="Verdana"/>
          <w:sz w:val="19"/>
          <w:szCs w:val="19"/>
        </w:rPr>
        <w:t xml:space="preserve">73. Winnings (Chapter 11)</w:t>
      </w:r>
      <w:r>
        <w:rPr>
          <w:rFonts w:ascii="Verdana" w:cs="Verdana" w:eastAsia="Verdana" w:hAnsi="Verdana"/>
          <w:sz w:val="19"/>
          <w:szCs w:val="19"/>
        </w:rPr>
        <w:t xml:space="preserve">	68</w:t>
      </w:r>
    </w:p>
    <w:p>
      <w:pPr>
        <w:tabs>
          <w:tab w:val="right" w:pos="9638" w:leader="dot"/>
        </w:tabs>
        <w:spacing w:after="20"/>
        <w:ind w:left="300" w:right="0"/>
      </w:pPr>
      <w:r>
        <w:rPr>
          <w:rFonts w:ascii="Verdana" w:cs="Verdana" w:eastAsia="Verdana" w:hAnsi="Verdana"/>
          <w:sz w:val="19"/>
          <w:szCs w:val="19"/>
        </w:rPr>
        <w:t xml:space="preserve">74. Sub-letting (Chapter 11)</w:t>
      </w:r>
      <w:r>
        <w:rPr>
          <w:rFonts w:ascii="Verdana" w:cs="Verdana" w:eastAsia="Verdana" w:hAnsi="Verdana"/>
          <w:sz w:val="19"/>
          <w:szCs w:val="19"/>
        </w:rPr>
        <w:t xml:space="preserve">	69</w:t>
      </w:r>
    </w:p>
    <w:p>
      <w:pPr>
        <w:tabs>
          <w:tab w:val="right" w:pos="9638" w:leader="dot"/>
        </w:tabs>
        <w:spacing w:after="20"/>
        <w:ind w:left="300" w:right="0"/>
      </w:pPr>
      <w:r>
        <w:rPr>
          <w:rFonts w:ascii="Verdana" w:cs="Verdana" w:eastAsia="Verdana" w:hAnsi="Verdana"/>
          <w:sz w:val="19"/>
          <w:szCs w:val="19"/>
        </w:rPr>
        <w:t xml:space="preserve">75. Car won in a contest (Chapter 11)</w:t>
      </w:r>
      <w:r>
        <w:rPr>
          <w:rFonts w:ascii="Verdana" w:cs="Verdana" w:eastAsia="Verdana" w:hAnsi="Verdana"/>
          <w:sz w:val="19"/>
          <w:szCs w:val="19"/>
        </w:rPr>
        <w:t xml:space="preserve">	69</w:t>
      </w:r>
    </w:p>
    <w:p>
      <w:pPr>
        <w:tabs>
          <w:tab w:val="right" w:pos="9638" w:leader="dot"/>
        </w:tabs>
        <w:spacing w:after="20"/>
        <w:ind w:left="300" w:right="0"/>
      </w:pPr>
      <w:r>
        <w:rPr>
          <w:rFonts w:ascii="Verdana" w:cs="Verdana" w:eastAsia="Verdana" w:hAnsi="Verdana"/>
          <w:sz w:val="19"/>
          <w:szCs w:val="19"/>
        </w:rPr>
        <w:t xml:space="preserve">76. SWP from an equity fund (Chapter 12)</w:t>
      </w:r>
      <w:r>
        <w:rPr>
          <w:rFonts w:ascii="Verdana" w:cs="Verdana" w:eastAsia="Verdana" w:hAnsi="Verdana"/>
          <w:sz w:val="19"/>
          <w:szCs w:val="19"/>
        </w:rPr>
        <w:t xml:space="preserve">	70</w:t>
      </w:r>
    </w:p>
    <w:p>
      <w:pPr>
        <w:tabs>
          <w:tab w:val="right" w:pos="9638" w:leader="dot"/>
        </w:tabs>
        <w:spacing w:after="20"/>
        <w:ind w:left="300" w:right="0"/>
      </w:pPr>
      <w:r>
        <w:rPr>
          <w:rFonts w:ascii="Verdana" w:cs="Verdana" w:eastAsia="Verdana" w:hAnsi="Verdana"/>
          <w:sz w:val="19"/>
          <w:szCs w:val="19"/>
        </w:rPr>
        <w:t xml:space="preserve">77. Selling and buying in the same year (Chapter 13)</w:t>
      </w:r>
      <w:r>
        <w:rPr>
          <w:rFonts w:ascii="Verdana" w:cs="Verdana" w:eastAsia="Verdana" w:hAnsi="Verdana"/>
          <w:sz w:val="19"/>
          <w:szCs w:val="19"/>
        </w:rPr>
        <w:t xml:space="preserve">	73</w:t>
      </w:r>
    </w:p>
    <w:p>
      <w:pPr>
        <w:tabs>
          <w:tab w:val="right" w:pos="9638" w:leader="dot"/>
        </w:tabs>
        <w:spacing w:after="20"/>
        <w:ind w:left="300" w:right="0"/>
      </w:pPr>
      <w:r>
        <w:rPr>
          <w:rFonts w:ascii="Verdana" w:cs="Verdana" w:eastAsia="Verdana" w:hAnsi="Verdana"/>
          <w:sz w:val="19"/>
          <w:szCs w:val="19"/>
        </w:rPr>
        <w:t xml:space="preserve">78. Gift to spouse (Chapter 14)</w:t>
      </w:r>
      <w:r>
        <w:rPr>
          <w:rFonts w:ascii="Verdana" w:cs="Verdana" w:eastAsia="Verdana" w:hAnsi="Verdana"/>
          <w:sz w:val="19"/>
          <w:szCs w:val="19"/>
        </w:rPr>
        <w:t xml:space="preserve">	74</w:t>
      </w:r>
    </w:p>
    <w:p>
      <w:pPr>
        <w:tabs>
          <w:tab w:val="right" w:pos="9638" w:leader="dot"/>
        </w:tabs>
        <w:spacing w:after="20"/>
        <w:ind w:left="300" w:right="0"/>
      </w:pPr>
      <w:r>
        <w:rPr>
          <w:rFonts w:ascii="Verdana" w:cs="Verdana" w:eastAsia="Verdana" w:hAnsi="Verdana"/>
          <w:sz w:val="19"/>
          <w:szCs w:val="19"/>
        </w:rPr>
        <w:t xml:space="preserve">79. Cash deposit (Chapter 14)</w:t>
      </w:r>
      <w:r>
        <w:rPr>
          <w:rFonts w:ascii="Verdana" w:cs="Verdana" w:eastAsia="Verdana" w:hAnsi="Verdana"/>
          <w:sz w:val="19"/>
          <w:szCs w:val="19"/>
        </w:rPr>
        <w:t xml:space="preserve">	74</w:t>
      </w:r>
    </w:p>
    <w:p>
      <w:pPr>
        <w:tabs>
          <w:tab w:val="right" w:pos="9638" w:leader="dot"/>
        </w:tabs>
        <w:spacing w:after="20"/>
        <w:ind w:left="300" w:right="0"/>
      </w:pPr>
      <w:r>
        <w:rPr>
          <w:rFonts w:ascii="Verdana" w:cs="Verdana" w:eastAsia="Verdana" w:hAnsi="Verdana"/>
          <w:sz w:val="19"/>
          <w:szCs w:val="19"/>
        </w:rPr>
        <w:t xml:space="preserve">80. Proportionate clubbing (Chapter 14)</w:t>
      </w:r>
      <w:r>
        <w:rPr>
          <w:rFonts w:ascii="Verdana" w:cs="Verdana" w:eastAsia="Verdana" w:hAnsi="Verdana"/>
          <w:sz w:val="19"/>
          <w:szCs w:val="19"/>
        </w:rPr>
        <w:t xml:space="preserve">	75</w:t>
      </w:r>
    </w:p>
    <w:p>
      <w:pPr>
        <w:tabs>
          <w:tab w:val="right" w:pos="9638" w:leader="dot"/>
        </w:tabs>
        <w:spacing w:after="20"/>
        <w:ind w:left="300" w:right="0"/>
      </w:pPr>
      <w:r>
        <w:rPr>
          <w:rFonts w:ascii="Verdana" w:cs="Verdana" w:eastAsia="Verdana" w:hAnsi="Verdana"/>
          <w:sz w:val="19"/>
          <w:szCs w:val="19"/>
        </w:rPr>
        <w:t xml:space="preserve">81. Order of set off (Chapter 15)</w:t>
      </w:r>
      <w:r>
        <w:rPr>
          <w:rFonts w:ascii="Verdana" w:cs="Verdana" w:eastAsia="Verdana" w:hAnsi="Verdana"/>
          <w:sz w:val="19"/>
          <w:szCs w:val="19"/>
        </w:rPr>
        <w:t xml:space="preserve">	77</w:t>
      </w:r>
    </w:p>
    <w:p>
      <w:pPr>
        <w:tabs>
          <w:tab w:val="right" w:pos="9638" w:leader="dot"/>
        </w:tabs>
        <w:spacing w:after="20"/>
        <w:ind w:left="300" w:right="0"/>
      </w:pPr>
      <w:r>
        <w:rPr>
          <w:rFonts w:ascii="Verdana" w:cs="Verdana" w:eastAsia="Verdana" w:hAnsi="Verdana"/>
          <w:sz w:val="19"/>
          <w:szCs w:val="19"/>
        </w:rPr>
        <w:t xml:space="preserve">82. Full set off computation (Chapter 15)</w:t>
      </w:r>
      <w:r>
        <w:rPr>
          <w:rFonts w:ascii="Verdana" w:cs="Verdana" w:eastAsia="Verdana" w:hAnsi="Verdana"/>
          <w:sz w:val="19"/>
          <w:szCs w:val="19"/>
        </w:rPr>
        <w:t xml:space="preserve">	78</w:t>
      </w:r>
    </w:p>
    <w:p>
      <w:pPr>
        <w:tabs>
          <w:tab w:val="right" w:pos="9638" w:leader="dot"/>
        </w:tabs>
        <w:spacing w:after="20"/>
        <w:ind w:left="300" w:right="0"/>
      </w:pPr>
      <w:r>
        <w:rPr>
          <w:rFonts w:ascii="Verdana" w:cs="Verdana" w:eastAsia="Verdana" w:hAnsi="Verdana"/>
          <w:sz w:val="19"/>
          <w:szCs w:val="19"/>
        </w:rPr>
        <w:t xml:space="preserve">83. Health insurance for parents (Chapter 16)</w:t>
      </w:r>
      <w:r>
        <w:rPr>
          <w:rFonts w:ascii="Verdana" w:cs="Verdana" w:eastAsia="Verdana" w:hAnsi="Verdana"/>
          <w:sz w:val="19"/>
          <w:szCs w:val="19"/>
        </w:rPr>
        <w:t xml:space="preserve">	79</w:t>
      </w:r>
    </w:p>
    <w:p>
      <w:pPr>
        <w:tabs>
          <w:tab w:val="right" w:pos="9638" w:leader="dot"/>
        </w:tabs>
        <w:spacing w:after="20"/>
        <w:ind w:left="300" w:right="0"/>
      </w:pPr>
      <w:r>
        <w:rPr>
          <w:rFonts w:ascii="Verdana" w:cs="Verdana" w:eastAsia="Verdana" w:hAnsi="Verdana"/>
          <w:sz w:val="19"/>
          <w:szCs w:val="19"/>
        </w:rPr>
        <w:t xml:space="preserve">84. Additional employee cost (Chapter 16)</w:t>
      </w:r>
      <w:r>
        <w:rPr>
          <w:rFonts w:ascii="Verdana" w:cs="Verdana" w:eastAsia="Verdana" w:hAnsi="Verdana"/>
          <w:sz w:val="19"/>
          <w:szCs w:val="19"/>
        </w:rPr>
        <w:t xml:space="preserve">	80</w:t>
      </w:r>
    </w:p>
    <w:p>
      <w:pPr>
        <w:tabs>
          <w:tab w:val="right" w:pos="9638" w:leader="dot"/>
        </w:tabs>
        <w:spacing w:after="20"/>
        <w:ind w:left="300" w:right="0"/>
      </w:pPr>
      <w:r>
        <w:rPr>
          <w:rFonts w:ascii="Verdana" w:cs="Verdana" w:eastAsia="Verdana" w:hAnsi="Verdana"/>
          <w:sz w:val="19"/>
          <w:szCs w:val="19"/>
        </w:rPr>
        <w:t xml:space="preserve">85. Donation with 10% cap (Chapter 16)</w:t>
      </w:r>
      <w:r>
        <w:rPr>
          <w:rFonts w:ascii="Verdana" w:cs="Verdana" w:eastAsia="Verdana" w:hAnsi="Verdana"/>
          <w:sz w:val="19"/>
          <w:szCs w:val="19"/>
        </w:rPr>
        <w:t xml:space="preserve">	81</w:t>
      </w:r>
    </w:p>
    <w:p>
      <w:pPr>
        <w:tabs>
          <w:tab w:val="right" w:pos="9638" w:leader="dot"/>
        </w:tabs>
        <w:spacing w:after="20"/>
        <w:ind w:left="300" w:right="0"/>
      </w:pPr>
      <w:r>
        <w:rPr>
          <w:rFonts w:ascii="Verdana" w:cs="Verdana" w:eastAsia="Verdana" w:hAnsi="Verdana"/>
          <w:sz w:val="19"/>
          <w:szCs w:val="19"/>
        </w:rPr>
        <w:t xml:space="preserve">86. Rent deduction (Chapter 16)</w:t>
      </w:r>
      <w:r>
        <w:rPr>
          <w:rFonts w:ascii="Verdana" w:cs="Verdana" w:eastAsia="Verdana" w:hAnsi="Verdana"/>
          <w:sz w:val="19"/>
          <w:szCs w:val="19"/>
        </w:rPr>
        <w:t xml:space="preserve">	81</w:t>
      </w:r>
    </w:p>
    <w:p>
      <w:pPr>
        <w:tabs>
          <w:tab w:val="right" w:pos="9638" w:leader="dot"/>
        </w:tabs>
        <w:spacing w:after="20"/>
        <w:ind w:left="300" w:right="0"/>
      </w:pPr>
      <w:r>
        <w:rPr>
          <w:rFonts w:ascii="Verdana" w:cs="Verdana" w:eastAsia="Verdana" w:hAnsi="Verdana"/>
          <w:sz w:val="19"/>
          <w:szCs w:val="19"/>
        </w:rPr>
        <w:t xml:space="preserve">87. Marginal relief (Chapter 17)</w:t>
      </w:r>
      <w:r>
        <w:rPr>
          <w:rFonts w:ascii="Verdana" w:cs="Verdana" w:eastAsia="Verdana" w:hAnsi="Verdana"/>
          <w:sz w:val="19"/>
          <w:szCs w:val="19"/>
        </w:rPr>
        <w:t xml:space="preserve">	84</w:t>
      </w:r>
    </w:p>
    <w:p>
      <w:pPr>
        <w:tabs>
          <w:tab w:val="right" w:pos="9638" w:leader="dot"/>
        </w:tabs>
        <w:spacing w:after="20"/>
        <w:ind w:left="300" w:right="0"/>
      </w:pPr>
      <w:r>
        <w:rPr>
          <w:rFonts w:ascii="Verdana" w:cs="Verdana" w:eastAsia="Verdana" w:hAnsi="Verdana"/>
          <w:sz w:val="19"/>
          <w:szCs w:val="19"/>
        </w:rPr>
        <w:t xml:space="preserve">88. Marginal relief at Rs. 50 lakh (Chapter 17)</w:t>
      </w:r>
      <w:r>
        <w:rPr>
          <w:rFonts w:ascii="Verdana" w:cs="Verdana" w:eastAsia="Verdana" w:hAnsi="Verdana"/>
          <w:sz w:val="19"/>
          <w:szCs w:val="19"/>
        </w:rPr>
        <w:t xml:space="preserve">	85</w:t>
      </w:r>
    </w:p>
    <w:p>
      <w:pPr>
        <w:tabs>
          <w:tab w:val="right" w:pos="9638" w:leader="dot"/>
        </w:tabs>
        <w:spacing w:after="20"/>
        <w:ind w:left="300" w:right="0"/>
      </w:pPr>
      <w:r>
        <w:rPr>
          <w:rFonts w:ascii="Verdana" w:cs="Verdana" w:eastAsia="Verdana" w:hAnsi="Verdana"/>
          <w:sz w:val="19"/>
          <w:szCs w:val="19"/>
        </w:rPr>
        <w:t xml:space="preserve">89. Gift to parents (Chapter 18)</w:t>
      </w:r>
      <w:r>
        <w:rPr>
          <w:rFonts w:ascii="Verdana" w:cs="Verdana" w:eastAsia="Verdana" w:hAnsi="Verdana"/>
          <w:sz w:val="19"/>
          <w:szCs w:val="19"/>
        </w:rPr>
        <w:t xml:space="preserve">	88</w:t>
      </w:r>
    </w:p>
    <w:p>
      <w:pPr>
        <w:tabs>
          <w:tab w:val="right" w:pos="9638" w:leader="dot"/>
        </w:tabs>
        <w:spacing w:after="20"/>
        <w:ind w:left="300" w:right="0"/>
      </w:pPr>
      <w:r>
        <w:rPr>
          <w:rFonts w:ascii="Verdana" w:cs="Verdana" w:eastAsia="Verdana" w:hAnsi="Verdana"/>
          <w:sz w:val="19"/>
          <w:szCs w:val="19"/>
        </w:rPr>
        <w:t xml:space="preserve">90. Proprietorship vs company (Chapter 18)</w:t>
      </w:r>
      <w:r>
        <w:rPr>
          <w:rFonts w:ascii="Verdana" w:cs="Verdana" w:eastAsia="Verdana" w:hAnsi="Verdana"/>
          <w:sz w:val="19"/>
          <w:szCs w:val="19"/>
        </w:rPr>
        <w:t xml:space="preserve">	88</w:t>
      </w:r>
    </w:p>
    <w:p>
      <w:pPr>
        <w:tabs>
          <w:tab w:val="right" w:pos="9638" w:leader="dot"/>
        </w:tabs>
        <w:spacing w:after="20"/>
        <w:ind w:left="300" w:right="0"/>
      </w:pPr>
      <w:r>
        <w:rPr>
          <w:rFonts w:ascii="Verdana" w:cs="Verdana" w:eastAsia="Verdana" w:hAnsi="Verdana"/>
          <w:sz w:val="19"/>
          <w:szCs w:val="19"/>
        </w:rPr>
        <w:t xml:space="preserve">91. Senior with pension and interest (Chapter 19)</w:t>
      </w:r>
      <w:r>
        <w:rPr>
          <w:rFonts w:ascii="Verdana" w:cs="Verdana" w:eastAsia="Verdana" w:hAnsi="Verdana"/>
          <w:sz w:val="19"/>
          <w:szCs w:val="19"/>
        </w:rPr>
        <w:t xml:space="preserve">	89</w:t>
      </w:r>
    </w:p>
    <w:p>
      <w:pPr>
        <w:tabs>
          <w:tab w:val="right" w:pos="9638" w:leader="dot"/>
        </w:tabs>
        <w:spacing w:after="20"/>
        <w:ind w:left="300" w:right="0"/>
      </w:pPr>
      <w:r>
        <w:rPr>
          <w:rFonts w:ascii="Verdana" w:cs="Verdana" w:eastAsia="Verdana" w:hAnsi="Verdana"/>
          <w:sz w:val="19"/>
          <w:szCs w:val="19"/>
        </w:rPr>
        <w:t xml:space="preserve">92. Family trust for a disabled dependant (Chapter 20)</w:t>
      </w:r>
      <w:r>
        <w:rPr>
          <w:rFonts w:ascii="Verdana" w:cs="Verdana" w:eastAsia="Verdana" w:hAnsi="Verdana"/>
          <w:sz w:val="19"/>
          <w:szCs w:val="19"/>
        </w:rPr>
        <w:t xml:space="preserve">	92</w:t>
      </w:r>
    </w:p>
    <w:p>
      <w:pPr>
        <w:tabs>
          <w:tab w:val="right" w:pos="9638" w:leader="dot"/>
        </w:tabs>
        <w:spacing w:after="20"/>
        <w:ind w:left="300" w:right="0"/>
      </w:pPr>
      <w:r>
        <w:rPr>
          <w:rFonts w:ascii="Verdana" w:cs="Verdana" w:eastAsia="Verdana" w:hAnsi="Verdana"/>
          <w:sz w:val="19"/>
          <w:szCs w:val="19"/>
        </w:rPr>
        <w:t xml:space="preserve">93. Planning with an HUF (Chapter 21)</w:t>
      </w:r>
      <w:r>
        <w:rPr>
          <w:rFonts w:ascii="Verdana" w:cs="Verdana" w:eastAsia="Verdana" w:hAnsi="Verdana"/>
          <w:sz w:val="19"/>
          <w:szCs w:val="19"/>
        </w:rPr>
        <w:t xml:space="preserve">	94</w:t>
      </w:r>
    </w:p>
    <w:p>
      <w:pPr>
        <w:tabs>
          <w:tab w:val="right" w:pos="9638" w:leader="dot"/>
        </w:tabs>
        <w:spacing w:after="20"/>
        <w:ind w:left="300" w:right="0"/>
      </w:pPr>
      <w:r>
        <w:rPr>
          <w:rFonts w:ascii="Verdana" w:cs="Verdana" w:eastAsia="Verdana" w:hAnsi="Verdana"/>
          <w:sz w:val="19"/>
          <w:szCs w:val="19"/>
        </w:rPr>
        <w:t xml:space="preserve">94. Retiring partner (Chapter 22)</w:t>
      </w:r>
      <w:r>
        <w:rPr>
          <w:rFonts w:ascii="Verdana" w:cs="Verdana" w:eastAsia="Verdana" w:hAnsi="Verdana"/>
          <w:sz w:val="19"/>
          <w:szCs w:val="19"/>
        </w:rPr>
        <w:t xml:space="preserve">	95</w:t>
      </w:r>
    </w:p>
    <w:p>
      <w:pPr>
        <w:tabs>
          <w:tab w:val="right" w:pos="9638" w:leader="dot"/>
        </w:tabs>
        <w:spacing w:after="20"/>
        <w:ind w:left="300" w:right="0"/>
      </w:pPr>
      <w:r>
        <w:rPr>
          <w:rFonts w:ascii="Verdana" w:cs="Verdana" w:eastAsia="Verdana" w:hAnsi="Verdana"/>
          <w:sz w:val="19"/>
          <w:szCs w:val="19"/>
        </w:rPr>
        <w:t xml:space="preserve">95. Application of income (Chapter 23)</w:t>
      </w:r>
      <w:r>
        <w:rPr>
          <w:rFonts w:ascii="Verdana" w:cs="Verdana" w:eastAsia="Verdana" w:hAnsi="Verdana"/>
          <w:sz w:val="19"/>
          <w:szCs w:val="19"/>
        </w:rPr>
        <w:t xml:space="preserve">	98</w:t>
      </w:r>
    </w:p>
    <w:p>
      <w:pPr>
        <w:tabs>
          <w:tab w:val="right" w:pos="9638" w:leader="dot"/>
        </w:tabs>
        <w:spacing w:after="20"/>
        <w:ind w:left="300" w:right="0"/>
      </w:pPr>
      <w:r>
        <w:rPr>
          <w:rFonts w:ascii="Verdana" w:cs="Verdana" w:eastAsia="Verdana" w:hAnsi="Verdana"/>
          <w:sz w:val="19"/>
          <w:szCs w:val="19"/>
        </w:rPr>
        <w:t xml:space="preserve">96. Credit society (Chapter 24)</w:t>
      </w:r>
      <w:r>
        <w:rPr>
          <w:rFonts w:ascii="Verdana" w:cs="Verdana" w:eastAsia="Verdana" w:hAnsi="Verdana"/>
          <w:sz w:val="19"/>
          <w:szCs w:val="19"/>
        </w:rPr>
        <w:t xml:space="preserve">	100</w:t>
      </w:r>
    </w:p>
    <w:p>
      <w:pPr>
        <w:tabs>
          <w:tab w:val="right" w:pos="9638" w:leader="dot"/>
        </w:tabs>
        <w:spacing w:after="20"/>
        <w:ind w:left="300" w:right="0"/>
      </w:pPr>
      <w:r>
        <w:rPr>
          <w:rFonts w:ascii="Verdana" w:cs="Verdana" w:eastAsia="Verdana" w:hAnsi="Verdana"/>
          <w:sz w:val="19"/>
          <w:szCs w:val="19"/>
        </w:rPr>
        <w:t xml:space="preserve">97. Normal regime vs MAT vs section 200 (Chapter 25)</w:t>
      </w:r>
      <w:r>
        <w:rPr>
          <w:rFonts w:ascii="Verdana" w:cs="Verdana" w:eastAsia="Verdana" w:hAnsi="Verdana"/>
          <w:sz w:val="19"/>
          <w:szCs w:val="19"/>
        </w:rPr>
        <w:t xml:space="preserve">	102</w:t>
      </w:r>
    </w:p>
    <w:p>
      <w:pPr>
        <w:tabs>
          <w:tab w:val="right" w:pos="9638" w:leader="dot"/>
        </w:tabs>
        <w:spacing w:after="20"/>
        <w:ind w:left="300" w:right="0"/>
      </w:pPr>
      <w:r>
        <w:rPr>
          <w:rFonts w:ascii="Verdana" w:cs="Verdana" w:eastAsia="Verdana" w:hAnsi="Verdana"/>
          <w:sz w:val="19"/>
          <w:szCs w:val="19"/>
        </w:rPr>
        <w:t xml:space="preserve">98. Deferred tax on depreciation (Chapter 25)</w:t>
      </w:r>
      <w:r>
        <w:rPr>
          <w:rFonts w:ascii="Verdana" w:cs="Verdana" w:eastAsia="Verdana" w:hAnsi="Verdana"/>
          <w:sz w:val="19"/>
          <w:szCs w:val="19"/>
        </w:rPr>
        <w:t xml:space="preserve">	103</w:t>
      </w:r>
    </w:p>
    <w:p>
      <w:pPr>
        <w:tabs>
          <w:tab w:val="right" w:pos="9638" w:leader="dot"/>
        </w:tabs>
        <w:spacing w:after="20"/>
        <w:ind w:left="300" w:right="0"/>
      </w:pPr>
      <w:r>
        <w:rPr>
          <w:rFonts w:ascii="Verdana" w:cs="Verdana" w:eastAsia="Verdana" w:hAnsi="Verdana"/>
          <w:sz w:val="19"/>
          <w:szCs w:val="19"/>
        </w:rPr>
        <w:t xml:space="preserve">99. MAT computation (Chapter 25)</w:t>
      </w:r>
      <w:r>
        <w:rPr>
          <w:rFonts w:ascii="Verdana" w:cs="Verdana" w:eastAsia="Verdana" w:hAnsi="Verdana"/>
          <w:sz w:val="19"/>
          <w:szCs w:val="19"/>
        </w:rPr>
        <w:t xml:space="preserve">	104</w:t>
      </w:r>
    </w:p>
    <w:p>
      <w:pPr>
        <w:tabs>
          <w:tab w:val="right" w:pos="9638" w:leader="dot"/>
        </w:tabs>
        <w:spacing w:after="20"/>
        <w:ind w:left="300" w:right="0"/>
      </w:pPr>
      <w:r>
        <w:rPr>
          <w:rFonts w:ascii="Verdana" w:cs="Verdana" w:eastAsia="Verdana" w:hAnsi="Verdana"/>
          <w:sz w:val="19"/>
          <w:szCs w:val="19"/>
        </w:rPr>
        <w:t xml:space="preserve">100. Current tax for a company under section 200 (Chapter 25)</w:t>
      </w:r>
      <w:r>
        <w:rPr>
          <w:rFonts w:ascii="Verdana" w:cs="Verdana" w:eastAsia="Verdana" w:hAnsi="Verdana"/>
          <w:sz w:val="19"/>
          <w:szCs w:val="19"/>
        </w:rPr>
        <w:t xml:space="preserve">	105</w:t>
      </w:r>
    </w:p>
    <w:p>
      <w:pPr>
        <w:tabs>
          <w:tab w:val="right" w:pos="9638" w:leader="dot"/>
        </w:tabs>
        <w:spacing w:after="20"/>
        <w:ind w:left="300" w:right="0"/>
      </w:pPr>
      <w:r>
        <w:rPr>
          <w:rFonts w:ascii="Verdana" w:cs="Verdana" w:eastAsia="Verdana" w:hAnsi="Verdana"/>
          <w:sz w:val="19"/>
          <w:szCs w:val="19"/>
        </w:rPr>
        <w:t xml:space="preserve">101. Inter-corporate dividend (Chapter 26)</w:t>
      </w:r>
      <w:r>
        <w:rPr>
          <w:rFonts w:ascii="Verdana" w:cs="Verdana" w:eastAsia="Verdana" w:hAnsi="Verdana"/>
          <w:sz w:val="19"/>
          <w:szCs w:val="19"/>
        </w:rPr>
        <w:t xml:space="preserve">	106</w:t>
      </w:r>
    </w:p>
    <w:p>
      <w:pPr>
        <w:tabs>
          <w:tab w:val="right" w:pos="9638" w:leader="dot"/>
        </w:tabs>
        <w:spacing w:after="20"/>
        <w:ind w:left="300" w:right="0"/>
      </w:pPr>
      <w:r>
        <w:rPr>
          <w:rFonts w:ascii="Verdana" w:cs="Verdana" w:eastAsia="Verdana" w:hAnsi="Verdana"/>
          <w:sz w:val="19"/>
          <w:szCs w:val="19"/>
        </w:rPr>
        <w:t xml:space="preserve">102. Investor exit (Chapter 26)</w:t>
      </w:r>
      <w:r>
        <w:rPr>
          <w:rFonts w:ascii="Verdana" w:cs="Verdana" w:eastAsia="Verdana" w:hAnsi="Verdana"/>
          <w:sz w:val="19"/>
          <w:szCs w:val="19"/>
        </w:rPr>
        <w:t xml:space="preserve">	106</w:t>
      </w:r>
    </w:p>
    <w:p>
      <w:pPr>
        <w:tabs>
          <w:tab w:val="right" w:pos="9638" w:leader="dot"/>
        </w:tabs>
        <w:spacing w:after="20"/>
        <w:ind w:left="300" w:right="0"/>
      </w:pPr>
      <w:r>
        <w:rPr>
          <w:rFonts w:ascii="Verdana" w:cs="Verdana" w:eastAsia="Verdana" w:hAnsi="Verdana"/>
          <w:sz w:val="19"/>
          <w:szCs w:val="19"/>
        </w:rPr>
        <w:t xml:space="preserve">103. Effective tax rate reconciliation (Chapter 26)</w:t>
      </w:r>
      <w:r>
        <w:rPr>
          <w:rFonts w:ascii="Verdana" w:cs="Verdana" w:eastAsia="Verdana" w:hAnsi="Verdana"/>
          <w:sz w:val="19"/>
          <w:szCs w:val="19"/>
        </w:rPr>
        <w:t xml:space="preserve">	109</w:t>
      </w:r>
    </w:p>
    <w:p>
      <w:pPr>
        <w:tabs>
          <w:tab w:val="right" w:pos="9638" w:leader="dot"/>
        </w:tabs>
        <w:spacing w:after="20"/>
        <w:ind w:left="300" w:right="0"/>
      </w:pPr>
      <w:r>
        <w:rPr>
          <w:rFonts w:ascii="Verdana" w:cs="Verdana" w:eastAsia="Verdana" w:hAnsi="Verdana"/>
          <w:sz w:val="19"/>
          <w:szCs w:val="19"/>
        </w:rPr>
        <w:t xml:space="preserve">104. Reconciliation (Chapter 28)</w:t>
      </w:r>
      <w:r>
        <w:rPr>
          <w:rFonts w:ascii="Verdana" w:cs="Verdana" w:eastAsia="Verdana" w:hAnsi="Verdana"/>
          <w:sz w:val="19"/>
          <w:szCs w:val="19"/>
        </w:rPr>
        <w:t xml:space="preserve">	113</w:t>
      </w:r>
    </w:p>
    <w:p>
      <w:pPr>
        <w:tabs>
          <w:tab w:val="right" w:pos="9638" w:leader="dot"/>
        </w:tabs>
        <w:spacing w:after="20"/>
        <w:ind w:left="300" w:right="0"/>
      </w:pPr>
      <w:r>
        <w:rPr>
          <w:rFonts w:ascii="Verdana" w:cs="Verdana" w:eastAsia="Verdana" w:hAnsi="Verdana"/>
          <w:sz w:val="19"/>
          <w:szCs w:val="19"/>
        </w:rPr>
        <w:t xml:space="preserve">105. Lease under Ind AS 116 (Chapter 29)</w:t>
      </w:r>
      <w:r>
        <w:rPr>
          <w:rFonts w:ascii="Verdana" w:cs="Verdana" w:eastAsia="Verdana" w:hAnsi="Verdana"/>
          <w:sz w:val="19"/>
          <w:szCs w:val="19"/>
        </w:rPr>
        <w:t xml:space="preserve">	114</w:t>
      </w:r>
    </w:p>
    <w:p>
      <w:pPr>
        <w:tabs>
          <w:tab w:val="right" w:pos="9638" w:leader="dot"/>
        </w:tabs>
        <w:spacing w:after="20"/>
        <w:ind w:left="300" w:right="0"/>
      </w:pPr>
      <w:r>
        <w:rPr>
          <w:rFonts w:ascii="Verdana" w:cs="Verdana" w:eastAsia="Verdana" w:hAnsi="Verdana"/>
          <w:sz w:val="19"/>
          <w:szCs w:val="19"/>
        </w:rPr>
        <w:t xml:space="preserve">106. Shareholder in a merger (Chapter 30)</w:t>
      </w:r>
      <w:r>
        <w:rPr>
          <w:rFonts w:ascii="Verdana" w:cs="Verdana" w:eastAsia="Verdana" w:hAnsi="Verdana"/>
          <w:sz w:val="19"/>
          <w:szCs w:val="19"/>
        </w:rPr>
        <w:t xml:space="preserve">	117</w:t>
      </w:r>
    </w:p>
    <w:p>
      <w:pPr>
        <w:tabs>
          <w:tab w:val="right" w:pos="9638" w:leader="dot"/>
        </w:tabs>
        <w:spacing w:after="20"/>
        <w:ind w:left="300" w:right="0"/>
      </w:pPr>
      <w:r>
        <w:rPr>
          <w:rFonts w:ascii="Verdana" w:cs="Verdana" w:eastAsia="Verdana" w:hAnsi="Verdana"/>
          <w:sz w:val="19"/>
          <w:szCs w:val="19"/>
        </w:rPr>
        <w:t xml:space="preserve">107. Depreciation split (Chapter 30)</w:t>
      </w:r>
      <w:r>
        <w:rPr>
          <w:rFonts w:ascii="Verdana" w:cs="Verdana" w:eastAsia="Verdana" w:hAnsi="Verdana"/>
          <w:sz w:val="19"/>
          <w:szCs w:val="19"/>
        </w:rPr>
        <w:t xml:space="preserve">	117</w:t>
      </w:r>
    </w:p>
    <w:p>
      <w:pPr>
        <w:tabs>
          <w:tab w:val="right" w:pos="9638" w:leader="dot"/>
        </w:tabs>
        <w:spacing w:after="20"/>
        <w:ind w:left="300" w:right="0"/>
      </w:pPr>
      <w:r>
        <w:rPr>
          <w:rFonts w:ascii="Verdana" w:cs="Verdana" w:eastAsia="Verdana" w:hAnsi="Verdana"/>
          <w:sz w:val="19"/>
          <w:szCs w:val="19"/>
        </w:rPr>
        <w:t xml:space="preserve">108. Remaining life of a loss (Chapter 30)</w:t>
      </w:r>
      <w:r>
        <w:rPr>
          <w:rFonts w:ascii="Verdana" w:cs="Verdana" w:eastAsia="Verdana" w:hAnsi="Verdana"/>
          <w:sz w:val="19"/>
          <w:szCs w:val="19"/>
        </w:rPr>
        <w:t xml:space="preserve">	117</w:t>
      </w:r>
    </w:p>
    <w:p>
      <w:pPr>
        <w:tabs>
          <w:tab w:val="right" w:pos="9638" w:leader="dot"/>
        </w:tabs>
        <w:spacing w:after="20"/>
        <w:ind w:left="300" w:right="0"/>
      </w:pPr>
      <w:r>
        <w:rPr>
          <w:rFonts w:ascii="Verdana" w:cs="Verdana" w:eastAsia="Verdana" w:hAnsi="Verdana"/>
          <w:sz w:val="19"/>
          <w:szCs w:val="19"/>
        </w:rPr>
        <w:t xml:space="preserve">109. Cost split on demerger (Chapter 30)</w:t>
      </w:r>
      <w:r>
        <w:rPr>
          <w:rFonts w:ascii="Verdana" w:cs="Verdana" w:eastAsia="Verdana" w:hAnsi="Verdana"/>
          <w:sz w:val="19"/>
          <w:szCs w:val="19"/>
        </w:rPr>
        <w:t xml:space="preserve">	118</w:t>
      </w:r>
    </w:p>
    <w:p>
      <w:pPr>
        <w:tabs>
          <w:tab w:val="right" w:pos="9638" w:leader="dot"/>
        </w:tabs>
        <w:spacing w:after="20"/>
        <w:ind w:left="300" w:right="0"/>
      </w:pPr>
      <w:r>
        <w:rPr>
          <w:rFonts w:ascii="Verdana" w:cs="Verdana" w:eastAsia="Verdana" w:hAnsi="Verdana"/>
          <w:sz w:val="19"/>
          <w:szCs w:val="19"/>
        </w:rPr>
        <w:t xml:space="preserve">110. Slump sale (Chapter 30)</w:t>
      </w:r>
      <w:r>
        <w:rPr>
          <w:rFonts w:ascii="Verdana" w:cs="Verdana" w:eastAsia="Verdana" w:hAnsi="Verdana"/>
          <w:sz w:val="19"/>
          <w:szCs w:val="19"/>
        </w:rPr>
        <w:t xml:space="preserve">	118</w:t>
      </w:r>
    </w:p>
    <w:p>
      <w:pPr>
        <w:tabs>
          <w:tab w:val="right" w:pos="9638" w:leader="dot"/>
        </w:tabs>
        <w:spacing w:after="20"/>
        <w:ind w:left="300" w:right="0"/>
      </w:pPr>
      <w:r>
        <w:rPr>
          <w:rFonts w:ascii="Verdana" w:cs="Verdana" w:eastAsia="Verdana" w:hAnsi="Verdana"/>
          <w:sz w:val="19"/>
          <w:szCs w:val="19"/>
        </w:rPr>
        <w:t xml:space="preserve">111. Buying from a non-resident (Chapter 30)</w:t>
      </w:r>
      <w:r>
        <w:rPr>
          <w:rFonts w:ascii="Verdana" w:cs="Verdana" w:eastAsia="Verdana" w:hAnsi="Verdana"/>
          <w:sz w:val="19"/>
          <w:szCs w:val="19"/>
        </w:rPr>
        <w:t xml:space="preserve">	119</w:t>
      </w:r>
    </w:p>
    <w:p>
      <w:pPr>
        <w:tabs>
          <w:tab w:val="right" w:pos="9638" w:leader="dot"/>
        </w:tabs>
        <w:spacing w:after="20"/>
        <w:ind w:left="300" w:right="0"/>
      </w:pPr>
      <w:r>
        <w:rPr>
          <w:rFonts w:ascii="Verdana" w:cs="Verdana" w:eastAsia="Verdana" w:hAnsi="Verdana"/>
          <w:sz w:val="19"/>
          <w:szCs w:val="19"/>
        </w:rPr>
        <w:t xml:space="preserve">112. Unquoted shares below FMV (Chapter 30)</w:t>
      </w:r>
      <w:r>
        <w:rPr>
          <w:rFonts w:ascii="Verdana" w:cs="Verdana" w:eastAsia="Verdana" w:hAnsi="Verdana"/>
          <w:sz w:val="19"/>
          <w:szCs w:val="19"/>
        </w:rPr>
        <w:t xml:space="preserve">	121</w:t>
      </w:r>
    </w:p>
    <w:p>
      <w:pPr>
        <w:tabs>
          <w:tab w:val="right" w:pos="9638" w:leader="dot"/>
        </w:tabs>
        <w:spacing w:after="20"/>
        <w:ind w:left="300" w:right="0"/>
      </w:pPr>
      <w:r>
        <w:rPr>
          <w:rFonts w:ascii="Verdana" w:cs="Verdana" w:eastAsia="Verdana" w:hAnsi="Verdana"/>
          <w:sz w:val="19"/>
          <w:szCs w:val="19"/>
        </w:rPr>
        <w:t xml:space="preserve">113. Earn out (Chapter 30)</w:t>
      </w:r>
      <w:r>
        <w:rPr>
          <w:rFonts w:ascii="Verdana" w:cs="Verdana" w:eastAsia="Verdana" w:hAnsi="Verdana"/>
          <w:sz w:val="19"/>
          <w:szCs w:val="19"/>
        </w:rPr>
        <w:t xml:space="preserve">	122</w:t>
      </w:r>
    </w:p>
    <w:p>
      <w:pPr>
        <w:tabs>
          <w:tab w:val="right" w:pos="9638" w:leader="dot"/>
        </w:tabs>
        <w:spacing w:after="20"/>
        <w:ind w:left="300" w:right="0"/>
      </w:pPr>
      <w:r>
        <w:rPr>
          <w:rFonts w:ascii="Verdana" w:cs="Verdana" w:eastAsia="Verdana" w:hAnsi="Verdana"/>
          <w:sz w:val="19"/>
          <w:szCs w:val="19"/>
        </w:rPr>
        <w:t xml:space="preserve">114. Indirect transfer (Chapter 30)</w:t>
      </w:r>
      <w:r>
        <w:rPr>
          <w:rFonts w:ascii="Verdana" w:cs="Verdana" w:eastAsia="Verdana" w:hAnsi="Verdana"/>
          <w:sz w:val="19"/>
          <w:szCs w:val="19"/>
        </w:rPr>
        <w:t xml:space="preserve">	123</w:t>
      </w:r>
    </w:p>
    <w:p>
      <w:pPr>
        <w:tabs>
          <w:tab w:val="right" w:pos="9638" w:leader="dot"/>
        </w:tabs>
        <w:spacing w:after="20"/>
        <w:ind w:left="300" w:right="0"/>
      </w:pPr>
      <w:r>
        <w:rPr>
          <w:rFonts w:ascii="Verdana" w:cs="Verdana" w:eastAsia="Verdana" w:hAnsi="Verdana"/>
          <w:sz w:val="19"/>
          <w:szCs w:val="19"/>
        </w:rPr>
        <w:t xml:space="preserve">115. Merging a loss-making sister company (Chapter 30)</w:t>
      </w:r>
      <w:r>
        <w:rPr>
          <w:rFonts w:ascii="Verdana" w:cs="Verdana" w:eastAsia="Verdana" w:hAnsi="Verdana"/>
          <w:sz w:val="19"/>
          <w:szCs w:val="19"/>
        </w:rPr>
        <w:t xml:space="preserve">	123</w:t>
      </w:r>
    </w:p>
    <w:p>
      <w:pPr>
        <w:tabs>
          <w:tab w:val="right" w:pos="9638" w:leader="dot"/>
        </w:tabs>
        <w:spacing w:after="20"/>
        <w:ind w:left="300" w:right="0"/>
      </w:pPr>
      <w:r>
        <w:rPr>
          <w:rFonts w:ascii="Verdana" w:cs="Verdana" w:eastAsia="Verdana" w:hAnsi="Verdana"/>
          <w:sz w:val="19"/>
          <w:szCs w:val="19"/>
        </w:rPr>
        <w:t xml:space="preserve">116. Royalty to a US company (Chapter 31)</w:t>
      </w:r>
      <w:r>
        <w:rPr>
          <w:rFonts w:ascii="Verdana" w:cs="Verdana" w:eastAsia="Verdana" w:hAnsi="Verdana"/>
          <w:sz w:val="19"/>
          <w:szCs w:val="19"/>
        </w:rPr>
        <w:t xml:space="preserve">	126</w:t>
      </w:r>
    </w:p>
    <w:p>
      <w:pPr>
        <w:tabs>
          <w:tab w:val="right" w:pos="9638" w:leader="dot"/>
        </w:tabs>
        <w:spacing w:after="20"/>
        <w:ind w:left="300" w:right="0"/>
      </w:pPr>
      <w:r>
        <w:rPr>
          <w:rFonts w:ascii="Verdana" w:cs="Verdana" w:eastAsia="Verdana" w:hAnsi="Verdana"/>
          <w:sz w:val="19"/>
          <w:szCs w:val="19"/>
        </w:rPr>
        <w:t xml:space="preserve">117. Fees for technical services and the "make available" clause (Chapter 31)</w:t>
      </w:r>
      <w:r>
        <w:rPr>
          <w:rFonts w:ascii="Verdana" w:cs="Verdana" w:eastAsia="Verdana" w:hAnsi="Verdana"/>
          <w:sz w:val="19"/>
          <w:szCs w:val="19"/>
        </w:rPr>
        <w:t xml:space="preserve">	127</w:t>
      </w:r>
    </w:p>
    <w:p>
      <w:pPr>
        <w:tabs>
          <w:tab w:val="right" w:pos="9638" w:leader="dot"/>
        </w:tabs>
        <w:spacing w:after="20"/>
        <w:ind w:left="300" w:right="0"/>
      </w:pPr>
      <w:r>
        <w:rPr>
          <w:rFonts w:ascii="Verdana" w:cs="Verdana" w:eastAsia="Verdana" w:hAnsi="Verdana"/>
          <w:sz w:val="19"/>
          <w:szCs w:val="19"/>
        </w:rPr>
        <w:t xml:space="preserve">118. Service PE (Chapter 31)</w:t>
      </w:r>
      <w:r>
        <w:rPr>
          <w:rFonts w:ascii="Verdana" w:cs="Verdana" w:eastAsia="Verdana" w:hAnsi="Verdana"/>
          <w:sz w:val="19"/>
          <w:szCs w:val="19"/>
        </w:rPr>
        <w:t xml:space="preserve">	127</w:t>
      </w:r>
    </w:p>
    <w:p>
      <w:pPr>
        <w:tabs>
          <w:tab w:val="right" w:pos="9638" w:leader="dot"/>
        </w:tabs>
        <w:spacing w:after="20"/>
        <w:ind w:left="300" w:right="0"/>
      </w:pPr>
      <w:r>
        <w:rPr>
          <w:rFonts w:ascii="Verdana" w:cs="Verdana" w:eastAsia="Verdana" w:hAnsi="Verdana"/>
          <w:sz w:val="19"/>
          <w:szCs w:val="19"/>
        </w:rPr>
        <w:t xml:space="preserve">119. Grossing up (Chapter 31)</w:t>
      </w:r>
      <w:r>
        <w:rPr>
          <w:rFonts w:ascii="Verdana" w:cs="Verdana" w:eastAsia="Verdana" w:hAnsi="Verdana"/>
          <w:sz w:val="19"/>
          <w:szCs w:val="19"/>
        </w:rPr>
        <w:t xml:space="preserve">	127</w:t>
      </w:r>
    </w:p>
    <w:p>
      <w:pPr>
        <w:tabs>
          <w:tab w:val="right" w:pos="9638" w:leader="dot"/>
        </w:tabs>
        <w:spacing w:after="20"/>
        <w:ind w:left="300" w:right="0"/>
      </w:pPr>
      <w:r>
        <w:rPr>
          <w:rFonts w:ascii="Verdana" w:cs="Verdana" w:eastAsia="Verdana" w:hAnsi="Verdana"/>
          <w:sz w:val="19"/>
          <w:szCs w:val="19"/>
        </w:rPr>
        <w:t xml:space="preserve">120. Foreign tax credit (Chapter 31)</w:t>
      </w:r>
      <w:r>
        <w:rPr>
          <w:rFonts w:ascii="Verdana" w:cs="Verdana" w:eastAsia="Verdana" w:hAnsi="Verdana"/>
          <w:sz w:val="19"/>
          <w:szCs w:val="19"/>
        </w:rPr>
        <w:t xml:space="preserve">	128</w:t>
      </w:r>
    </w:p>
    <w:p>
      <w:pPr>
        <w:tabs>
          <w:tab w:val="right" w:pos="9638" w:leader="dot"/>
        </w:tabs>
        <w:spacing w:after="20"/>
        <w:ind w:left="300" w:right="0"/>
      </w:pPr>
      <w:r>
        <w:rPr>
          <w:rFonts w:ascii="Verdana" w:cs="Verdana" w:eastAsia="Verdana" w:hAnsi="Verdana"/>
          <w:sz w:val="19"/>
          <w:szCs w:val="19"/>
        </w:rPr>
        <w:t xml:space="preserve">121. Short stay employee under a treaty (Chapter 31)</w:t>
      </w:r>
      <w:r>
        <w:rPr>
          <w:rFonts w:ascii="Verdana" w:cs="Verdana" w:eastAsia="Verdana" w:hAnsi="Verdana"/>
          <w:sz w:val="19"/>
          <w:szCs w:val="19"/>
        </w:rPr>
        <w:t xml:space="preserve">	130</w:t>
      </w:r>
    </w:p>
    <w:p>
      <w:pPr>
        <w:tabs>
          <w:tab w:val="right" w:pos="9638" w:leader="dot"/>
        </w:tabs>
        <w:spacing w:after="20"/>
        <w:ind w:left="300" w:right="0"/>
      </w:pPr>
      <w:r>
        <w:rPr>
          <w:rFonts w:ascii="Verdana" w:cs="Verdana" w:eastAsia="Verdana" w:hAnsi="Verdana"/>
          <w:sz w:val="19"/>
          <w:szCs w:val="19"/>
        </w:rPr>
        <w:t xml:space="preserve">122. Schedule FA (Chapter 31)</w:t>
      </w:r>
      <w:r>
        <w:rPr>
          <w:rFonts w:ascii="Verdana" w:cs="Verdana" w:eastAsia="Verdana" w:hAnsi="Verdana"/>
          <w:sz w:val="19"/>
          <w:szCs w:val="19"/>
        </w:rPr>
        <w:t xml:space="preserve">	132</w:t>
      </w:r>
    </w:p>
    <w:p>
      <w:pPr>
        <w:tabs>
          <w:tab w:val="right" w:pos="9638" w:leader="dot"/>
        </w:tabs>
        <w:spacing w:after="20"/>
        <w:ind w:left="300" w:right="0"/>
      </w:pPr>
      <w:r>
        <w:rPr>
          <w:rFonts w:ascii="Verdana" w:cs="Verdana" w:eastAsia="Verdana" w:hAnsi="Verdana"/>
          <w:sz w:val="19"/>
          <w:szCs w:val="19"/>
        </w:rPr>
        <w:t xml:space="preserve">123. TDS on purchase from an NRI (Chapter 32)</w:t>
      </w:r>
      <w:r>
        <w:rPr>
          <w:rFonts w:ascii="Verdana" w:cs="Verdana" w:eastAsia="Verdana" w:hAnsi="Verdana"/>
          <w:sz w:val="19"/>
          <w:szCs w:val="19"/>
        </w:rPr>
        <w:t xml:space="preserve">	133</w:t>
      </w:r>
    </w:p>
    <w:p>
      <w:pPr>
        <w:tabs>
          <w:tab w:val="right" w:pos="9638" w:leader="dot"/>
        </w:tabs>
        <w:spacing w:after="20"/>
        <w:ind w:left="300" w:right="0"/>
      </w:pPr>
      <w:r>
        <w:rPr>
          <w:rFonts w:ascii="Verdana" w:cs="Verdana" w:eastAsia="Verdana" w:hAnsi="Verdana"/>
          <w:sz w:val="19"/>
          <w:szCs w:val="19"/>
        </w:rPr>
        <w:t xml:space="preserve">124. Seafarer (Chapter 32)</w:t>
      </w:r>
      <w:r>
        <w:rPr>
          <w:rFonts w:ascii="Verdana" w:cs="Verdana" w:eastAsia="Verdana" w:hAnsi="Verdana"/>
          <w:sz w:val="19"/>
          <w:szCs w:val="19"/>
        </w:rPr>
        <w:t xml:space="preserve">	134</w:t>
      </w:r>
    </w:p>
    <w:p>
      <w:pPr>
        <w:tabs>
          <w:tab w:val="right" w:pos="9638" w:leader="dot"/>
        </w:tabs>
        <w:spacing w:after="20"/>
        <w:ind w:left="300" w:right="0"/>
      </w:pPr>
      <w:r>
        <w:rPr>
          <w:rFonts w:ascii="Verdana" w:cs="Verdana" w:eastAsia="Verdana" w:hAnsi="Verdana"/>
          <w:sz w:val="19"/>
          <w:szCs w:val="19"/>
        </w:rPr>
        <w:t xml:space="preserve">125. Software services to the US parent (Chapter 33)</w:t>
      </w:r>
      <w:r>
        <w:rPr>
          <w:rFonts w:ascii="Verdana" w:cs="Verdana" w:eastAsia="Verdana" w:hAnsi="Verdana"/>
          <w:sz w:val="19"/>
          <w:szCs w:val="19"/>
        </w:rPr>
        <w:t xml:space="preserve">	136</w:t>
      </w:r>
    </w:p>
    <w:p>
      <w:pPr>
        <w:tabs>
          <w:tab w:val="right" w:pos="9638" w:leader="dot"/>
        </w:tabs>
        <w:spacing w:after="20"/>
        <w:ind w:left="300" w:right="0"/>
      </w:pPr>
      <w:r>
        <w:rPr>
          <w:rFonts w:ascii="Verdana" w:cs="Verdana" w:eastAsia="Verdana" w:hAnsi="Verdana"/>
          <w:sz w:val="19"/>
          <w:szCs w:val="19"/>
        </w:rPr>
        <w:t xml:space="preserve">126. Safe harbour check (Chapter 33)</w:t>
      </w:r>
      <w:r>
        <w:rPr>
          <w:rFonts w:ascii="Verdana" w:cs="Verdana" w:eastAsia="Verdana" w:hAnsi="Verdana"/>
          <w:sz w:val="19"/>
          <w:szCs w:val="19"/>
        </w:rPr>
        <w:t xml:space="preserve">	136</w:t>
      </w:r>
    </w:p>
    <w:p>
      <w:pPr>
        <w:tabs>
          <w:tab w:val="right" w:pos="9638" w:leader="dot"/>
        </w:tabs>
        <w:spacing w:after="20"/>
        <w:ind w:left="300" w:right="0"/>
      </w:pPr>
      <w:r>
        <w:rPr>
          <w:rFonts w:ascii="Verdana" w:cs="Verdana" w:eastAsia="Verdana" w:hAnsi="Verdana"/>
          <w:sz w:val="19"/>
          <w:szCs w:val="19"/>
        </w:rPr>
        <w:t xml:space="preserve">127. Computing the range (Chapter 33)</w:t>
      </w:r>
      <w:r>
        <w:rPr>
          <w:rFonts w:ascii="Verdana" w:cs="Verdana" w:eastAsia="Verdana" w:hAnsi="Verdana"/>
          <w:sz w:val="19"/>
          <w:szCs w:val="19"/>
        </w:rPr>
        <w:t xml:space="preserve">	138</w:t>
      </w:r>
    </w:p>
    <w:p>
      <w:pPr>
        <w:tabs>
          <w:tab w:val="right" w:pos="9638" w:leader="dot"/>
        </w:tabs>
        <w:spacing w:after="20"/>
        <w:ind w:left="300" w:right="0"/>
      </w:pPr>
      <w:r>
        <w:rPr>
          <w:rFonts w:ascii="Verdana" w:cs="Verdana" w:eastAsia="Verdana" w:hAnsi="Verdana"/>
          <w:sz w:val="19"/>
          <w:szCs w:val="19"/>
        </w:rPr>
        <w:t xml:space="preserve">128. Outbound loan (Chapter 33)</w:t>
      </w:r>
      <w:r>
        <w:rPr>
          <w:rFonts w:ascii="Verdana" w:cs="Verdana" w:eastAsia="Verdana" w:hAnsi="Verdana"/>
          <w:sz w:val="19"/>
          <w:szCs w:val="19"/>
        </w:rPr>
        <w:t xml:space="preserve">	138</w:t>
      </w:r>
    </w:p>
    <w:p>
      <w:pPr>
        <w:tabs>
          <w:tab w:val="right" w:pos="9638" w:leader="dot"/>
        </w:tabs>
        <w:spacing w:after="20"/>
        <w:ind w:left="300" w:right="0"/>
      </w:pPr>
      <w:r>
        <w:rPr>
          <w:rFonts w:ascii="Verdana" w:cs="Verdana" w:eastAsia="Verdana" w:hAnsi="Verdana"/>
          <w:sz w:val="19"/>
          <w:szCs w:val="19"/>
        </w:rPr>
        <w:t xml:space="preserve">129. Interest cap (Chapter 34)</w:t>
      </w:r>
      <w:r>
        <w:rPr>
          <w:rFonts w:ascii="Verdana" w:cs="Verdana" w:eastAsia="Verdana" w:hAnsi="Verdana"/>
          <w:sz w:val="19"/>
          <w:szCs w:val="19"/>
        </w:rPr>
        <w:t xml:space="preserve">	142</w:t>
      </w:r>
    </w:p>
    <w:p>
      <w:pPr>
        <w:tabs>
          <w:tab w:val="right" w:pos="9638" w:leader="dot"/>
        </w:tabs>
        <w:spacing w:after="20"/>
        <w:ind w:left="300" w:right="0"/>
      </w:pPr>
      <w:r>
        <w:rPr>
          <w:rFonts w:ascii="Verdana" w:cs="Verdana" w:eastAsia="Verdana" w:hAnsi="Verdana"/>
          <w:sz w:val="19"/>
          <w:szCs w:val="19"/>
        </w:rPr>
        <w:t xml:space="preserve">130. Treaty shopping through a shell (Chapter 34)</w:t>
      </w:r>
      <w:r>
        <w:rPr>
          <w:rFonts w:ascii="Verdana" w:cs="Verdana" w:eastAsia="Verdana" w:hAnsi="Verdana"/>
          <w:sz w:val="19"/>
          <w:szCs w:val="19"/>
        </w:rPr>
        <w:t xml:space="preserve">	143</w:t>
      </w:r>
    </w:p>
    <w:p>
      <w:pPr>
        <w:tabs>
          <w:tab w:val="right" w:pos="9638" w:leader="dot"/>
        </w:tabs>
        <w:spacing w:after="20"/>
        <w:ind w:left="300" w:right="0"/>
      </w:pPr>
      <w:r>
        <w:rPr>
          <w:rFonts w:ascii="Verdana" w:cs="Verdana" w:eastAsia="Verdana" w:hAnsi="Verdana"/>
          <w:sz w:val="19"/>
          <w:szCs w:val="19"/>
        </w:rPr>
        <w:t xml:space="preserve">131. Round tripping (Chapter 34)</w:t>
      </w:r>
      <w:r>
        <w:rPr>
          <w:rFonts w:ascii="Verdana" w:cs="Verdana" w:eastAsia="Verdana" w:hAnsi="Verdana"/>
          <w:sz w:val="19"/>
          <w:szCs w:val="19"/>
        </w:rPr>
        <w:t xml:space="preserve">	144</w:t>
      </w:r>
    </w:p>
    <w:p>
      <w:pPr>
        <w:tabs>
          <w:tab w:val="right" w:pos="9638" w:leader="dot"/>
        </w:tabs>
        <w:spacing w:after="20"/>
        <w:ind w:left="300" w:right="0"/>
      </w:pPr>
      <w:r>
        <w:rPr>
          <w:rFonts w:ascii="Verdana" w:cs="Verdana" w:eastAsia="Verdana" w:hAnsi="Verdana"/>
          <w:sz w:val="19"/>
          <w:szCs w:val="19"/>
        </w:rPr>
        <w:t xml:space="preserve">132. Professional fees (Chapter 35)</w:t>
      </w:r>
      <w:r>
        <w:rPr>
          <w:rFonts w:ascii="Verdana" w:cs="Verdana" w:eastAsia="Verdana" w:hAnsi="Verdana"/>
          <w:sz w:val="19"/>
          <w:szCs w:val="19"/>
        </w:rPr>
        <w:t xml:space="preserve">	146</w:t>
      </w:r>
    </w:p>
    <w:p>
      <w:pPr>
        <w:tabs>
          <w:tab w:val="right" w:pos="9638" w:leader="dot"/>
        </w:tabs>
        <w:spacing w:after="20"/>
        <w:ind w:left="300" w:right="0"/>
      </w:pPr>
      <w:r>
        <w:rPr>
          <w:rFonts w:ascii="Verdana" w:cs="Verdana" w:eastAsia="Verdana" w:hAnsi="Verdana"/>
          <w:sz w:val="19"/>
          <w:szCs w:val="19"/>
        </w:rPr>
        <w:t xml:space="preserve">133. Contractor with several bills (Chapter 35)</w:t>
      </w:r>
      <w:r>
        <w:rPr>
          <w:rFonts w:ascii="Verdana" w:cs="Verdana" w:eastAsia="Verdana" w:hAnsi="Verdana"/>
          <w:sz w:val="19"/>
          <w:szCs w:val="19"/>
        </w:rPr>
        <w:t xml:space="preserve">	146</w:t>
      </w:r>
    </w:p>
    <w:p>
      <w:pPr>
        <w:tabs>
          <w:tab w:val="right" w:pos="9638" w:leader="dot"/>
        </w:tabs>
        <w:spacing w:after="20"/>
        <w:ind w:left="300" w:right="0"/>
      </w:pPr>
      <w:r>
        <w:rPr>
          <w:rFonts w:ascii="Verdana" w:cs="Verdana" w:eastAsia="Verdana" w:hAnsi="Verdana"/>
          <w:sz w:val="19"/>
          <w:szCs w:val="19"/>
        </w:rPr>
        <w:t xml:space="preserve">134. Property purchase (Chapter 35)</w:t>
      </w:r>
      <w:r>
        <w:rPr>
          <w:rFonts w:ascii="Verdana" w:cs="Verdana" w:eastAsia="Verdana" w:hAnsi="Verdana"/>
          <w:sz w:val="19"/>
          <w:szCs w:val="19"/>
        </w:rPr>
        <w:t xml:space="preserve">	146</w:t>
      </w:r>
    </w:p>
    <w:p>
      <w:pPr>
        <w:tabs>
          <w:tab w:val="right" w:pos="9638" w:leader="dot"/>
        </w:tabs>
        <w:spacing w:after="20"/>
        <w:ind w:left="300" w:right="0"/>
      </w:pPr>
      <w:r>
        <w:rPr>
          <w:rFonts w:ascii="Verdana" w:cs="Verdana" w:eastAsia="Verdana" w:hAnsi="Verdana"/>
          <w:sz w:val="19"/>
          <w:szCs w:val="19"/>
        </w:rPr>
        <w:t xml:space="preserve">135. Senior citizen FD (Chapter 35)</w:t>
      </w:r>
      <w:r>
        <w:rPr>
          <w:rFonts w:ascii="Verdana" w:cs="Verdana" w:eastAsia="Verdana" w:hAnsi="Verdana"/>
          <w:sz w:val="19"/>
          <w:szCs w:val="19"/>
        </w:rPr>
        <w:t xml:space="preserve">	146</w:t>
      </w:r>
    </w:p>
    <w:p>
      <w:pPr>
        <w:tabs>
          <w:tab w:val="right" w:pos="9638" w:leader="dot"/>
        </w:tabs>
        <w:spacing w:after="20"/>
        <w:ind w:left="300" w:right="0"/>
      </w:pPr>
      <w:r>
        <w:rPr>
          <w:rFonts w:ascii="Verdana" w:cs="Verdana" w:eastAsia="Verdana" w:hAnsi="Verdana"/>
          <w:sz w:val="19"/>
          <w:szCs w:val="19"/>
        </w:rPr>
        <w:t xml:space="preserve">136. Late deposit (Chapter 35)</w:t>
      </w:r>
      <w:r>
        <w:rPr>
          <w:rFonts w:ascii="Verdana" w:cs="Verdana" w:eastAsia="Verdana" w:hAnsi="Verdana"/>
          <w:sz w:val="19"/>
          <w:szCs w:val="19"/>
        </w:rPr>
        <w:t xml:space="preserve">	147</w:t>
      </w:r>
    </w:p>
    <w:p>
      <w:pPr>
        <w:tabs>
          <w:tab w:val="right" w:pos="9638" w:leader="dot"/>
        </w:tabs>
        <w:spacing w:after="20"/>
        <w:ind w:left="300" w:right="0"/>
      </w:pPr>
      <w:r>
        <w:rPr>
          <w:rFonts w:ascii="Verdana" w:cs="Verdana" w:eastAsia="Verdana" w:hAnsi="Verdana"/>
          <w:sz w:val="19"/>
          <w:szCs w:val="19"/>
        </w:rPr>
        <w:t xml:space="preserve">137. Job work (Chapter 35)</w:t>
      </w:r>
      <w:r>
        <w:rPr>
          <w:rFonts w:ascii="Verdana" w:cs="Verdana" w:eastAsia="Verdana" w:hAnsi="Verdana"/>
          <w:sz w:val="19"/>
          <w:szCs w:val="19"/>
        </w:rPr>
        <w:t xml:space="preserve">	148</w:t>
      </w:r>
    </w:p>
    <w:p>
      <w:pPr>
        <w:tabs>
          <w:tab w:val="right" w:pos="9638" w:leader="dot"/>
        </w:tabs>
        <w:spacing w:after="20"/>
        <w:ind w:left="300" w:right="0"/>
      </w:pPr>
      <w:r>
        <w:rPr>
          <w:rFonts w:ascii="Verdana" w:cs="Verdana" w:eastAsia="Verdana" w:hAnsi="Verdana"/>
          <w:sz w:val="19"/>
          <w:szCs w:val="19"/>
        </w:rPr>
        <w:t xml:space="preserve">138. Rent with GST (Chapter 35)</w:t>
      </w:r>
      <w:r>
        <w:rPr>
          <w:rFonts w:ascii="Verdana" w:cs="Verdana" w:eastAsia="Verdana" w:hAnsi="Verdana"/>
          <w:sz w:val="19"/>
          <w:szCs w:val="19"/>
        </w:rPr>
        <w:t xml:space="preserve">	149</w:t>
      </w:r>
    </w:p>
    <w:p>
      <w:pPr>
        <w:tabs>
          <w:tab w:val="right" w:pos="9638" w:leader="dot"/>
        </w:tabs>
        <w:spacing w:after="20"/>
        <w:ind w:left="300" w:right="0"/>
      </w:pPr>
      <w:r>
        <w:rPr>
          <w:rFonts w:ascii="Verdana" w:cs="Verdana" w:eastAsia="Verdana" w:hAnsi="Verdana"/>
          <w:sz w:val="19"/>
          <w:szCs w:val="19"/>
        </w:rPr>
        <w:t xml:space="preserve">139. Joint buyers (Chapter 35)</w:t>
      </w:r>
      <w:r>
        <w:rPr>
          <w:rFonts w:ascii="Verdana" w:cs="Verdana" w:eastAsia="Verdana" w:hAnsi="Verdana"/>
          <w:sz w:val="19"/>
          <w:szCs w:val="19"/>
        </w:rPr>
        <w:t xml:space="preserve">	149</w:t>
      </w:r>
    </w:p>
    <w:p>
      <w:pPr>
        <w:tabs>
          <w:tab w:val="right" w:pos="9638" w:leader="dot"/>
        </w:tabs>
        <w:spacing w:after="20"/>
        <w:ind w:left="300" w:right="0"/>
      </w:pPr>
      <w:r>
        <w:rPr>
          <w:rFonts w:ascii="Verdana" w:cs="Verdana" w:eastAsia="Verdana" w:hAnsi="Verdana"/>
          <w:sz w:val="19"/>
          <w:szCs w:val="19"/>
        </w:rPr>
        <w:t xml:space="preserve">140. Monthly TDS (Chapter 36)</w:t>
      </w:r>
      <w:r>
        <w:rPr>
          <w:rFonts w:ascii="Verdana" w:cs="Verdana" w:eastAsia="Verdana" w:hAnsi="Verdana"/>
          <w:sz w:val="19"/>
          <w:szCs w:val="19"/>
        </w:rPr>
        <w:t xml:space="preserve">	153</w:t>
      </w:r>
    </w:p>
    <w:p>
      <w:pPr>
        <w:tabs>
          <w:tab w:val="right" w:pos="9638" w:leader="dot"/>
        </w:tabs>
        <w:spacing w:after="20"/>
        <w:ind w:left="300" w:right="0"/>
      </w:pPr>
      <w:r>
        <w:rPr>
          <w:rFonts w:ascii="Verdana" w:cs="Verdana" w:eastAsia="Verdana" w:hAnsi="Verdana"/>
          <w:sz w:val="19"/>
          <w:szCs w:val="19"/>
        </w:rPr>
        <w:t xml:space="preserve">141. Shortfall (Chapter 37)</w:t>
      </w:r>
      <w:r>
        <w:rPr>
          <w:rFonts w:ascii="Verdana" w:cs="Verdana" w:eastAsia="Verdana" w:hAnsi="Verdana"/>
          <w:sz w:val="19"/>
          <w:szCs w:val="19"/>
        </w:rPr>
        <w:t xml:space="preserve">	155</w:t>
      </w:r>
    </w:p>
    <w:p>
      <w:pPr>
        <w:tabs>
          <w:tab w:val="right" w:pos="9638" w:leader="dot"/>
        </w:tabs>
        <w:spacing w:after="20"/>
        <w:ind w:left="300" w:right="0"/>
      </w:pPr>
      <w:r>
        <w:rPr>
          <w:rFonts w:ascii="Verdana" w:cs="Verdana" w:eastAsia="Verdana" w:hAnsi="Verdana"/>
          <w:sz w:val="19"/>
          <w:szCs w:val="19"/>
        </w:rPr>
        <w:t xml:space="preserve">142. Instalments and interest (Chapter 37)</w:t>
      </w:r>
      <w:r>
        <w:rPr>
          <w:rFonts w:ascii="Verdana" w:cs="Verdana" w:eastAsia="Verdana" w:hAnsi="Verdana"/>
          <w:sz w:val="19"/>
          <w:szCs w:val="19"/>
        </w:rPr>
        <w:t xml:space="preserve">	155</w:t>
      </w:r>
    </w:p>
    <w:p>
      <w:pPr>
        <w:tabs>
          <w:tab w:val="right" w:pos="9638" w:leader="dot"/>
        </w:tabs>
        <w:spacing w:after="20"/>
        <w:ind w:left="300" w:right="0"/>
      </w:pPr>
      <w:r>
        <w:rPr>
          <w:rFonts w:ascii="Verdana" w:cs="Verdana" w:eastAsia="Verdana" w:hAnsi="Verdana"/>
          <w:sz w:val="19"/>
          <w:szCs w:val="19"/>
        </w:rPr>
        <w:t xml:space="preserve">143. Missed FD interest (Chapter 38)</w:t>
      </w:r>
      <w:r>
        <w:rPr>
          <w:rFonts w:ascii="Verdana" w:cs="Verdana" w:eastAsia="Verdana" w:hAnsi="Verdana"/>
          <w:sz w:val="19"/>
          <w:szCs w:val="19"/>
        </w:rPr>
        <w:t xml:space="preserve">	157</w:t>
      </w:r>
    </w:p>
    <w:p>
      <w:pPr>
        <w:tabs>
          <w:tab w:val="right" w:pos="9638" w:leader="dot"/>
        </w:tabs>
        <w:spacing w:after="20"/>
        <w:ind w:left="300" w:right="0"/>
      </w:pPr>
      <w:r>
        <w:rPr>
          <w:rFonts w:ascii="Verdana" w:cs="Verdana" w:eastAsia="Verdana" w:hAnsi="Verdana"/>
          <w:sz w:val="19"/>
          <w:szCs w:val="19"/>
        </w:rPr>
        <w:t xml:space="preserve">144. AIS mismatch (Chapter 38)</w:t>
      </w:r>
      <w:r>
        <w:rPr>
          <w:rFonts w:ascii="Verdana" w:cs="Verdana" w:eastAsia="Verdana" w:hAnsi="Verdana"/>
          <w:sz w:val="19"/>
          <w:szCs w:val="19"/>
        </w:rPr>
        <w:t xml:space="preserve">	159</w:t>
      </w:r>
    </w:p>
    <w:p>
      <w:pPr>
        <w:tabs>
          <w:tab w:val="right" w:pos="9638" w:leader="dot"/>
        </w:tabs>
        <w:spacing w:after="20"/>
        <w:ind w:left="300" w:right="0"/>
      </w:pPr>
      <w:r>
        <w:rPr>
          <w:rFonts w:ascii="Verdana" w:cs="Verdana" w:eastAsia="Verdana" w:hAnsi="Verdana"/>
          <w:sz w:val="19"/>
          <w:szCs w:val="19"/>
        </w:rPr>
        <w:t xml:space="preserve">145. Mismatch intimation (Chapter 40)</w:t>
      </w:r>
      <w:r>
        <w:rPr>
          <w:rFonts w:ascii="Verdana" w:cs="Verdana" w:eastAsia="Verdana" w:hAnsi="Verdana"/>
          <w:sz w:val="19"/>
          <w:szCs w:val="19"/>
        </w:rPr>
        <w:t xml:space="preserve">	163</w:t>
      </w:r>
    </w:p>
    <w:p>
      <w:pPr>
        <w:tabs>
          <w:tab w:val="right" w:pos="9638" w:leader="dot"/>
        </w:tabs>
        <w:spacing w:after="20"/>
        <w:ind w:left="300" w:right="0"/>
      </w:pPr>
      <w:r>
        <w:rPr>
          <w:rFonts w:ascii="Verdana" w:cs="Verdana" w:eastAsia="Verdana" w:hAnsi="Verdana"/>
          <w:sz w:val="19"/>
          <w:szCs w:val="19"/>
        </w:rPr>
        <w:t xml:space="preserve">146. Paying the right challan (Chapter 41)</w:t>
      </w:r>
      <w:r>
        <w:rPr>
          <w:rFonts w:ascii="Verdana" w:cs="Verdana" w:eastAsia="Verdana" w:hAnsi="Verdana"/>
          <w:sz w:val="19"/>
          <w:szCs w:val="19"/>
        </w:rPr>
        <w:t xml:space="preserve">	165</w:t>
      </w:r>
    </w:p>
    <w:p>
      <w:pPr>
        <w:tabs>
          <w:tab w:val="right" w:pos="9638" w:leader="dot"/>
        </w:tabs>
        <w:spacing w:after="20"/>
        <w:ind w:left="300" w:right="0"/>
      </w:pPr>
      <w:r>
        <w:rPr>
          <w:rFonts w:ascii="Verdana" w:cs="Verdana" w:eastAsia="Verdana" w:hAnsi="Verdana"/>
          <w:sz w:val="19"/>
          <w:szCs w:val="19"/>
        </w:rPr>
        <w:t xml:space="preserve">147. Processing adjustment (Chapter 42)</w:t>
      </w:r>
      <w:r>
        <w:rPr>
          <w:rFonts w:ascii="Verdana" w:cs="Verdana" w:eastAsia="Verdana" w:hAnsi="Verdana"/>
          <w:sz w:val="19"/>
          <w:szCs w:val="19"/>
        </w:rPr>
        <w:t xml:space="preserve">	166</w:t>
      </w:r>
    </w:p>
    <w:p>
      <w:pPr>
        <w:tabs>
          <w:tab w:val="right" w:pos="9638" w:leader="dot"/>
        </w:tabs>
        <w:spacing w:after="20"/>
        <w:ind w:left="300" w:right="0"/>
      </w:pPr>
      <w:r>
        <w:rPr>
          <w:rFonts w:ascii="Verdana" w:cs="Verdana" w:eastAsia="Verdana" w:hAnsi="Verdana"/>
          <w:sz w:val="19"/>
          <w:szCs w:val="19"/>
        </w:rPr>
        <w:t xml:space="preserve">148. Bank credits notice (Chapter 42)</w:t>
      </w:r>
      <w:r>
        <w:rPr>
          <w:rFonts w:ascii="Verdana" w:cs="Verdana" w:eastAsia="Verdana" w:hAnsi="Verdana"/>
          <w:sz w:val="19"/>
          <w:szCs w:val="19"/>
        </w:rPr>
        <w:t xml:space="preserve">	167</w:t>
      </w:r>
    </w:p>
    <w:p>
      <w:pPr>
        <w:tabs>
          <w:tab w:val="right" w:pos="9638" w:leader="dot"/>
        </w:tabs>
        <w:spacing w:after="20"/>
        <w:ind w:left="300" w:right="0"/>
      </w:pPr>
      <w:r>
        <w:rPr>
          <w:rFonts w:ascii="Verdana" w:cs="Verdana" w:eastAsia="Verdana" w:hAnsi="Verdana"/>
          <w:sz w:val="19"/>
          <w:szCs w:val="19"/>
        </w:rPr>
        <w:t xml:space="preserve">149. Block assessment (Chapter 43)</w:t>
      </w:r>
      <w:r>
        <w:rPr>
          <w:rFonts w:ascii="Verdana" w:cs="Verdana" w:eastAsia="Verdana" w:hAnsi="Verdana"/>
          <w:sz w:val="19"/>
          <w:szCs w:val="19"/>
        </w:rPr>
        <w:t xml:space="preserve">	170</w:t>
      </w:r>
    </w:p>
    <w:p>
      <w:pPr>
        <w:tabs>
          <w:tab w:val="right" w:pos="9638" w:leader="dot"/>
        </w:tabs>
        <w:spacing w:after="20"/>
        <w:ind w:left="300" w:right="0"/>
      </w:pPr>
      <w:r>
        <w:rPr>
          <w:rFonts w:ascii="Verdana" w:cs="Verdana" w:eastAsia="Verdana" w:hAnsi="Verdana"/>
          <w:sz w:val="19"/>
          <w:szCs w:val="19"/>
        </w:rPr>
        <w:t xml:space="preserve">150. Refund interest (Chapter 45)</w:t>
      </w:r>
      <w:r>
        <w:rPr>
          <w:rFonts w:ascii="Verdana" w:cs="Verdana" w:eastAsia="Verdana" w:hAnsi="Verdana"/>
          <w:sz w:val="19"/>
          <w:szCs w:val="19"/>
        </w:rPr>
        <w:t xml:space="preserve">	174</w:t>
      </w:r>
    </w:p>
    <w:p>
      <w:pPr>
        <w:tabs>
          <w:tab w:val="right" w:pos="9638" w:leader="dot"/>
        </w:tabs>
        <w:spacing w:after="20"/>
        <w:ind w:left="300" w:right="0"/>
      </w:pPr>
      <w:r>
        <w:rPr>
          <w:rFonts w:ascii="Verdana" w:cs="Verdana" w:eastAsia="Verdana" w:hAnsi="Verdana"/>
          <w:sz w:val="19"/>
          <w:szCs w:val="19"/>
        </w:rPr>
        <w:t xml:space="preserve">151. Under-reporting (Chapter 46)</w:t>
      </w:r>
      <w:r>
        <w:rPr>
          <w:rFonts w:ascii="Verdana" w:cs="Verdana" w:eastAsia="Verdana" w:hAnsi="Verdana"/>
          <w:sz w:val="19"/>
          <w:szCs w:val="19"/>
        </w:rPr>
        <w:t xml:space="preserve">	175</w:t>
      </w:r>
    </w:p>
    <w:p>
      <w:pPr>
        <w:tabs>
          <w:tab w:val="right" w:pos="9638" w:leader="dot"/>
        </w:tabs>
        <w:spacing w:after="20"/>
        <w:ind w:left="300" w:right="0"/>
      </w:pPr>
      <w:r>
        <w:rPr>
          <w:rFonts w:ascii="Verdana" w:cs="Verdana" w:eastAsia="Verdana" w:hAnsi="Verdana"/>
          <w:sz w:val="19"/>
          <w:szCs w:val="19"/>
        </w:rPr>
        <w:t xml:space="preserve">152. Immunity decision (Chapter 46)</w:t>
      </w:r>
      <w:r>
        <w:rPr>
          <w:rFonts w:ascii="Verdana" w:cs="Verdana" w:eastAsia="Verdana" w:hAnsi="Verdana"/>
          <w:sz w:val="19"/>
          <w:szCs w:val="19"/>
        </w:rPr>
        <w:t xml:space="preserve">	176</w:t>
      </w:r>
    </w:p>
    <w:p>
      <w:pPr>
        <w:pStyle w:val="TocPart"/>
        <w:pageBreakBefore/>
        <w:shd w:fill="92400E" w:color="auto" w:val="clear"/>
        <w:spacing w:after="0" w:before="0"/>
        <w:ind w:left="0"/>
      </w:pPr>
      <w:r>
        <w:rPr>
          <w:rFonts w:ascii="Verdana" w:cs="Verdana" w:eastAsia="Verdana" w:hAnsi="Verdana"/>
          <w:b/>
          <w:bCs/>
          <w:color w:val="FFFFFF"/>
          <w:sz w:val="26"/>
          <w:szCs w:val="26"/>
        </w:rPr>
        <w:t xml:space="preserve">  PART A: FOUNDATIONS</w:t>
      </w:r>
    </w:p>
    <w:p>
      <w:pPr>
        <w:shd w:fill="F6E8D2" w:color="auto" w:val="clear"/>
        <w:spacing w:after="200"/>
      </w:pPr>
      <w:r>
        <w:rPr>
          <w:rFonts w:ascii="Verdana" w:cs="Verdana" w:eastAsia="Verdana" w:hAnsi="Verdana"/>
          <w:i/>
          <w:iCs/>
          <w:color w:val="92400E"/>
          <w:sz w:val="20"/>
          <w:szCs w:val="20"/>
        </w:rPr>
        <w:t xml:space="preserve">  The new structure, the Tax Year, residence and the scheme of taxation</w:t>
      </w:r>
    </w:p>
    <w:p>
      <w:pPr>
        <w:spacing w:after="240" w:line="276"/>
        <w:jc w:val="both"/>
      </w:pPr>
      <w:r>
        <w:rPr>
          <w:rFonts w:ascii="Verdana" w:cs="Verdana" w:eastAsia="Verdana" w:hAnsi="Verdana"/>
          <w:i/>
          <w:iCs/>
          <w:color w:val="404040"/>
          <w:sz w:val="21"/>
          <w:szCs w:val="21"/>
        </w:rPr>
        <w:t xml:space="preserve">This part sets the stage. It explains why the 2025 Act was enacted, how it is arranged, and how to decide which Act applies during the transition. It then covers the three questions that come before any computation: which year (Tax Year), who is taxable and to what extent (residential status and scope), and which head the income falls under, including what is exempt.</w:t>
      </w:r>
    </w:p>
    <w:p>
      <w:pPr>
        <w:pStyle w:val="Heading1"/>
        <w:spacing w:after="200" w:before="120"/>
      </w:pPr>
      <w:r>
        <w:rPr>
          <w:rFonts w:ascii="Verdana" w:cs="Verdana" w:eastAsia="Verdana" w:hAnsi="Verdana"/>
        </w:rPr>
        <w:t xml:space="preserve">1. The Big Picture</w:t>
      </w:r>
    </w:p>
    <w:p>
      <w:pPr>
        <w:pStyle w:val="Heading2"/>
        <w:keepNext/>
        <w:spacing w:after="120" w:before="240"/>
      </w:pPr>
      <w:r>
        <w:rPr>
          <w:rFonts w:ascii="Verdana" w:cs="Verdana" w:eastAsia="Verdana" w:hAnsi="Verdana"/>
        </w:rPr>
        <w:t xml:space="preserve">1.1 Why a new Act?</w:t>
      </w:r>
    </w:p>
    <w:p>
      <w:pPr>
        <w:spacing w:after="120" w:line="276"/>
        <w:jc w:val="both"/>
      </w:pPr>
      <w:r>
        <w:rPr>
          <w:rFonts w:ascii="Verdana" w:cs="Verdana" w:eastAsia="Verdana" w:hAnsi="Verdana"/>
        </w:rPr>
        <w:t xml:space="preserve">The Income-tax Act, 1961 was amended almost every year for more than six decades. It grew to 819 sections carrying numbers such as 80CCD(1B), 115BAC and 194-IA, and its provisos, explanations and cross references made it difficult to read even for experienced practitioners.</w:t>
      </w:r>
    </w:p>
    <w:p>
      <w:pPr>
        <w:spacing w:after="120" w:line="276"/>
        <w:jc w:val="both"/>
      </w:pPr>
      <w:r>
        <w:rPr>
          <w:rFonts w:ascii="Verdana" w:cs="Verdana" w:eastAsia="Verdana" w:hAnsi="Verdana"/>
        </w:rPr>
        <w:t xml:space="preserve">The Income-tax Act, 2025 received Presidential assent on 21 August 2025 and came into force on </w:t>
      </w:r>
      <w:r>
        <w:rPr>
          <w:rFonts w:ascii="Verdana" w:cs="Verdana" w:eastAsia="Verdana" w:hAnsi="Verdana"/>
          <w:b/>
          <w:bCs/>
        </w:rPr>
        <w:t xml:space="preserve">1 April 2026</w:t>
      </w:r>
      <w:r>
        <w:rPr>
          <w:rFonts w:ascii="Verdana" w:cs="Verdana" w:eastAsia="Verdana" w:hAnsi="Verdana"/>
        </w:rPr>
        <w:t xml:space="preserve">. It replaces the 1961 Act with a shorter and more orderly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cantSplit/>
          <w:tblHeader/>
        </w:trPr>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Feature</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1961 Act</w:t>
            </w:r>
          </w:p>
        </w:tc>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2025 Act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Number of sections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819 (after insertions)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536</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Chapters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47</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Schedules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 concept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Previous Year and Assessment Year</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Single "Tax Year" (section 3)</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incomes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10 with 50 plus clauses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11 read with Schedules II to VII</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provisions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192 to 194T (60 plus sections)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392 (salary), 393 (others), 394 (TCS)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taxation (residents)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44AD, 44ADA, 44AE</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One section, 58</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Company tax regimes, MAT and AMT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115BA, 115BAA, 115BAB, 115JB, 115JC</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199, 200, 201, 206</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Style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Long provisos and explanations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Tables, formulas and plain language</w:t>
            </w:r>
          </w:p>
        </w:tc>
      </w:tr>
    </w:tbl>
    <w:p>
      <w:pPr>
        <w:spacing w:after="60"/>
      </w:pPr>
    </w:p>
    <w:p>
      <w:pPr>
        <w:pStyle w:val="Heading2"/>
        <w:keepNext/>
        <w:spacing w:after="120" w:before="240"/>
      </w:pPr>
      <w:r>
        <w:rPr>
          <w:rFonts w:ascii="Verdana" w:cs="Verdana" w:eastAsia="Verdana" w:hAnsi="Verdana"/>
        </w:rPr>
        <w:t xml:space="preserve">1.2 What has changed and what has not</w:t>
      </w:r>
    </w:p>
    <w:p>
      <w:pPr>
        <w:spacing w:after="120" w:line="276"/>
        <w:jc w:val="both"/>
      </w:pPr>
      <w:r>
        <w:rPr>
          <w:rFonts w:ascii="Verdana" w:cs="Verdana" w:eastAsia="Verdana" w:hAnsi="Verdana"/>
          <w:b/>
          <w:bCs/>
        </w:rPr>
        <w:t xml:space="preserve">Largely unchanged:</w:t>
      </w:r>
      <w:r>
        <w:rPr>
          <w:rFonts w:ascii="Verdana" w:cs="Verdana" w:eastAsia="Verdana" w:hAnsi="Verdana"/>
        </w:rPr>
        <w:t xml:space="preserve"> slab rates, the new regime as default, deductions like 80C and 80D (with new numbers), capital gains rates, presumptive taxation, TDS rates and thresholds, transfer pricing principles, and the assessment and appeal structure.</w:t>
      </w:r>
    </w:p>
    <w:p>
      <w:pPr>
        <w:spacing w:after="120" w:line="276"/>
        <w:jc w:val="both"/>
      </w:pPr>
      <w:r>
        <w:rPr>
          <w:rFonts w:ascii="Verdana" w:cs="Verdana" w:eastAsia="Verdana" w:hAnsi="Verdana"/>
          <w:b/>
          <w:bCs/>
        </w:rPr>
        <w:t xml:space="preserve">Changed in form or in substance:</w:t>
      </w:r>
    </w:p>
    <w:p>
      <w:pPr>
        <w:pStyle w:val="ListParagraph"/>
        <w:numPr>
          <w:ilvl w:val="0"/>
          <w:numId w:val="2"/>
        </w:numPr>
        <w:spacing w:after="60" w:line="264"/>
      </w:pPr>
      <w:r>
        <w:rPr>
          <w:rFonts w:ascii="Verdana" w:cs="Verdana" w:eastAsia="Verdana" w:hAnsi="Verdana"/>
        </w:rPr>
        <w:t xml:space="preserve">"Tax Year" replaces Previous Year and Assessment Year.</w:t>
      </w:r>
    </w:p>
    <w:p>
      <w:pPr>
        <w:pStyle w:val="ListParagraph"/>
        <w:numPr>
          <w:ilvl w:val="0"/>
          <w:numId w:val="2"/>
        </w:numPr>
        <w:spacing w:after="60" w:line="264"/>
      </w:pPr>
      <w:r>
        <w:rPr>
          <w:rFonts w:ascii="Verdana" w:cs="Verdana" w:eastAsia="Verdana" w:hAnsi="Verdana"/>
        </w:rPr>
        <w:t xml:space="preserve">All TDS and TCS consolidated into three sections with tables and payment codes.</w:t>
      </w:r>
    </w:p>
    <w:p>
      <w:pPr>
        <w:pStyle w:val="ListParagraph"/>
        <w:numPr>
          <w:ilvl w:val="0"/>
          <w:numId w:val="2"/>
        </w:numPr>
        <w:spacing w:after="60" w:line="264"/>
      </w:pPr>
      <w:r>
        <w:rPr>
          <w:rFonts w:ascii="Verdana" w:cs="Verdana" w:eastAsia="Verdana" w:hAnsi="Verdana"/>
        </w:rPr>
        <w:t xml:space="preserve">Exemptions moved into Schedules; eligible investments for section 123 listed in Schedule XV.</w:t>
      </w:r>
    </w:p>
    <w:p>
      <w:pPr>
        <w:pStyle w:val="ListParagraph"/>
        <w:numPr>
          <w:ilvl w:val="0"/>
          <w:numId w:val="2"/>
        </w:numPr>
        <w:spacing w:after="60" w:line="264"/>
      </w:pPr>
      <w:r>
        <w:rPr>
          <w:rFonts w:ascii="Verdana" w:cs="Verdana" w:eastAsia="Verdana" w:hAnsi="Verdana"/>
        </w:rPr>
        <w:t xml:space="preserve">Forms renumbered under the Income-tax Rules, 2026 (Form 16 is now Form 130, Form 26AS is now Form 168, Form 3CEB is now Form 48, and so on).</w:t>
      </w:r>
    </w:p>
    <w:p>
      <w:pPr>
        <w:pStyle w:val="ListParagraph"/>
        <w:numPr>
          <w:ilvl w:val="0"/>
          <w:numId w:val="2"/>
        </w:numPr>
        <w:spacing w:after="60" w:line="264"/>
      </w:pPr>
      <w:r>
        <w:rPr>
          <w:rFonts w:ascii="Verdana" w:cs="Verdana" w:eastAsia="Verdana" w:hAnsi="Verdana"/>
        </w:rPr>
        <w:t xml:space="preserve">Finance Act 2026 changes effective from Tax Year 2026-27: buyback taxed as capital gains, MAT rate reduced to 14% and made a final tax, ITR due date of 31 August for non-audit business cases, 12 months for revised returns, higher STT on derivatives, TCS rationalised, and a larger safe harbour for IT services.</w:t>
      </w:r>
    </w:p>
    <w:p>
      <w:pPr>
        <w:pStyle w:val="Heading2"/>
        <w:keepNext/>
        <w:spacing w:after="120" w:before="240"/>
      </w:pPr>
      <w:r>
        <w:rPr>
          <w:rFonts w:ascii="Verdana" w:cs="Verdana" w:eastAsia="Verdana" w:hAnsi="Verdana"/>
        </w:rPr>
        <w:t xml:space="preserve">1.3 The transition rule: which Act applies?</w:t>
      </w:r>
    </w:p>
    <w:p>
      <w:pPr>
        <w:spacing w:after="120" w:line="276"/>
        <w:jc w:val="both"/>
      </w:pPr>
      <w:r>
        <w:rPr>
          <w:rFonts w:ascii="Verdana" w:cs="Verdana" w:eastAsia="Verdana" w:hAnsi="Verdana"/>
        </w:rPr>
        <w:t xml:space="preserve">This is the first question on any file. The rule is simple: </w:t>
      </w:r>
      <w:r>
        <w:rPr>
          <w:rFonts w:ascii="Verdana" w:cs="Verdana" w:eastAsia="Verdana" w:hAnsi="Verdana"/>
          <w:b/>
          <w:bCs/>
        </w:rPr>
        <w:t xml:space="preserve">the period decides the law</w:t>
      </w:r>
      <w:r>
        <w:rPr>
          <w:rFonts w:ascii="Verdana" w:cs="Verdana" w:eastAsia="Verdana" w:hAnsi="Verdana"/>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4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Law that applies</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earned in FY 2025-26 (return filed in 2026 for AY 2026-27)</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1961 Act. Quote 80C, 44AD, 194J etc.</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earned from 1 April 2026 (Tax Year 2026-27 onwards)</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2025 Act. Quote 123, 58, 393 etc.</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Pending scrutiny, appeal or reassessment for years up to FY 2025-26</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Continues under 1961 Act provisions (saved by section 536)</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a payment made or credited on or after 1 April 2026</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2025 Act, section 392/393/394 with new payment codes</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Losses, unabsorbed depreciation and MAT credit of old years</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Carried forward and used under the 2025 Act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 Two returns, two Acts</w:t>
            </w:r>
          </w:p>
          <w:p>
            <w:pPr>
              <w:spacing w:after="60" w:line="260"/>
            </w:pPr>
            <w:r>
              <w:rPr>
                <w:rFonts w:ascii="Verdana" w:cs="Verdana" w:eastAsia="Verdana" w:hAnsi="Verdana"/>
                <w:sz w:val="20"/>
                <w:szCs w:val="20"/>
              </w:rPr>
              <w:t xml:space="preserve">In July 2026, Mehta &amp; Co. files the return for income earned from April 2025 to March 2026. That return is under the </w:t>
            </w:r>
            <w:r>
              <w:rPr>
                <w:rFonts w:ascii="Verdana" w:cs="Verdana" w:eastAsia="Verdana" w:hAnsi="Verdana"/>
                <w:b/>
                <w:bCs/>
                <w:sz w:val="20"/>
                <w:szCs w:val="20"/>
              </w:rPr>
              <w:t xml:space="preserve">1961 Act</w:t>
            </w:r>
            <w:r>
              <w:rPr>
                <w:rFonts w:ascii="Verdana" w:cs="Verdana" w:eastAsia="Verdana" w:hAnsi="Verdana"/>
                <w:sz w:val="20"/>
                <w:szCs w:val="20"/>
              </w:rPr>
              <w:t xml:space="preserve">: deductions under 80C and 80D, and TDS credit checked in Form 26AS.</w:t>
            </w:r>
          </w:p>
          <w:p>
            <w:pPr>
              <w:spacing w:after="60" w:line="260"/>
            </w:pPr>
            <w:r>
              <w:rPr>
                <w:rFonts w:ascii="Verdana" w:cs="Verdana" w:eastAsia="Verdana" w:hAnsi="Verdana"/>
                <w:sz w:val="20"/>
                <w:szCs w:val="20"/>
              </w:rPr>
              <w:t xml:space="preserve">In July 2027, the same firm files the return for income earned from April 2026 to March 2027. That is </w:t>
            </w:r>
            <w:r>
              <w:rPr>
                <w:rFonts w:ascii="Verdana" w:cs="Verdana" w:eastAsia="Verdana" w:hAnsi="Verdana"/>
                <w:b/>
                <w:bCs/>
                <w:sz w:val="20"/>
                <w:szCs w:val="20"/>
              </w:rPr>
              <w:t xml:space="preserve">Tax Year 2026-27 under the 2025 Act</w:t>
            </w:r>
            <w:r>
              <w:rPr>
                <w:rFonts w:ascii="Verdana" w:cs="Verdana" w:eastAsia="Verdana" w:hAnsi="Verdana"/>
                <w:sz w:val="20"/>
                <w:szCs w:val="20"/>
              </w:rPr>
              <w:t xml:space="preserve">: deductions under sections 123 and 126, and credit checked in Form 168.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During 2026 and 2027 you will work with both Acts side by side. Keep the mapping table in Appendix A handy and write both references in working papers, for example "section 123 (old 80C)".</w:t>
            </w:r>
          </w:p>
        </w:tc>
      </w:tr>
    </w:tbl>
    <w:p>
      <w:pPr>
        <w:spacing w:after="60"/>
      </w:pPr>
    </w:p>
    <w:p>
      <w:pPr>
        <w:pStyle w:val="Heading2"/>
        <w:keepNext/>
        <w:spacing w:after="120" w:before="240"/>
      </w:pPr>
      <w:r>
        <w:rPr>
          <w:rFonts w:ascii="Verdana" w:cs="Verdana" w:eastAsia="Verdana" w:hAnsi="Verdana"/>
        </w:rPr>
        <w:t xml:space="preserve">1.4 How the Act is arranged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800"/>
        <w:gridCol w:w="5000"/>
      </w:tblGrid>
      <w:tr>
        <w:trPr>
          <w:cantSplit/>
          <w:tblHeader/>
        </w:trPr>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Chapter area</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Sections</w:t>
            </w:r>
          </w:p>
        </w:tc>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it covers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Preliminary and basis of charge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to 10</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Definitions, Tax Year, charge, scope, residence, deemed accrual (with Schedule I)</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incomes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11, 12</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Exemptions through Schedules II to VIII</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Computation of income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 to 95</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Five heads of income</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Clubbing and aggregation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96 to 106</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of others, unexplained credits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108 to 121</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off and carry forward</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122 to 154</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Chapter VI-A</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Rebates and relief</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155 to 160</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Rebate, arrears relief, DTAA relief</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Avoidance of tax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161 onwards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 (161 to 173), other anti-avoidance (174 to 177), GAAR</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Special rates and regimes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Including 196 to 210</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rates, company regimes (199 to 201), new regime (202), MAT and AMT (206), non-resident rates (207)</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Tonnage taxation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226 to 234</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Optional scheme for shipping companies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Returns and assessment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262 to 286</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PAN, returns, assessment, reassessment</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Non-profit organisations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332 to 355</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Registration and taxation of NPOs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TCS, advance tax, recovery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392 to 422</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Collection and recovery</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fees, refunds, penalties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423 onwards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Consequences of default</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Repeal and savings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536</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Transition from the 1961 Act</w:t>
            </w:r>
          </w:p>
        </w:tc>
      </w:tr>
    </w:tbl>
    <w:p>
      <w:pPr>
        <w:spacing w:after="60"/>
      </w:pPr>
    </w:p>
    <w:p>
      <w:pPr>
        <w:pStyle w:val="Heading2"/>
        <w:keepNext/>
        <w:spacing w:after="120" w:before="240"/>
      </w:pPr>
      <w:r>
        <w:rPr>
          <w:rFonts w:ascii="Verdana" w:cs="Verdana" w:eastAsia="Verdana" w:hAnsi="Verdana"/>
        </w:rPr>
        <w:t xml:space="preserve">1.5 Reading the new Act: how it is drafted</w:t>
      </w:r>
    </w:p>
    <w:p>
      <w:pPr>
        <w:spacing w:after="120" w:line="276"/>
        <w:jc w:val="both"/>
      </w:pPr>
      <w:r>
        <w:rPr>
          <w:rFonts w:ascii="Verdana" w:cs="Verdana" w:eastAsia="Verdana" w:hAnsi="Verdana"/>
        </w:rPr>
        <w:t xml:space="preserve">A professional who opens the 2025 Act for the first-time will notice that it reads differently. The drafters followed a few clear rules, and knowing them makes the Act much easier to navigate.</w:t>
      </w:r>
    </w:p>
    <w:p>
      <w:pPr>
        <w:pStyle w:val="ListParagraph"/>
        <w:numPr>
          <w:ilvl w:val="0"/>
          <w:numId w:val="2"/>
        </w:numPr>
        <w:spacing w:after="60" w:line="264"/>
      </w:pPr>
      <w:r>
        <w:rPr>
          <w:rFonts w:ascii="Verdana" w:cs="Verdana" w:eastAsia="Verdana" w:hAnsi="Verdana"/>
          <w:b/>
          <w:bCs/>
        </w:rPr>
        <w:t xml:space="preserve">One idea, one place.</w:t>
      </w:r>
      <w:r>
        <w:rPr>
          <w:rFonts w:ascii="Verdana" w:cs="Verdana" w:eastAsia="Verdana" w:hAnsi="Verdana"/>
        </w:rPr>
        <w:t xml:space="preserve"> Provisions that were scattered across the 1961 Act have been brought together. For example, all presumptive schemes for residents are in section 58, all non-salary TDS for residents is in a table in section 393(1), and all company rate options sit next to each other in sections 199 to 201.</w:t>
      </w:r>
    </w:p>
    <w:p>
      <w:pPr>
        <w:pStyle w:val="ListParagraph"/>
        <w:numPr>
          <w:ilvl w:val="0"/>
          <w:numId w:val="2"/>
        </w:numPr>
        <w:spacing w:after="60" w:line="264"/>
      </w:pPr>
      <w:r>
        <w:rPr>
          <w:rFonts w:ascii="Verdana" w:cs="Verdana" w:eastAsia="Verdana" w:hAnsi="Verdana"/>
          <w:b/>
          <w:bCs/>
        </w:rPr>
        <w:t xml:space="preserve">Tables instead of provisos.</w:t>
      </w:r>
      <w:r>
        <w:rPr>
          <w:rFonts w:ascii="Verdana" w:cs="Verdana" w:eastAsia="Verdana" w:hAnsi="Verdana"/>
        </w:rPr>
        <w:t xml:space="preserve"> Where the old Act used a long chain of provisos ("provided that... provided further that..."), the new Act uses tables with columns for the nature of payment, the threshold, the rate and the conditions. When you read a table, read the column headings first, then the row, then any notes below the table.</w:t>
      </w:r>
    </w:p>
    <w:p>
      <w:pPr>
        <w:pStyle w:val="ListParagraph"/>
        <w:numPr>
          <w:ilvl w:val="0"/>
          <w:numId w:val="2"/>
        </w:numPr>
        <w:spacing w:after="60" w:line="264"/>
      </w:pPr>
      <w:r>
        <w:rPr>
          <w:rFonts w:ascii="Verdana" w:cs="Verdana" w:eastAsia="Verdana" w:hAnsi="Verdana"/>
          <w:b/>
          <w:bCs/>
        </w:rPr>
        <w:t xml:space="preserve">Formulas.</w:t>
      </w:r>
      <w:r>
        <w:rPr>
          <w:rFonts w:ascii="Verdana" w:cs="Verdana" w:eastAsia="Verdana" w:hAnsi="Verdana"/>
        </w:rPr>
        <w:t xml:space="preserve"> Computations such as the cost of shares on demerger or the relief for arrears of salary are written as formulas with defined letters (A, B, C). Always identify what each letter stands for before applying the formula.</w:t>
      </w:r>
    </w:p>
    <w:p>
      <w:pPr>
        <w:pStyle w:val="ListParagraph"/>
        <w:numPr>
          <w:ilvl w:val="0"/>
          <w:numId w:val="2"/>
        </w:numPr>
        <w:spacing w:after="60" w:line="264"/>
      </w:pPr>
      <w:r>
        <w:rPr>
          <w:rFonts w:ascii="Verdana" w:cs="Verdana" w:eastAsia="Verdana" w:hAnsi="Verdana"/>
          <w:b/>
          <w:bCs/>
        </w:rPr>
        <w:t xml:space="preserve">Schedules.</w:t>
      </w:r>
      <w:r>
        <w:rPr>
          <w:rFonts w:ascii="Verdana" w:cs="Verdana" w:eastAsia="Verdana" w:hAnsi="Verdana"/>
        </w:rPr>
        <w:t xml:space="preserve"> Long lists that change often (exempt incomes, eligible investments for section 123, deemed accrual categories, charitable purposes) have been moved to Schedules. This keeps the main sections short and makes future amendments simpler.</w:t>
      </w:r>
    </w:p>
    <w:p>
      <w:pPr>
        <w:pStyle w:val="ListParagraph"/>
        <w:numPr>
          <w:ilvl w:val="0"/>
          <w:numId w:val="2"/>
        </w:numPr>
        <w:spacing w:after="60" w:line="264"/>
      </w:pPr>
      <w:r>
        <w:rPr>
          <w:rFonts w:ascii="Verdana" w:cs="Verdana" w:eastAsia="Verdana" w:hAnsi="Verdana"/>
          <w:b/>
          <w:bCs/>
        </w:rPr>
        <w:t xml:space="preserve">Removal of dead provisions.</w:t>
      </w:r>
      <w:r>
        <w:rPr>
          <w:rFonts w:ascii="Verdana" w:cs="Verdana" w:eastAsia="Verdana" w:hAnsi="Verdana"/>
        </w:rPr>
        <w:t xml:space="preserve"> Deductions and exemptions that had expired (sunset clauses long past) and procedures no longer in use have been dropped.</w:t>
      </w:r>
    </w:p>
    <w:p>
      <w:pPr>
        <w:pStyle w:val="ListParagraph"/>
        <w:numPr>
          <w:ilvl w:val="0"/>
          <w:numId w:val="2"/>
        </w:numPr>
        <w:spacing w:after="60" w:line="264"/>
      </w:pPr>
      <w:r>
        <w:rPr>
          <w:rFonts w:ascii="Verdana" w:cs="Verdana" w:eastAsia="Verdana" w:hAnsi="Verdana"/>
          <w:b/>
          <w:bCs/>
        </w:rPr>
        <w:t xml:space="preserve">Consistent terms.</w:t>
      </w:r>
      <w:r>
        <w:rPr>
          <w:rFonts w:ascii="Verdana" w:cs="Verdana" w:eastAsia="Verdana" w:hAnsi="Verdana"/>
        </w:rPr>
        <w:t xml:space="preserve"> "Tax year" replaces two terms; "assessee" is used consistently; references to "Assessing Officer" and other authorities follow a single pattern.</w:t>
      </w:r>
    </w:p>
    <w:p>
      <w:pPr>
        <w:pStyle w:val="Heading2"/>
        <w:keepNext/>
        <w:spacing w:after="120" w:before="240"/>
      </w:pPr>
      <w:r>
        <w:rPr>
          <w:rFonts w:ascii="Verdana" w:cs="Verdana" w:eastAsia="Verdana" w:hAnsi="Verdana"/>
        </w:rPr>
        <w:t xml:space="preserve">1.6 Key definitions (section 2)</w:t>
      </w:r>
    </w:p>
    <w:p>
      <w:pPr>
        <w:spacing w:after="120" w:line="276"/>
        <w:jc w:val="both"/>
      </w:pPr>
      <w:r>
        <w:rPr>
          <w:rFonts w:ascii="Verdana" w:cs="Verdana" w:eastAsia="Verdana" w:hAnsi="Verdana"/>
        </w:rPr>
        <w:t xml:space="preserve">Section 2 contains the definitions that run through the whole Act. The important ones for daily work are explained below in simple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Term</w:t>
            </w:r>
          </w:p>
        </w:tc>
        <w:tc>
          <w:tcPr>
            <w:tcW w:type="dxa" w:w="7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Meaning in practice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Includes an individual, HUF, company, firm (including LLP), AOP or BOI, local authority and every artificial juridical person. Each is a separate taxable unit.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Assessee</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person by whom tax or any other sum is payable, and includes a person against whom proceedings have been started, a deemed assessee (such as a legal heir) and an assessee in default (such as a person who failed to deduct TDS).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 inclusive definition. Besides ordinary income it specifically includes items such as perquisites, capital gains, winnings, gifts taxable under section 92, subsidies and deemed incomes. Because it is inclusive, a receipt not listed can still be income if it has the character of income.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Includes any trade, commerce or manufacture, or any adventure or concern in the nature of trade. A single transaction can be business if it has the features of trade.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asset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Property of any kind held by the assessee, and securities held by FPIs, and ULIPs above the premium limit, but excluding stock-in-trade, personal effects (other than jewellery, art, drawings, archaeological collections), rural agricultural land and specified gold bonds and deposit schemes.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Includes actual dividends and the deemed dividend items (distribution of accumulated profits by way of assets, on liquidation, on reduction of capital, and loans to substantial shareholders of closely held companies).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Relative</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 gifts to an individual: the spouse; brother or sister; brother or sister of the spouse; brother or sister of either parent; any lineal ascendant or descendant of the individual; any lineal ascendant or descendant of the spouse; and the spouse of any of these persons. For an HUF, any member of the HUF.</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year</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financial year from 1 April to 31 March, or the shorter period for a new business or source (section 3).</w:t>
            </w:r>
          </w:p>
        </w:tc>
      </w:tr>
    </w:tbl>
    <w:p>
      <w:pPr>
        <w:spacing w:after="60"/>
      </w:pPr>
    </w:p>
    <w:p>
      <w:pPr>
        <w:pStyle w:val="Heading2"/>
        <w:keepNext/>
        <w:spacing w:after="120" w:before="240"/>
      </w:pPr>
      <w:r>
        <w:rPr>
          <w:rFonts w:ascii="Verdana" w:cs="Verdana" w:eastAsia="Verdana" w:hAnsi="Verdana"/>
        </w:rPr>
        <w:t xml:space="preserve">1.7 Basic principles of interpretation</w:t>
      </w:r>
    </w:p>
    <w:p>
      <w:pPr>
        <w:spacing w:after="120" w:line="276"/>
        <w:jc w:val="both"/>
      </w:pPr>
      <w:r>
        <w:rPr>
          <w:rFonts w:ascii="Verdana" w:cs="Verdana" w:eastAsia="Verdana" w:hAnsi="Verdana"/>
        </w:rPr>
        <w:t xml:space="preserve">Tax laws are interpreted using settled principles laid down by the courts. These principles continue to apply to the 2025 Act because the language and the concepts are largely carried over.</w:t>
      </w:r>
    </w:p>
    <w:p>
      <w:pPr>
        <w:pStyle w:val="ListParagraph"/>
        <w:numPr>
          <w:ilvl w:val="0"/>
          <w:numId w:val="2"/>
        </w:numPr>
        <w:spacing w:after="60" w:line="264"/>
      </w:pPr>
      <w:r>
        <w:rPr>
          <w:rFonts w:ascii="Verdana" w:cs="Verdana" w:eastAsia="Verdana" w:hAnsi="Verdana"/>
          <w:b/>
          <w:bCs/>
        </w:rPr>
        <w:t xml:space="preserve">Charging provisions are read strictly.</w:t>
      </w:r>
      <w:r>
        <w:rPr>
          <w:rFonts w:ascii="Verdana" w:cs="Verdana" w:eastAsia="Verdana" w:hAnsi="Verdana"/>
        </w:rPr>
        <w:t xml:space="preserve"> If a receipt is not clearly brought to tax by the words of the charging section, it is not taxable. There is no tax by implication.</w:t>
      </w:r>
    </w:p>
    <w:p>
      <w:pPr>
        <w:pStyle w:val="ListParagraph"/>
        <w:numPr>
          <w:ilvl w:val="0"/>
          <w:numId w:val="2"/>
        </w:numPr>
        <w:spacing w:after="60" w:line="264"/>
      </w:pPr>
      <w:r>
        <w:rPr>
          <w:rFonts w:ascii="Verdana" w:cs="Verdana" w:eastAsia="Verdana" w:hAnsi="Verdana"/>
          <w:b/>
          <w:bCs/>
        </w:rPr>
        <w:t xml:space="preserve">Machinery provisions are read to make the charge work.</w:t>
      </w:r>
      <w:r>
        <w:rPr>
          <w:rFonts w:ascii="Verdana" w:cs="Verdana" w:eastAsia="Verdana" w:hAnsi="Verdana"/>
        </w:rPr>
        <w:t xml:space="preserve"> Provisions for computation, assessment and collection are interpreted so that the charge is not defeated.</w:t>
      </w:r>
    </w:p>
    <w:p>
      <w:pPr>
        <w:pStyle w:val="ListParagraph"/>
        <w:numPr>
          <w:ilvl w:val="0"/>
          <w:numId w:val="2"/>
        </w:numPr>
        <w:spacing w:after="60" w:line="264"/>
      </w:pPr>
      <w:r>
        <w:rPr>
          <w:rFonts w:ascii="Verdana" w:cs="Verdana" w:eastAsia="Verdana" w:hAnsi="Verdana"/>
          <w:b/>
          <w:bCs/>
        </w:rPr>
        <w:t xml:space="preserve">Exemptions are read strictly at the threshold.</w:t>
      </w:r>
      <w:r>
        <w:rPr>
          <w:rFonts w:ascii="Verdana" w:cs="Verdana" w:eastAsia="Verdana" w:hAnsi="Verdana"/>
        </w:rPr>
        <w:t xml:space="preserve"> The Supreme Court in Commissioner of Customs v. Dilip Kumar and Company (2018, Constitution Bench) held that the person claiming an exemption must show that he falls squarely within it; any ambiguity at that stage goes in favour of the revenue. Once eligibility is established, the exemption is applied liberally.</w:t>
      </w:r>
    </w:p>
    <w:p>
      <w:pPr>
        <w:pStyle w:val="ListParagraph"/>
        <w:numPr>
          <w:ilvl w:val="0"/>
          <w:numId w:val="2"/>
        </w:numPr>
        <w:spacing w:after="60" w:line="264"/>
      </w:pPr>
      <w:r>
        <w:rPr>
          <w:rFonts w:ascii="Verdana" w:cs="Verdana" w:eastAsia="Verdana" w:hAnsi="Verdana"/>
          <w:b/>
          <w:bCs/>
        </w:rPr>
        <w:t xml:space="preserve">Beneficial provisions</w:t>
      </w:r>
      <w:r>
        <w:rPr>
          <w:rFonts w:ascii="Verdana" w:cs="Verdana" w:eastAsia="Verdana" w:hAnsi="Verdana"/>
        </w:rPr>
        <w:t xml:space="preserve"> that are meant to give relief (such as deductions for incentives) are construed to further their purpose.</w:t>
      </w:r>
    </w:p>
    <w:p>
      <w:pPr>
        <w:pStyle w:val="ListParagraph"/>
        <w:numPr>
          <w:ilvl w:val="0"/>
          <w:numId w:val="2"/>
        </w:numPr>
        <w:spacing w:after="60" w:line="264"/>
      </w:pPr>
      <w:r>
        <w:rPr>
          <w:rFonts w:ascii="Verdana" w:cs="Verdana" w:eastAsia="Verdana" w:hAnsi="Verdana"/>
          <w:b/>
          <w:bCs/>
        </w:rPr>
        <w:t xml:space="preserve">Substance over form</w:t>
      </w:r>
      <w:r>
        <w:rPr>
          <w:rFonts w:ascii="Verdana" w:cs="Verdana" w:eastAsia="Verdana" w:hAnsi="Verdana"/>
        </w:rPr>
        <w:t xml:space="preserve"> applies where a transaction is a sham or colourable device. However, genuine tax planning within the law is permitted.</w:t>
      </w:r>
    </w:p>
    <w:p>
      <w:pPr>
        <w:pStyle w:val="ListParagraph"/>
        <w:numPr>
          <w:ilvl w:val="0"/>
          <w:numId w:val="2"/>
        </w:numPr>
        <w:spacing w:after="60" w:line="264"/>
      </w:pPr>
      <w:r>
        <w:rPr>
          <w:rFonts w:ascii="Verdana" w:cs="Verdana" w:eastAsia="Verdana" w:hAnsi="Verdana"/>
          <w:b/>
          <w:bCs/>
        </w:rPr>
        <w:t xml:space="preserve">Explanatory notes, CBDT circulars and the Memorandum to the Finance Bill</w:t>
      </w:r>
      <w:r>
        <w:rPr>
          <w:rFonts w:ascii="Verdana" w:cs="Verdana" w:eastAsia="Verdana" w:hAnsi="Verdana"/>
        </w:rPr>
        <w:t xml:space="preserve"> are relevant aids. Circulars that are beneficial to taxpayers bind the department, but not the courts or the taxpayer.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Binding nature of circulars</w:t>
            </w:r>
          </w:p>
          <w:p>
            <w:pPr>
              <w:spacing w:after="60" w:line="260"/>
            </w:pPr>
            <w:r>
              <w:rPr>
                <w:rFonts w:ascii="Verdana" w:cs="Verdana" w:eastAsia="Verdana" w:hAnsi="Verdana"/>
                <w:b/>
                <w:bCs/>
                <w:sz w:val="20"/>
                <w:szCs w:val="20"/>
              </w:rPr>
              <w:t xml:space="preserve">UCO Bank v. CIT (Supreme Court, 1999):</w:t>
            </w:r>
            <w:r>
              <w:rPr>
                <w:rFonts w:ascii="Verdana" w:cs="Verdana" w:eastAsia="Verdana" w:hAnsi="Verdana"/>
                <w:sz w:val="20"/>
                <w:szCs w:val="20"/>
              </w:rPr>
              <w:t xml:space="preserve"> circulars issued by the CBDT to ensure proper administration of the Act are binding on the tax authorities, even if they relax the strict letter of the law in favour of taxpayers.</w:t>
            </w:r>
          </w:p>
          <w:p>
            <w:pPr>
              <w:spacing w:after="60" w:line="260"/>
            </w:pPr>
            <w:r>
              <w:rPr>
                <w:rFonts w:ascii="Verdana" w:cs="Verdana" w:eastAsia="Verdana" w:hAnsi="Verdana"/>
                <w:b/>
                <w:bCs/>
                <w:sz w:val="20"/>
                <w:szCs w:val="20"/>
              </w:rPr>
              <w:t xml:space="preserve">Commissioner of Central Excise v. Ratan Melting and Wire Industries (Supreme Court, Constitution Bench, 2008):</w:t>
            </w:r>
            <w:r>
              <w:rPr>
                <w:rFonts w:ascii="Verdana" w:cs="Verdana" w:eastAsia="Verdana" w:hAnsi="Verdana"/>
                <w:sz w:val="20"/>
                <w:szCs w:val="20"/>
              </w:rPr>
              <w:t xml:space="preserve"> circulars bind the department, but a circular contrary to the statute has no effect, and circulars do not bind the courts or the taxpayer.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Tax planning and avoidance</w:t>
            </w:r>
          </w:p>
          <w:p>
            <w:pPr>
              <w:spacing w:after="60" w:line="260"/>
            </w:pPr>
            <w:r>
              <w:rPr>
                <w:rFonts w:ascii="Verdana" w:cs="Verdana" w:eastAsia="Verdana" w:hAnsi="Verdana"/>
                <w:b/>
                <w:bCs/>
                <w:sz w:val="20"/>
                <w:szCs w:val="20"/>
              </w:rPr>
              <w:t xml:space="preserve">McDowell and Co. Ltd. v. CTO (Supreme Court, 1985)</w:t>
            </w:r>
            <w:r>
              <w:rPr>
                <w:rFonts w:ascii="Verdana" w:cs="Verdana" w:eastAsia="Verdana" w:hAnsi="Verdana"/>
                <w:sz w:val="20"/>
                <w:szCs w:val="20"/>
              </w:rPr>
              <w:t xml:space="preserve"> stated that colourable devices cannot be part of tax planning.</w:t>
            </w:r>
          </w:p>
          <w:p>
            <w:pPr>
              <w:spacing w:after="60" w:line="260"/>
            </w:pPr>
            <w:r>
              <w:rPr>
                <w:rFonts w:ascii="Verdana" w:cs="Verdana" w:eastAsia="Verdana" w:hAnsi="Verdana"/>
                <w:b/>
                <w:bCs/>
                <w:sz w:val="20"/>
                <w:szCs w:val="20"/>
              </w:rPr>
              <w:t xml:space="preserve">Union of India v. Azadi Bachao Andolan (Supreme Court, 2003)</w:t>
            </w:r>
            <w:r>
              <w:rPr>
                <w:rFonts w:ascii="Verdana" w:cs="Verdana" w:eastAsia="Verdana" w:hAnsi="Verdana"/>
                <w:sz w:val="20"/>
                <w:szCs w:val="20"/>
              </w:rPr>
              <w:t xml:space="preserve"> upheld the use of the India-Mauritius treaty by genuine residents and recognised that legitimate tax planning is permissible.</w:t>
            </w:r>
          </w:p>
          <w:p>
            <w:pPr>
              <w:spacing w:after="60" w:line="260"/>
            </w:pPr>
            <w:r>
              <w:rPr>
                <w:rFonts w:ascii="Verdana" w:cs="Verdana" w:eastAsia="Verdana" w:hAnsi="Verdana"/>
                <w:b/>
                <w:bCs/>
                <w:sz w:val="20"/>
                <w:szCs w:val="20"/>
              </w:rPr>
              <w:t xml:space="preserve">Vodafone International Holdings B.V. v. Union of India (Supreme Court, 2012)</w:t>
            </w:r>
            <w:r>
              <w:rPr>
                <w:rFonts w:ascii="Verdana" w:cs="Verdana" w:eastAsia="Verdana" w:hAnsi="Verdana"/>
                <w:sz w:val="20"/>
                <w:szCs w:val="20"/>
              </w:rPr>
              <w:t xml:space="preserve"> held that the transfer of shares of a foreign company was not taxable in India under the law as it stood, and that the revenue must look at the transaction as a whole rather than dissect it. Parliament then introduced indirect transfer taxation with retrospective effect, which was later withdrawn for past transactions by the Taxation Laws (Amendment) Act, 2021.</w:t>
            </w:r>
          </w:p>
          <w:p>
            <w:pPr>
              <w:spacing w:after="60" w:line="260"/>
            </w:pPr>
            <w:r>
              <w:rPr>
                <w:rFonts w:ascii="Verdana" w:cs="Verdana" w:eastAsia="Verdana" w:hAnsi="Verdana"/>
                <w:sz w:val="20"/>
                <w:szCs w:val="20"/>
              </w:rPr>
              <w:t xml:space="preserve">Today, statutory rules such as GAAR and the treaty Principal Purpose Test sit on top of these principles.</w:t>
            </w:r>
          </w:p>
        </w:tc>
      </w:tr>
    </w:tbl>
    <w:p>
      <w:pPr>
        <w:spacing w:after="60"/>
      </w:pPr>
    </w:p>
    <w:p>
      <w:pPr>
        <w:pStyle w:val="Heading2"/>
        <w:keepNext/>
        <w:spacing w:after="120" w:before="240"/>
      </w:pPr>
      <w:r>
        <w:rPr>
          <w:rFonts w:ascii="Verdana" w:cs="Verdana" w:eastAsia="Verdana" w:hAnsi="Verdana"/>
        </w:rPr>
        <w:t xml:space="preserve">1.8 The charge of tax (sections 4 and 5)</w:t>
      </w:r>
    </w:p>
    <w:p>
      <w:pPr>
        <w:spacing w:after="120" w:line="276"/>
        <w:jc w:val="both"/>
      </w:pPr>
      <w:r>
        <w:rPr>
          <w:rFonts w:ascii="Verdana" w:cs="Verdana" w:eastAsia="Verdana" w:hAnsi="Verdana"/>
        </w:rPr>
        <w:t xml:space="preserve">Section 4 is the charging section. It says that income tax is charged for every tax year at the rates prescribed by the Finance Act of that year, on the total income of every person. Three points follow from this:</w:t>
      </w:r>
    </w:p>
    <w:p>
      <w:pPr>
        <w:pStyle w:val="ListParagraph"/>
        <w:numPr>
          <w:ilvl w:val="0"/>
          <w:numId w:val="2"/>
        </w:numPr>
        <w:spacing w:after="60" w:line="264"/>
      </w:pPr>
      <w:r>
        <w:rPr>
          <w:rFonts w:ascii="Verdana" w:cs="Verdana" w:eastAsia="Verdana" w:hAnsi="Verdana"/>
        </w:rPr>
        <w:t xml:space="preserve">The </w:t>
      </w:r>
      <w:r>
        <w:rPr>
          <w:rFonts w:ascii="Verdana" w:cs="Verdana" w:eastAsia="Verdana" w:hAnsi="Verdana"/>
          <w:b/>
          <w:bCs/>
        </w:rPr>
        <w:t xml:space="preserve">rate</w:t>
      </w:r>
      <w:r>
        <w:rPr>
          <w:rFonts w:ascii="Verdana" w:cs="Verdana" w:eastAsia="Verdana" w:hAnsi="Verdana"/>
        </w:rPr>
        <w:t xml:space="preserve"> comes from the annual Finance Act (or the special rate sections of the Act), not from the section that computes the income.</w:t>
      </w:r>
    </w:p>
    <w:p>
      <w:pPr>
        <w:pStyle w:val="ListParagraph"/>
        <w:numPr>
          <w:ilvl w:val="0"/>
          <w:numId w:val="2"/>
        </w:numPr>
        <w:spacing w:after="60" w:line="264"/>
      </w:pPr>
      <w:r>
        <w:rPr>
          <w:rFonts w:ascii="Verdana" w:cs="Verdana" w:eastAsia="Verdana" w:hAnsi="Verdana"/>
        </w:rPr>
        <w:t xml:space="preserve">Tax is charged on </w:t>
      </w:r>
      <w:r>
        <w:rPr>
          <w:rFonts w:ascii="Verdana" w:cs="Verdana" w:eastAsia="Verdana" w:hAnsi="Verdana"/>
          <w:b/>
          <w:bCs/>
        </w:rPr>
        <w:t xml:space="preserve">total income</w:t>
      </w:r>
      <w:r>
        <w:rPr>
          <w:rFonts w:ascii="Verdana" w:cs="Verdana" w:eastAsia="Verdana" w:hAnsi="Verdana"/>
        </w:rPr>
        <w:t xml:space="preserve">, which is the result of the whole computation, after set off of losses and deductions.</w:t>
      </w:r>
    </w:p>
    <w:p>
      <w:pPr>
        <w:pStyle w:val="ListParagraph"/>
        <w:numPr>
          <w:ilvl w:val="0"/>
          <w:numId w:val="2"/>
        </w:numPr>
        <w:spacing w:after="60" w:line="264"/>
      </w:pPr>
      <w:r>
        <w:rPr>
          <w:rFonts w:ascii="Verdana" w:cs="Verdana" w:eastAsia="Verdana" w:hAnsi="Verdana"/>
        </w:rPr>
        <w:t xml:space="preserve">Where the Act says that tax is to be deducted or paid in advance, that tax is part of the same charge; TDS and advance tax are only ways of collecting it early.</w:t>
      </w:r>
    </w:p>
    <w:p>
      <w:pPr>
        <w:spacing w:after="120" w:line="276"/>
        <w:jc w:val="both"/>
      </w:pPr>
      <w:r>
        <w:rPr>
          <w:rFonts w:ascii="Verdana" w:cs="Verdana" w:eastAsia="Verdana" w:hAnsi="Verdana"/>
        </w:rPr>
        <w:t xml:space="preserve">Section 5 then sets the </w:t>
      </w:r>
      <w:r>
        <w:rPr>
          <w:rFonts w:ascii="Verdana" w:cs="Verdana" w:eastAsia="Verdana" w:hAnsi="Verdana"/>
          <w:b/>
          <w:bCs/>
        </w:rPr>
        <w:t xml:space="preserve">scope</w:t>
      </w:r>
      <w:r>
        <w:rPr>
          <w:rFonts w:ascii="Verdana" w:cs="Verdana" w:eastAsia="Verdana" w:hAnsi="Verdana"/>
        </w:rPr>
        <w:t xml:space="preserve">: which income of a person is included in total income depending on residence (explained in the chapter on residential status).</w:t>
      </w:r>
    </w:p>
    <w:p>
      <w:pPr>
        <w:pStyle w:val="Heading2"/>
        <w:keepNext/>
        <w:spacing w:after="120" w:before="240"/>
      </w:pPr>
      <w:r>
        <w:rPr>
          <w:rFonts w:ascii="Verdana" w:cs="Verdana" w:eastAsia="Verdana" w:hAnsi="Verdana"/>
        </w:rPr>
        <w:t xml:space="preserve">1.9 Concepts and terms: 1961 Act compared with 2025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3600"/>
        <w:gridCol w:w="3600"/>
      </w:tblGrid>
      <w:tr>
        <w:trPr>
          <w:cantSplit/>
          <w:tblHeader/>
        </w:trPr>
        <w:tc>
          <w:tcPr>
            <w:tcW w:type="dxa" w:w="2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Concept</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Under the 1961 Act</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Under the 2025 Act</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 of income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Previous year; assessed in the assessment year</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year; income and references use a single year</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Exemptions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10 with many clauses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11 with Schedules II to VII</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Chapter VI-A, sections 80C to 80U</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122 to 154, with Schedule XV for section 123 investments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regime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115BAC (default from 2023-24)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202 (default)</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taxation</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Three sections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One section with a table (section 58)</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More than 60 separate sections from 192 to 196D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392 and 393 with tables and payment codes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TCS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206C with sub-sections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394 with a table</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Company regimes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115BA, 115BAA, 115BAB</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199, 200, 201</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and AMT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115JB and 115JC</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206 (with the Finance Act 2026 changes)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 to 92F</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161 to 173</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Charitable trusts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11 to 13, 12A, 12AB, 115BBC, 115TD, 10(23C)</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332 to 355, "registered non-profit organisation"</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Procedure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139 to 158</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262 onwards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and fees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234A to 234F, 244A</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423 to 428, 437</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for under-reporting</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270A</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439</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Forms under the Income-tax Rules, 1962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Renumbered forms under the Income-tax Rules, 2026</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Style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Provisos, explanations, "notwithstanding" clauses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Tables, formulas, fewer cross references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The Income-tax Act, 2025 came into force on 1 April 2026 with 536 sections, 23 chapters and 16 schedules.</w:t>
            </w:r>
          </w:p>
          <w:p>
            <w:pPr>
              <w:spacing w:after="60" w:line="260"/>
            </w:pPr>
            <w:r>
              <w:rPr>
                <w:rFonts w:ascii="Verdana" w:cs="Verdana" w:eastAsia="Verdana" w:hAnsi="Verdana"/>
                <w:sz w:val="20"/>
                <w:szCs w:val="20"/>
              </w:rPr>
              <w:t xml:space="preserve">•  It is mainly a rewrite and renumbering; most rules and rates continue.</w:t>
            </w:r>
          </w:p>
          <w:p>
            <w:pPr>
              <w:spacing w:after="60" w:line="260"/>
            </w:pPr>
            <w:r>
              <w:rPr>
                <w:rFonts w:ascii="Verdana" w:cs="Verdana" w:eastAsia="Verdana" w:hAnsi="Verdana"/>
                <w:sz w:val="20"/>
                <w:szCs w:val="20"/>
              </w:rPr>
              <w:t xml:space="preserve">•  The period decides the law: FY 2025-26 and earlier under the 1961 Act; Tax Year 2026-27 onwards under the 2025 Act.</w:t>
            </w:r>
          </w:p>
          <w:p>
            <w:pPr>
              <w:spacing w:after="60" w:line="260"/>
            </w:pPr>
            <w:r>
              <w:rPr>
                <w:rFonts w:ascii="Verdana" w:cs="Verdana" w:eastAsia="Verdana" w:hAnsi="Verdana"/>
                <w:sz w:val="20"/>
                <w:szCs w:val="20"/>
              </w:rPr>
              <w:t xml:space="preserve">•  Exemptions are in Schedules, TDS in three sections, and many forms are renumbered.</w:t>
            </w:r>
          </w:p>
          <w:p>
            <w:pPr>
              <w:spacing w:after="60" w:line="260"/>
            </w:pPr>
            <w:r>
              <w:rPr>
                <w:rFonts w:ascii="Verdana" w:cs="Verdana" w:eastAsia="Verdana" w:hAnsi="Verdana"/>
                <w:sz w:val="20"/>
                <w:szCs w:val="20"/>
              </w:rPr>
              <w:t xml:space="preserve">•  Charging provisions are read strictly; exemptions are construed strictly at the threshold; genuine tax planning is permitted.</w:t>
            </w:r>
          </w:p>
        </w:tc>
      </w:tr>
    </w:tbl>
    <w:p>
      <w:pPr>
        <w:pStyle w:val="Heading1"/>
        <w:pageBreakBefore/>
        <w:spacing w:after="200" w:before="0"/>
      </w:pPr>
      <w:r>
        <w:rPr>
          <w:rFonts w:ascii="Verdana" w:cs="Verdana" w:eastAsia="Verdana" w:hAnsi="Verdana"/>
        </w:rPr>
        <w:t xml:space="preserve">2. Transition: Frequently Asked Questions</w:t>
      </w:r>
    </w:p>
    <w:p>
      <w:pPr>
        <w:spacing w:after="120" w:line="276"/>
        <w:jc w:val="both"/>
      </w:pPr>
      <w:r>
        <w:rPr>
          <w:rFonts w:ascii="Verdana" w:cs="Verdana" w:eastAsia="Verdana" w:hAnsi="Verdana"/>
        </w:rPr>
        <w:t xml:space="preserve">These are the questions most often asked by clients and colleagues about the changeover from the 1961 Act. The answers apply the general principles explained in the previous chapters.</w:t>
      </w:r>
    </w:p>
    <w:p>
      <w:pPr>
        <w:pStyle w:val="Heading3"/>
        <w:keepNext/>
        <w:spacing w:after="80" w:before="160"/>
      </w:pPr>
      <w:r>
        <w:rPr>
          <w:rFonts w:ascii="Verdana" w:cs="Verdana" w:eastAsia="Verdana" w:hAnsi="Verdana"/>
        </w:rPr>
        <w:t xml:space="preserve">Do I need to learn a new tax law from scratch?</w:t>
      </w:r>
    </w:p>
    <w:p>
      <w:pPr>
        <w:spacing w:after="120" w:line="276"/>
        <w:jc w:val="both"/>
      </w:pPr>
      <w:r>
        <w:rPr>
          <w:rFonts w:ascii="Verdana" w:cs="Verdana" w:eastAsia="Verdana" w:hAnsi="Verdana"/>
        </w:rPr>
        <w:t xml:space="preserve">No. Most provisions are the same in substance. What changes is the numbering, the terminology (Tax Year), the structure (tables, schedules) and the forms. Focus on the mapping and on the few real changes, especially those made by the Finance Act 2026.</w:t>
      </w:r>
    </w:p>
    <w:p>
      <w:pPr>
        <w:pStyle w:val="Heading3"/>
        <w:keepNext/>
        <w:spacing w:after="80" w:before="160"/>
      </w:pPr>
      <w:r>
        <w:rPr>
          <w:rFonts w:ascii="Verdana" w:cs="Verdana" w:eastAsia="Verdana" w:hAnsi="Verdana"/>
        </w:rPr>
        <w:t xml:space="preserve">Which Act do I quote in a return filed in July 2026?</w:t>
      </w:r>
    </w:p>
    <w:p>
      <w:pPr>
        <w:spacing w:after="120" w:line="276"/>
        <w:jc w:val="both"/>
      </w:pPr>
      <w:r>
        <w:rPr>
          <w:rFonts w:ascii="Verdana" w:cs="Verdana" w:eastAsia="Verdana" w:hAnsi="Verdana"/>
        </w:rPr>
        <w:t xml:space="preserve">The 1961 Act, because the return is for income of FY 2025-26 (AY 2026-27). Quote sections such as 80C and 44AD, and use the forms under the 1962 Rules.</w:t>
      </w:r>
    </w:p>
    <w:p>
      <w:pPr>
        <w:pStyle w:val="Heading3"/>
        <w:keepNext/>
        <w:spacing w:after="80" w:before="160"/>
      </w:pPr>
      <w:r>
        <w:rPr>
          <w:rFonts w:ascii="Verdana" w:cs="Verdana" w:eastAsia="Verdana" w:hAnsi="Verdana"/>
        </w:rPr>
        <w:t xml:space="preserve">What happens to a loss of FY 2024-25?</w:t>
      </w:r>
    </w:p>
    <w:p>
      <w:pPr>
        <w:spacing w:after="120" w:line="276"/>
        <w:jc w:val="both"/>
      </w:pPr>
      <w:r>
        <w:rPr>
          <w:rFonts w:ascii="Verdana" w:cs="Verdana" w:eastAsia="Verdana" w:hAnsi="Verdana"/>
        </w:rPr>
        <w:t xml:space="preserve">It is carried forward and set off under the 2025 Act for its remaining period, following the rules of section 108 to 121.</w:t>
      </w:r>
    </w:p>
    <w:p>
      <w:pPr>
        <w:pStyle w:val="Heading3"/>
        <w:keepNext/>
        <w:spacing w:after="80" w:before="160"/>
      </w:pPr>
      <w:r>
        <w:rPr>
          <w:rFonts w:ascii="Verdana" w:cs="Verdana" w:eastAsia="Verdana" w:hAnsi="Verdana"/>
        </w:rPr>
        <w:t xml:space="preserve">Are old CBDT circulars still valid?</w:t>
      </w:r>
    </w:p>
    <w:p>
      <w:pPr>
        <w:spacing w:after="120" w:line="276"/>
        <w:jc w:val="both"/>
      </w:pPr>
      <w:r>
        <w:rPr>
          <w:rFonts w:ascii="Verdana" w:cs="Verdana" w:eastAsia="Verdana" w:hAnsi="Verdana"/>
        </w:rPr>
        <w:t xml:space="preserve">Circulars issued under the 1961 Act continue to be relevant to the extent the corresponding provision is unchanged, unless withdrawn. Check for new circulars issued under the 2025 Act, which may consolidate or replace them.</w:t>
      </w:r>
    </w:p>
    <w:p>
      <w:pPr>
        <w:pStyle w:val="Heading3"/>
        <w:keepNext/>
        <w:spacing w:after="80" w:before="160"/>
      </w:pPr>
      <w:r>
        <w:rPr>
          <w:rFonts w:ascii="Verdana" w:cs="Verdana" w:eastAsia="Verdana" w:hAnsi="Verdana"/>
        </w:rPr>
        <w:t xml:space="preserve">Are court decisions under the 1961 Act still relevant?</w:t>
      </w:r>
    </w:p>
    <w:p>
      <w:pPr>
        <w:spacing w:after="120" w:line="276"/>
        <w:jc w:val="both"/>
      </w:pPr>
      <w:r>
        <w:rPr>
          <w:rFonts w:ascii="Verdana" w:cs="Verdana" w:eastAsia="Verdana" w:hAnsi="Verdana"/>
        </w:rPr>
        <w:t xml:space="preserve">Yes, where the language and scheme of the provision are the same. Where the 2025 Act changes wording, the change must be examined before applying an older decision.</w:t>
      </w:r>
    </w:p>
    <w:p>
      <w:pPr>
        <w:pStyle w:val="Heading3"/>
        <w:keepNext/>
        <w:spacing w:after="80" w:before="160"/>
      </w:pPr>
      <w:r>
        <w:rPr>
          <w:rFonts w:ascii="Verdana" w:cs="Verdana" w:eastAsia="Verdana" w:hAnsi="Verdana"/>
        </w:rPr>
        <w:t xml:space="preserve">Will my PAN and TAN change?</w:t>
      </w:r>
    </w:p>
    <w:p>
      <w:pPr>
        <w:spacing w:after="120" w:line="276"/>
        <w:jc w:val="both"/>
      </w:pPr>
      <w:r>
        <w:rPr>
          <w:rFonts w:ascii="Verdana" w:cs="Verdana" w:eastAsia="Verdana" w:hAnsi="Verdana"/>
        </w:rPr>
        <w:t xml:space="preserve">No. PAN and TAN continue. Only the form numbers for applications have changed.</w:t>
      </w:r>
    </w:p>
    <w:p>
      <w:pPr>
        <w:pStyle w:val="Heading3"/>
        <w:keepNext/>
        <w:spacing w:after="80" w:before="160"/>
      </w:pPr>
      <w:r>
        <w:rPr>
          <w:rFonts w:ascii="Verdana" w:cs="Verdana" w:eastAsia="Verdana" w:hAnsi="Verdana"/>
        </w:rPr>
        <w:t xml:space="preserve">What about pending appeals and assessments?</w:t>
      </w:r>
    </w:p>
    <w:p>
      <w:pPr>
        <w:spacing w:after="120" w:line="276"/>
        <w:jc w:val="both"/>
      </w:pPr>
      <w:r>
        <w:rPr>
          <w:rFonts w:ascii="Verdana" w:cs="Verdana" w:eastAsia="Verdana" w:hAnsi="Verdana"/>
        </w:rPr>
        <w:t xml:space="preserve">They continue under the 1961 Act procedure. Orders, penalties and appeals for those years follow the old law, as saved by section 536.</w:t>
      </w:r>
    </w:p>
    <w:p>
      <w:pPr>
        <w:pStyle w:val="Heading3"/>
        <w:keepNext/>
        <w:spacing w:after="80" w:before="160"/>
      </w:pPr>
      <w:r>
        <w:rPr>
          <w:rFonts w:ascii="Verdana" w:cs="Verdana" w:eastAsia="Verdana" w:hAnsi="Verdana"/>
        </w:rPr>
        <w:t xml:space="preserve">How do I deduct TDS on a payment made on 2 April 2026 for an invoice of March 2026?</w:t>
      </w:r>
    </w:p>
    <w:p>
      <w:pPr>
        <w:spacing w:after="120" w:line="276"/>
        <w:jc w:val="both"/>
      </w:pPr>
      <w:r>
        <w:rPr>
          <w:rFonts w:ascii="Verdana" w:cs="Verdana" w:eastAsia="Verdana" w:hAnsi="Verdana"/>
        </w:rPr>
        <w:t xml:space="preserve">If the amount was credited to the vendor's account in March 2026, TDS was due under the 1961 Act at the time of credit. If it was not credited earlier and is paid in April 2026, TDS is under section 393 of the 2025 Act at the time of payment.</w:t>
      </w:r>
    </w:p>
    <w:p>
      <w:pPr>
        <w:pStyle w:val="Heading3"/>
        <w:keepNext/>
        <w:spacing w:after="80" w:before="160"/>
      </w:pPr>
      <w:r>
        <w:rPr>
          <w:rFonts w:ascii="Verdana" w:cs="Verdana" w:eastAsia="Verdana" w:hAnsi="Verdana"/>
        </w:rPr>
        <w:t xml:space="preserve">Do employers need to issue two Form 16s for the transition year?</w:t>
      </w:r>
    </w:p>
    <w:p>
      <w:pPr>
        <w:spacing w:after="120" w:line="276"/>
        <w:jc w:val="both"/>
      </w:pPr>
      <w:r>
        <w:rPr>
          <w:rFonts w:ascii="Verdana" w:cs="Verdana" w:eastAsia="Verdana" w:hAnsi="Verdana"/>
        </w:rPr>
        <w:t xml:space="preserve">For FY 2025-26, Form 16 under the old Rules is issued by June 2026. For Tax Year 2026-27, Form 130 is issued by June 2027. There is no overlap within a single year.</w:t>
      </w:r>
    </w:p>
    <w:p>
      <w:pPr>
        <w:pStyle w:val="Heading3"/>
        <w:keepNext/>
        <w:spacing w:after="80" w:before="160"/>
      </w:pPr>
      <w:r>
        <w:rPr>
          <w:rFonts w:ascii="Verdana" w:cs="Verdana" w:eastAsia="Verdana" w:hAnsi="Verdana"/>
        </w:rPr>
        <w:t xml:space="preserve">Where can I find the official mapping of sections?</w:t>
      </w:r>
    </w:p>
    <w:p>
      <w:pPr>
        <w:spacing w:after="120" w:line="276"/>
        <w:jc w:val="both"/>
      </w:pPr>
      <w:r>
        <w:rPr>
          <w:rFonts w:ascii="Verdana" w:cs="Verdana" w:eastAsia="Verdana" w:hAnsi="Verdana"/>
        </w:rPr>
        <w:t xml:space="preserve">The Income Tax Department provides a section mapping utility and the Act with a table of corresponding provisions on its website. Commercial databases also provide mapping tools.</w:t>
      </w:r>
    </w:p>
    <w:p>
      <w:pPr>
        <w:pStyle w:val="Heading1"/>
        <w:pageBreakBefore/>
        <w:spacing w:after="200" w:before="0"/>
      </w:pPr>
      <w:r>
        <w:rPr>
          <w:rFonts w:ascii="Verdana" w:cs="Verdana" w:eastAsia="Verdana" w:hAnsi="Verdana"/>
        </w:rPr>
        <w:t xml:space="preserve">3. Tax Year (Section 3)</w:t>
      </w:r>
    </w:p>
    <w:p>
      <w:pPr>
        <w:spacing w:after="120" w:line="276"/>
        <w:jc w:val="both"/>
      </w:pPr>
      <w:r>
        <w:rPr>
          <w:rFonts w:ascii="Verdana" w:cs="Verdana" w:eastAsia="Verdana" w:hAnsi="Verdana"/>
        </w:rPr>
        <w:t xml:space="preserve">Under the old law, income of the "previous year" was taxed in the following "assessment year". This confused many taxpayers. The 2025 Act uses one term: </w:t>
      </w:r>
      <w:r>
        <w:rPr>
          <w:rFonts w:ascii="Verdana" w:cs="Verdana" w:eastAsia="Verdana" w:hAnsi="Verdana"/>
          <w:b/>
          <w:bCs/>
        </w:rPr>
        <w:t xml:space="preserve">Tax Year</w:t>
      </w:r>
      <w:r>
        <w:rPr>
          <w:rFonts w:ascii="Verdana" w:cs="Verdana" w:eastAsia="Verdana" w:hAnsi="Verdana"/>
        </w:rPr>
        <w:t xml:space="preserve">, which is the twelve months from 1 April to 31 March.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wording</w:t>
            </w:r>
          </w:p>
        </w:tc>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wording</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Previous Year 2026-27, Assessment Year 2027-28</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Year 2026-27</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of AY 2027-28"</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of Tax Year 2026-27"</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for AY 2027-28"</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for Tax Year 2026-27"</w:t>
            </w:r>
          </w:p>
        </w:tc>
      </w:tr>
    </w:tbl>
    <w:p>
      <w:pPr>
        <w:spacing w:after="60"/>
      </w:pPr>
    </w:p>
    <w:p>
      <w:pPr>
        <w:pStyle w:val="Heading2"/>
        <w:keepNext/>
        <w:spacing w:after="120" w:before="240"/>
      </w:pPr>
      <w:r>
        <w:rPr>
          <w:rFonts w:ascii="Verdana" w:cs="Verdana" w:eastAsia="Verdana" w:hAnsi="Verdana"/>
        </w:rPr>
        <w:t xml:space="preserve">3.1 New business or new source of income</w:t>
      </w:r>
    </w:p>
    <w:p>
      <w:pPr>
        <w:spacing w:after="120" w:line="276"/>
        <w:jc w:val="both"/>
      </w:pPr>
      <w:r>
        <w:rPr>
          <w:rFonts w:ascii="Verdana" w:cs="Verdana" w:eastAsia="Verdana" w:hAnsi="Verdana"/>
        </w:rPr>
        <w:t xml:space="preserve">If a business or profession is set up, or a new source of income comes into existence, during the year, the first tax year starts on that date and ends on the next 31 March.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 New LLP</w:t>
            </w:r>
          </w:p>
          <w:p>
            <w:pPr>
              <w:spacing w:after="60" w:line="260"/>
            </w:pPr>
            <w:r>
              <w:rPr>
                <w:rFonts w:ascii="Verdana" w:cs="Verdana" w:eastAsia="Verdana" w:hAnsi="Verdana"/>
                <w:sz w:val="20"/>
                <w:szCs w:val="20"/>
              </w:rPr>
              <w:t xml:space="preserve">GreenLeaf Advisors LLP is incorporated and starts business on 10 November 2026. Its first tax year is </w:t>
            </w:r>
            <w:r>
              <w:rPr>
                <w:rFonts w:ascii="Verdana" w:cs="Verdana" w:eastAsia="Verdana" w:hAnsi="Verdana"/>
                <w:b/>
                <w:bCs/>
                <w:sz w:val="20"/>
                <w:szCs w:val="20"/>
              </w:rPr>
              <w:t xml:space="preserve">10 November 2026 to 31 March 2027</w:t>
            </w:r>
            <w:r>
              <w:rPr>
                <w:rFonts w:ascii="Verdana" w:cs="Verdana" w:eastAsia="Verdana" w:hAnsi="Verdana"/>
                <w:sz w:val="20"/>
                <w:szCs w:val="20"/>
              </w:rPr>
              <w:t xml:space="preserve"> (Tax Year 2026-27). From then on, each tax year is a full April to March year.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Returns, assessments and notices still happen after the tax year ends. Only the naming has changed. The return for Tax Year 2026-27 is still filed in 2027.</w:t>
            </w:r>
          </w:p>
        </w:tc>
      </w:tr>
    </w:tbl>
    <w:p>
      <w:pPr>
        <w:spacing w:after="60"/>
      </w:pPr>
    </w:p>
    <w:p>
      <w:pPr>
        <w:pStyle w:val="Heading2"/>
        <w:keepNext/>
        <w:spacing w:after="120" w:before="240"/>
      </w:pPr>
      <w:r>
        <w:rPr>
          <w:rFonts w:ascii="Verdana" w:cs="Verdana" w:eastAsia="Verdana" w:hAnsi="Verdana"/>
        </w:rPr>
        <w:t xml:space="preserve">3.2 Transition situations you will meet in 2026 and 2027</w:t>
      </w:r>
    </w:p>
    <w:p>
      <w:pPr>
        <w:spacing w:after="120" w:line="276"/>
        <w:jc w:val="both"/>
      </w:pPr>
      <w:r>
        <w:rPr>
          <w:rFonts w:ascii="Verdana" w:cs="Verdana" w:eastAsia="Verdana" w:hAnsi="Verdana"/>
        </w:rPr>
        <w:t xml:space="preserve">Because the changeover happened on 1 April 2026, some transactions fall across the two Acts. The general rule is that the law in force on the date of the relevant event applies, and for income, the tax year of accrual or receipt decides.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5400"/>
      </w:tblGrid>
      <w:tr>
        <w:trPr>
          <w:cantSplit/>
          <w:tblHeader/>
        </w:trPr>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5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How to treat it</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for March 2026 paid on 5 April 2026</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of FY 2025-26 (salary is taxed on due basis). TDS on payment in April 2026 is deducted under section 392 of the 2025 Act, but credit belongs to FY 2025-26 income.</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FD interest accruing from October 2025 to September 2026, paid on maturity</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Split by accrual: the part accruing up to 31 March 2026 belongs to FY 2025-26 (1961 Act) for a person on mercantile basis; the rest to Tax Year 2026-27. A person on cash basis taxes it on receipt in Tax Year 2026-27.</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tax instalment of 15 March 2026</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Relates to FY 2025-26 under the 1961 Act.</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 bought in 2020, sold in August 2026</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 arises in Tax Year 2026-27 and is computed under the 2025 Act. Holding period includes the entire period since 2020.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 of FY 2023-24 carried forward</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off under the 2025 Act from Tax Year 2026-27 for the remaining years of its original life.</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for FY 2022-23 issued in 2026</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Proceedings for that year follow the 1961 Act procedure, as saved by section 536.</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certificate for deduction in March 2026</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form (Form 16 or 16A) because the deduction was under the 1961 Act.</w:t>
            </w:r>
          </w:p>
        </w:tc>
      </w:tr>
    </w:tbl>
    <w:p>
      <w:pPr>
        <w:spacing w:after="60"/>
      </w:pPr>
    </w:p>
    <w:p>
      <w:pPr>
        <w:pStyle w:val="Heading2"/>
        <w:keepNext/>
        <w:spacing w:after="120" w:before="240"/>
      </w:pPr>
      <w:r>
        <w:rPr>
          <w:rFonts w:ascii="Verdana" w:cs="Verdana" w:eastAsia="Verdana" w:hAnsi="Verdana"/>
        </w:rPr>
        <w:t xml:space="preserve">3.3 Special cases of shorter or accelerated tax years</w:t>
      </w:r>
    </w:p>
    <w:p>
      <w:pPr>
        <w:spacing w:after="120" w:line="276"/>
        <w:jc w:val="both"/>
      </w:pPr>
      <w:r>
        <w:rPr>
          <w:rFonts w:ascii="Verdana" w:cs="Verdana" w:eastAsia="Verdana" w:hAnsi="Verdana"/>
        </w:rPr>
        <w:t xml:space="preserve">The Act contains provisions that allow income to be assessed earlier than usual in certain situations, to protect revenue. These are carried over from the 1961 Act in substance:</w:t>
      </w:r>
    </w:p>
    <w:p>
      <w:pPr>
        <w:pStyle w:val="ListParagraph"/>
        <w:numPr>
          <w:ilvl w:val="0"/>
          <w:numId w:val="2"/>
        </w:numPr>
        <w:spacing w:after="60" w:line="264"/>
      </w:pPr>
      <w:r>
        <w:rPr>
          <w:rFonts w:ascii="Verdana" w:cs="Verdana" w:eastAsia="Verdana" w:hAnsi="Verdana"/>
          <w:b/>
          <w:bCs/>
        </w:rPr>
        <w:t xml:space="preserve">Shipping business of non-residents:</w:t>
      </w:r>
      <w:r>
        <w:rPr>
          <w:rFonts w:ascii="Verdana" w:cs="Verdana" w:eastAsia="Verdana" w:hAnsi="Verdana"/>
        </w:rPr>
        <w:t xml:space="preserve"> tax on freight is collected at the port before the ship leaves, at a presumptive rate.</w:t>
      </w:r>
    </w:p>
    <w:p>
      <w:pPr>
        <w:pStyle w:val="ListParagraph"/>
        <w:numPr>
          <w:ilvl w:val="0"/>
          <w:numId w:val="2"/>
        </w:numPr>
        <w:spacing w:after="60" w:line="264"/>
      </w:pPr>
      <w:r>
        <w:rPr>
          <w:rFonts w:ascii="Verdana" w:cs="Verdana" w:eastAsia="Verdana" w:hAnsi="Verdana"/>
          <w:b/>
          <w:bCs/>
        </w:rPr>
        <w:t xml:space="preserve">Persons leaving India:</w:t>
      </w:r>
      <w:r>
        <w:rPr>
          <w:rFonts w:ascii="Verdana" w:cs="Verdana" w:eastAsia="Verdana" w:hAnsi="Verdana"/>
        </w:rPr>
        <w:t xml:space="preserve"> where the Assessing Officer believes a person may leave India with no intention of returning, the income up to the date of departure can be assessed immediately.</w:t>
      </w:r>
    </w:p>
    <w:p>
      <w:pPr>
        <w:pStyle w:val="ListParagraph"/>
        <w:numPr>
          <w:ilvl w:val="0"/>
          <w:numId w:val="2"/>
        </w:numPr>
        <w:spacing w:after="60" w:line="264"/>
      </w:pPr>
      <w:r>
        <w:rPr>
          <w:rFonts w:ascii="Verdana" w:cs="Verdana" w:eastAsia="Verdana" w:hAnsi="Verdana"/>
          <w:b/>
          <w:bCs/>
        </w:rPr>
        <w:t xml:space="preserve">Bodies formed for a single event or purpose:</w:t>
      </w:r>
      <w:r>
        <w:rPr>
          <w:rFonts w:ascii="Verdana" w:cs="Verdana" w:eastAsia="Verdana" w:hAnsi="Verdana"/>
        </w:rPr>
        <w:t xml:space="preserve"> an AOP or BOI likely to be dissolved can be assessed immediately after the event.</w:t>
      </w:r>
    </w:p>
    <w:p>
      <w:pPr>
        <w:pStyle w:val="ListParagraph"/>
        <w:numPr>
          <w:ilvl w:val="0"/>
          <w:numId w:val="2"/>
        </w:numPr>
        <w:spacing w:after="60" w:line="264"/>
      </w:pPr>
      <w:r>
        <w:rPr>
          <w:rFonts w:ascii="Verdana" w:cs="Verdana" w:eastAsia="Verdana" w:hAnsi="Verdana"/>
          <w:b/>
          <w:bCs/>
        </w:rPr>
        <w:t xml:space="preserve">Persons likely to transfer property to avoid tax:</w:t>
      </w:r>
      <w:r>
        <w:rPr>
          <w:rFonts w:ascii="Verdana" w:cs="Verdana" w:eastAsia="Verdana" w:hAnsi="Verdana"/>
        </w:rPr>
        <w:t xml:space="preserve"> assessment can be made early.</w:t>
      </w:r>
    </w:p>
    <w:p>
      <w:pPr>
        <w:pStyle w:val="ListParagraph"/>
        <w:numPr>
          <w:ilvl w:val="0"/>
          <w:numId w:val="2"/>
        </w:numPr>
        <w:spacing w:after="60" w:line="264"/>
      </w:pPr>
      <w:r>
        <w:rPr>
          <w:rFonts w:ascii="Verdana" w:cs="Verdana" w:eastAsia="Verdana" w:hAnsi="Verdana"/>
          <w:b/>
          <w:bCs/>
        </w:rPr>
        <w:t xml:space="preserve">Discontinued business:</w:t>
      </w:r>
      <w:r>
        <w:rPr>
          <w:rFonts w:ascii="Verdana" w:cs="Verdana" w:eastAsia="Verdana" w:hAnsi="Verdana"/>
        </w:rPr>
        <w:t xml:space="preserve"> income up to the date of discontinuance can be assessed in that year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 Discontinued business</w:t>
            </w:r>
          </w:p>
          <w:p>
            <w:pPr>
              <w:spacing w:after="60" w:line="260"/>
            </w:pPr>
            <w:r>
              <w:rPr>
                <w:rFonts w:ascii="Verdana" w:cs="Verdana" w:eastAsia="Verdana" w:hAnsi="Verdana"/>
                <w:sz w:val="20"/>
                <w:szCs w:val="20"/>
              </w:rPr>
              <w:t xml:space="preserve">A proprietor closes his trading business on 30 September 2026 and moves abroad. His business income from 1 April 2026 to 30 September 2026 belongs to Tax Year 2026-27. The department can assess it immediately after closure instead of waiting for the normal return cycle, and he should settle all TDS and advance tax before leaving.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"Tax Year" (1 April to 31 March) replaces previous year and assessment year.</w:t>
            </w:r>
          </w:p>
          <w:p>
            <w:pPr>
              <w:spacing w:after="60" w:line="260"/>
            </w:pPr>
            <w:r>
              <w:rPr>
                <w:rFonts w:ascii="Verdana" w:cs="Verdana" w:eastAsia="Verdana" w:hAnsi="Verdana"/>
                <w:sz w:val="20"/>
                <w:szCs w:val="20"/>
              </w:rPr>
              <w:t xml:space="preserve">•  A new business or source has a first tax year from its start date to 31 March.</w:t>
            </w:r>
          </w:p>
          <w:p>
            <w:pPr>
              <w:spacing w:after="60" w:line="260"/>
            </w:pPr>
            <w:r>
              <w:rPr>
                <w:rFonts w:ascii="Verdana" w:cs="Verdana" w:eastAsia="Verdana" w:hAnsi="Verdana"/>
                <w:sz w:val="20"/>
                <w:szCs w:val="20"/>
              </w:rPr>
              <w:t xml:space="preserve">•  Transition items are allocated by the date of accrual or receipt and the year of the event.</w:t>
            </w:r>
          </w:p>
          <w:p>
            <w:pPr>
              <w:spacing w:after="60" w:line="260"/>
            </w:pPr>
            <w:r>
              <w:rPr>
                <w:rFonts w:ascii="Verdana" w:cs="Verdana" w:eastAsia="Verdana" w:hAnsi="Verdana"/>
                <w:sz w:val="20"/>
                <w:szCs w:val="20"/>
              </w:rPr>
              <w:t xml:space="preserve">•  Special provisions allow early assessment in cases such as persons leaving India or discontinued businesses.</w:t>
            </w:r>
          </w:p>
        </w:tc>
      </w:tr>
    </w:tbl>
    <w:p>
      <w:pPr>
        <w:pStyle w:val="Heading1"/>
        <w:pageBreakBefore/>
        <w:spacing w:after="200" w:before="0"/>
      </w:pPr>
      <w:r>
        <w:rPr>
          <w:rFonts w:ascii="Verdana" w:cs="Verdana" w:eastAsia="Verdana" w:hAnsi="Verdana"/>
        </w:rPr>
        <w:t xml:space="preserve">4. Residential Status (Section 6)</w:t>
      </w:r>
    </w:p>
    <w:p>
      <w:pPr>
        <w:spacing w:after="120" w:line="276"/>
        <w:jc w:val="both"/>
      </w:pPr>
      <w:r>
        <w:rPr>
          <w:rFonts w:ascii="Verdana" w:cs="Verdana" w:eastAsia="Verdana" w:hAnsi="Verdana"/>
        </w:rPr>
        <w:t xml:space="preserve">Residential status decides how much of a person's income is taxable in India. The tests are the same as the old section 6.</w:t>
      </w:r>
    </w:p>
    <w:p>
      <w:pPr>
        <w:pStyle w:val="Heading2"/>
        <w:keepNext/>
        <w:spacing w:after="120" w:before="240"/>
      </w:pPr>
      <w:r>
        <w:rPr>
          <w:rFonts w:ascii="Verdana" w:cs="Verdana" w:eastAsia="Verdana" w:hAnsi="Verdana"/>
        </w:rPr>
        <w:t xml:space="preserve">4.1 Individuals: basic tests</w:t>
      </w:r>
    </w:p>
    <w:p>
      <w:pPr>
        <w:spacing w:after="120" w:line="276"/>
        <w:jc w:val="both"/>
      </w:pPr>
      <w:r>
        <w:rPr>
          <w:rFonts w:ascii="Verdana" w:cs="Verdana" w:eastAsia="Verdana" w:hAnsi="Verdana"/>
        </w:rPr>
        <w:t xml:space="preserve">An individual is </w:t>
      </w:r>
      <w:r>
        <w:rPr>
          <w:rFonts w:ascii="Verdana" w:cs="Verdana" w:eastAsia="Verdana" w:hAnsi="Verdana"/>
          <w:b/>
          <w:bCs/>
        </w:rPr>
        <w:t xml:space="preserve">resident</w:t>
      </w:r>
      <w:r>
        <w:rPr>
          <w:rFonts w:ascii="Verdana" w:cs="Verdana" w:eastAsia="Verdana" w:hAnsi="Verdana"/>
        </w:rPr>
        <w:t xml:space="preserve"> in a tax year if either:</w:t>
      </w:r>
    </w:p>
    <w:p>
      <w:pPr>
        <w:pStyle w:val="ListParagraph"/>
        <w:numPr>
          <w:ilvl w:val="0"/>
          <w:numId w:val="2"/>
        </w:numPr>
        <w:spacing w:after="60" w:line="264"/>
      </w:pPr>
      <w:r>
        <w:rPr>
          <w:rFonts w:ascii="Verdana" w:cs="Verdana" w:eastAsia="Verdana" w:hAnsi="Verdana"/>
        </w:rPr>
        <w:t xml:space="preserve">he stays in India for </w:t>
      </w:r>
      <w:r>
        <w:rPr>
          <w:rFonts w:ascii="Verdana" w:cs="Verdana" w:eastAsia="Verdana" w:hAnsi="Verdana"/>
          <w:b/>
          <w:bCs/>
        </w:rPr>
        <w:t xml:space="preserve">182 days or more</w:t>
      </w:r>
      <w:r>
        <w:rPr>
          <w:rFonts w:ascii="Verdana" w:cs="Verdana" w:eastAsia="Verdana" w:hAnsi="Verdana"/>
        </w:rPr>
        <w:t xml:space="preserve"> in the tax year, or</w:t>
      </w:r>
    </w:p>
    <w:p>
      <w:pPr>
        <w:pStyle w:val="ListParagraph"/>
        <w:numPr>
          <w:ilvl w:val="0"/>
          <w:numId w:val="2"/>
        </w:numPr>
        <w:spacing w:after="60" w:line="264"/>
      </w:pPr>
      <w:r>
        <w:rPr>
          <w:rFonts w:ascii="Verdana" w:cs="Verdana" w:eastAsia="Verdana" w:hAnsi="Verdana"/>
        </w:rPr>
        <w:t xml:space="preserve">he stays </w:t>
      </w:r>
      <w:r>
        <w:rPr>
          <w:rFonts w:ascii="Verdana" w:cs="Verdana" w:eastAsia="Verdana" w:hAnsi="Verdana"/>
          <w:b/>
          <w:bCs/>
        </w:rPr>
        <w:t xml:space="preserve">60 days or more</w:t>
      </w:r>
      <w:r>
        <w:rPr>
          <w:rFonts w:ascii="Verdana" w:cs="Verdana" w:eastAsia="Verdana" w:hAnsi="Verdana"/>
        </w:rPr>
        <w:t xml:space="preserve"> in the tax year </w:t>
      </w:r>
      <w:r>
        <w:rPr>
          <w:rFonts w:ascii="Verdana" w:cs="Verdana" w:eastAsia="Verdana" w:hAnsi="Verdana"/>
          <w:b/>
          <w:bCs/>
        </w:rPr>
        <w:t xml:space="preserve">and</w:t>
      </w:r>
      <w:r>
        <w:rPr>
          <w:rFonts w:ascii="Verdana" w:cs="Verdana" w:eastAsia="Verdana" w:hAnsi="Verdana"/>
        </w:rPr>
        <w:t xml:space="preserve"> 365 days or more in the four preceding tax years.</w:t>
      </w:r>
    </w:p>
    <w:p>
      <w:pPr>
        <w:spacing w:after="120" w:line="276"/>
        <w:jc w:val="both"/>
      </w:pPr>
      <w:r>
        <w:rPr>
          <w:rFonts w:ascii="Verdana" w:cs="Verdana" w:eastAsia="Verdana" w:hAnsi="Verdana"/>
        </w:rPr>
        <w:t xml:space="preserve">The 60-day test becomes 182 days for an Indian citizen leaving India for employment, or as crew of an Indian ship. For an Indian citizen or person of Indian origin visiting India, it becomes 120 days if Indian income (other than foreign sources) exceeds Rs. 15 lakh, otherwise 182 days.</w:t>
      </w:r>
    </w:p>
    <w:p>
      <w:pPr>
        <w:spacing w:after="120" w:line="276"/>
        <w:jc w:val="both"/>
      </w:pPr>
      <w:r>
        <w:rPr>
          <w:rFonts w:ascii="Verdana" w:cs="Verdana" w:eastAsia="Verdana" w:hAnsi="Verdana"/>
          <w:b/>
          <w:bCs/>
        </w:rPr>
        <w:t xml:space="preserve">Deemed resident:</w:t>
      </w:r>
      <w:r>
        <w:rPr>
          <w:rFonts w:ascii="Verdana" w:cs="Verdana" w:eastAsia="Verdana" w:hAnsi="Verdana"/>
        </w:rPr>
        <w:t xml:space="preserve"> an Indian citizen with Indian income above Rs. 15 lakh who is not liable to tax in any other country because of domicile or residence is treated as resident (but not ordinarily resident).</w:t>
      </w:r>
    </w:p>
    <w:p>
      <w:pPr>
        <w:pStyle w:val="Heading2"/>
        <w:keepNext/>
        <w:spacing w:after="120" w:before="240"/>
      </w:pPr>
      <w:r>
        <w:rPr>
          <w:rFonts w:ascii="Verdana" w:cs="Verdana" w:eastAsia="Verdana" w:hAnsi="Verdana"/>
        </w:rPr>
        <w:t xml:space="preserve">4.2 Resident but Not Ordinarily Resident (RNOR)</w:t>
      </w:r>
    </w:p>
    <w:p>
      <w:pPr>
        <w:spacing w:after="120" w:line="276"/>
        <w:jc w:val="both"/>
      </w:pPr>
      <w:r>
        <w:rPr>
          <w:rFonts w:ascii="Verdana" w:cs="Verdana" w:eastAsia="Verdana" w:hAnsi="Verdana"/>
        </w:rPr>
        <w:t xml:space="preserve">A resident individual is RNOR if he was non-resident in 9 out of the 10 preceding years, or stayed 729 days or less in India in the 7 preceding years. Visiting persons covered by the 120-day rule and deemed residents are also RNOR.</w:t>
      </w:r>
    </w:p>
    <w:p>
      <w:pPr>
        <w:pStyle w:val="Heading2"/>
        <w:keepNext/>
        <w:spacing w:after="120" w:before="240"/>
      </w:pPr>
      <w:r>
        <w:rPr>
          <w:rFonts w:ascii="Verdana" w:cs="Verdana" w:eastAsia="Verdana" w:hAnsi="Verdana"/>
        </w:rPr>
        <w:t xml:space="preserve">4.3 What is taxable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900"/>
        <w:gridCol w:w="1900"/>
        <w:gridCol w:w="20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Income</w:t>
            </w:r>
          </w:p>
        </w:tc>
        <w:tc>
          <w:tcPr>
            <w:tcW w:type="dxa" w:w="1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Resident (ROR)</w:t>
            </w:r>
          </w:p>
        </w:tc>
        <w:tc>
          <w:tcPr>
            <w:tcW w:type="dxa" w:w="1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RNOR</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Non-resident</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Received or deemed received in India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Accrues or arises (or deemed to) in India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Accrues outside India from business controlled in or profession set up in India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taxable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foreign income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taxable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taxable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 Employee sent abroad</w:t>
            </w:r>
          </w:p>
          <w:p>
            <w:pPr>
              <w:spacing w:after="60" w:line="260"/>
            </w:pPr>
            <w:r>
              <w:rPr>
                <w:rFonts w:ascii="Verdana" w:cs="Verdana" w:eastAsia="Verdana" w:hAnsi="Verdana"/>
                <w:sz w:val="20"/>
                <w:szCs w:val="20"/>
              </w:rPr>
              <w:t xml:space="preserve">Rahul, an Indian citizen, leaves for a job in Dubai on 15 September 2026. His stay in India during Tax Year 2026-27 is 167 days.</w:t>
            </w:r>
          </w:p>
          <w:p>
            <w:pPr>
              <w:spacing w:after="60" w:line="260"/>
            </w:pPr>
            <w:r>
              <w:rPr>
                <w:rFonts w:ascii="Verdana" w:cs="Verdana" w:eastAsia="Verdana" w:hAnsi="Verdana"/>
                <w:sz w:val="20"/>
                <w:szCs w:val="20"/>
              </w:rPr>
              <w:t xml:space="preserve">He left India for employment, so the 60-day test is replaced by 182 days. 167 days is less than 182 days, so Rahul is </w:t>
            </w:r>
            <w:r>
              <w:rPr>
                <w:rFonts w:ascii="Verdana" w:cs="Verdana" w:eastAsia="Verdana" w:hAnsi="Verdana"/>
                <w:b/>
                <w:bCs/>
                <w:sz w:val="20"/>
                <w:szCs w:val="20"/>
              </w:rPr>
              <w:t xml:space="preserve">non-resident</w:t>
            </w:r>
            <w:r>
              <w:rPr>
                <w:rFonts w:ascii="Verdana" w:cs="Verdana" w:eastAsia="Verdana" w:hAnsi="Verdana"/>
                <w:sz w:val="20"/>
                <w:szCs w:val="20"/>
              </w:rPr>
              <w:t xml:space="preserve">. His Dubai salary is not taxable in India. His Indian FD interest and rent from his Pune flat remain taxable.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 Returning NRI</w:t>
            </w:r>
          </w:p>
          <w:p>
            <w:pPr>
              <w:spacing w:after="60" w:line="260"/>
            </w:pPr>
            <w:r>
              <w:rPr>
                <w:rFonts w:ascii="Verdana" w:cs="Verdana" w:eastAsia="Verdana" w:hAnsi="Verdana"/>
                <w:sz w:val="20"/>
                <w:szCs w:val="20"/>
              </w:rPr>
              <w:t xml:space="preserve">Sunita worked in the US for 12 years and returned to India on 1 June 2026 for good. She stays 304 days in India in Tax Year 2026-27.</w:t>
            </w:r>
          </w:p>
          <w:p>
            <w:pPr>
              <w:spacing w:after="60" w:line="260"/>
            </w:pPr>
            <w:r>
              <w:rPr>
                <w:rFonts w:ascii="Verdana" w:cs="Verdana" w:eastAsia="Verdana" w:hAnsi="Verdana"/>
                <w:sz w:val="20"/>
                <w:szCs w:val="20"/>
              </w:rPr>
              <w:t xml:space="preserve">She is resident (182 days), but she was non-resident in 9 of the 10 preceding years, so she is </w:t>
            </w:r>
            <w:r>
              <w:rPr>
                <w:rFonts w:ascii="Verdana" w:cs="Verdana" w:eastAsia="Verdana" w:hAnsi="Verdana"/>
                <w:b/>
                <w:bCs/>
                <w:sz w:val="20"/>
                <w:szCs w:val="20"/>
              </w:rPr>
              <w:t xml:space="preserve">RNOR</w:t>
            </w:r>
            <w:r>
              <w:rPr>
                <w:rFonts w:ascii="Verdana" w:cs="Verdana" w:eastAsia="Verdana" w:hAnsi="Verdana"/>
                <w:sz w:val="20"/>
                <w:szCs w:val="20"/>
              </w:rPr>
              <w:t xml:space="preserve">. Her US rental income is not taxable in India this year.</w:t>
            </w:r>
          </w:p>
        </w:tc>
      </w:tr>
    </w:tbl>
    <w:p>
      <w:pPr>
        <w:spacing w:after="60"/>
      </w:pPr>
    </w:p>
    <w:p>
      <w:pPr>
        <w:pStyle w:val="Heading2"/>
        <w:keepNext/>
        <w:spacing w:after="120" w:before="240"/>
      </w:pPr>
      <w:r>
        <w:rPr>
          <w:rFonts w:ascii="Verdana" w:cs="Verdana" w:eastAsia="Verdana" w:hAnsi="Verdana"/>
        </w:rPr>
        <w:t xml:space="preserve">4.4 HUF, firms and companies</w:t>
      </w:r>
    </w:p>
    <w:p>
      <w:pPr>
        <w:pStyle w:val="ListParagraph"/>
        <w:numPr>
          <w:ilvl w:val="0"/>
          <w:numId w:val="2"/>
        </w:numPr>
        <w:spacing w:after="60" w:line="264"/>
      </w:pPr>
      <w:r>
        <w:rPr>
          <w:rFonts w:ascii="Verdana" w:cs="Verdana" w:eastAsia="Verdana" w:hAnsi="Verdana"/>
          <w:b/>
          <w:bCs/>
        </w:rPr>
        <w:t xml:space="preserve">HUF, firm, AOP:</w:t>
      </w:r>
      <w:r>
        <w:rPr>
          <w:rFonts w:ascii="Verdana" w:cs="Verdana" w:eastAsia="Verdana" w:hAnsi="Verdana"/>
        </w:rPr>
        <w:t xml:space="preserve"> resident unless control and management is wholly outside India.</w:t>
      </w:r>
    </w:p>
    <w:p>
      <w:pPr>
        <w:pStyle w:val="ListParagraph"/>
        <w:numPr>
          <w:ilvl w:val="0"/>
          <w:numId w:val="2"/>
        </w:numPr>
        <w:spacing w:after="60" w:line="264"/>
      </w:pPr>
      <w:r>
        <w:rPr>
          <w:rFonts w:ascii="Verdana" w:cs="Verdana" w:eastAsia="Verdana" w:hAnsi="Verdana"/>
          <w:b/>
          <w:bCs/>
        </w:rPr>
        <w:t xml:space="preserve">Indian company:</w:t>
      </w:r>
      <w:r>
        <w:rPr>
          <w:rFonts w:ascii="Verdana" w:cs="Verdana" w:eastAsia="Verdana" w:hAnsi="Verdana"/>
        </w:rPr>
        <w:t xml:space="preserve"> always resident.</w:t>
      </w:r>
    </w:p>
    <w:p>
      <w:pPr>
        <w:pStyle w:val="ListParagraph"/>
        <w:numPr>
          <w:ilvl w:val="0"/>
          <w:numId w:val="2"/>
        </w:numPr>
        <w:spacing w:after="60" w:line="264"/>
      </w:pPr>
      <w:r>
        <w:rPr>
          <w:rFonts w:ascii="Verdana" w:cs="Verdana" w:eastAsia="Verdana" w:hAnsi="Verdana"/>
          <w:b/>
          <w:bCs/>
        </w:rPr>
        <w:t xml:space="preserve">Foreign company:</w:t>
      </w:r>
      <w:r>
        <w:rPr>
          <w:rFonts w:ascii="Verdana" w:cs="Verdana" w:eastAsia="Verdana" w:hAnsi="Verdana"/>
        </w:rPr>
        <w:t xml:space="preserve"> resident if its </w:t>
      </w:r>
      <w:r>
        <w:rPr>
          <w:rFonts w:ascii="Verdana" w:cs="Verdana" w:eastAsia="Verdana" w:hAnsi="Verdana"/>
          <w:b/>
          <w:bCs/>
        </w:rPr>
        <w:t xml:space="preserve">place of effective management</w:t>
      </w:r>
      <w:r>
        <w:rPr>
          <w:rFonts w:ascii="Verdana" w:cs="Verdana" w:eastAsia="Verdana" w:hAnsi="Verdana"/>
        </w:rPr>
        <w:t xml:space="preserve"> (POEM) in the tax year is in India. POEM means the place where key management and commercial decisions for the business as a whole are in substance made. It is examined in detail in the International Taxation part.</w:t>
      </w:r>
    </w:p>
    <w:p>
      <w:pPr>
        <w:pStyle w:val="Heading2"/>
        <w:keepNext/>
        <w:spacing w:after="120" w:before="240"/>
      </w:pPr>
      <w:r>
        <w:rPr>
          <w:rFonts w:ascii="Verdana" w:cs="Verdana" w:eastAsia="Verdana" w:hAnsi="Verdana"/>
        </w:rPr>
        <w:t xml:space="preserve">4.5 Counting days of stay</w:t>
      </w:r>
    </w:p>
    <w:p>
      <w:pPr>
        <w:spacing w:after="120" w:line="276"/>
        <w:jc w:val="both"/>
      </w:pPr>
      <w:r>
        <w:rPr>
          <w:rFonts w:ascii="Verdana" w:cs="Verdana" w:eastAsia="Verdana" w:hAnsi="Verdana"/>
        </w:rPr>
        <w:t xml:space="preserve">Stay in India is counted in days, and the courts and tribunals have generally held that both the day of arrival and the day of departure are counted as days in India, because the person is physically present on both days. Keep passport stamps and boarding passes for every trip, since residential status is a question of fact and the burden is on the taxpayer.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 Counting days</w:t>
            </w:r>
          </w:p>
          <w:p>
            <w:pPr>
              <w:spacing w:after="60" w:line="260"/>
            </w:pPr>
            <w:r>
              <w:rPr>
                <w:rFonts w:ascii="Verdana" w:cs="Verdana" w:eastAsia="Verdana" w:hAnsi="Verdana"/>
                <w:sz w:val="20"/>
                <w:szCs w:val="20"/>
              </w:rPr>
              <w:t xml:space="preserve">Anand flies into Mumbai on 10 April 2026 and leaves on 20 April 2026. Days in India = 11 (10 April to 20 April, both included). If he makes 17 such trips in the year, his total stay is 187 days and he is resident on the 182-day test.</w:t>
            </w:r>
          </w:p>
        </w:tc>
      </w:tr>
    </w:tbl>
    <w:p>
      <w:pPr>
        <w:spacing w:after="60"/>
      </w:pPr>
    </w:p>
    <w:p>
      <w:pPr>
        <w:pStyle w:val="Heading2"/>
        <w:keepNext/>
        <w:spacing w:after="120" w:before="240"/>
      </w:pPr>
      <w:r>
        <w:rPr>
          <w:rFonts w:ascii="Verdana" w:cs="Verdana" w:eastAsia="Verdana" w:hAnsi="Verdana"/>
        </w:rPr>
        <w:t xml:space="preserve">4.6 The 120-day rule and the deemed resident rule</w:t>
      </w:r>
    </w:p>
    <w:p>
      <w:pPr>
        <w:spacing w:after="120" w:line="276"/>
        <w:jc w:val="both"/>
      </w:pPr>
      <w:r>
        <w:rPr>
          <w:rFonts w:ascii="Verdana" w:cs="Verdana" w:eastAsia="Verdana" w:hAnsi="Verdana"/>
        </w:rPr>
        <w:t xml:space="preserve">These rules were introduced to stop high-income individuals from staying outside the tax net everywhere. They apply only to Indian citizens and persons of Indian origin.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38"/>
        <w:gridCol w:w="3800"/>
      </w:tblGrid>
      <w:tr>
        <w:trPr>
          <w:cantSplit/>
          <w:tblHeader/>
        </w:trPr>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Person</w:t>
            </w:r>
          </w:p>
        </w:tc>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Indian income (excluding foreign sources)</w:t>
            </w:r>
          </w:p>
        </w:tc>
        <w:tc>
          <w:tcPr>
            <w:tcW w:type="dxa" w:w="3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Test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Citizen or PIO visiting India</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15 lakh</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 only if 182 days in the year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Citizen or PIO visiting India</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15 lakh</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 if 120 days in the year and 365 days in 4 preceding years; if resident only because of this, he is RNOR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Citizen not liable to tax in any country</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15 lakh</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resident, RNOR, regardless of days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 Visiting NRI with large Indian income</w:t>
            </w:r>
          </w:p>
          <w:p>
            <w:pPr>
              <w:spacing w:after="60" w:line="260"/>
            </w:pPr>
            <w:r>
              <w:rPr>
                <w:rFonts w:ascii="Verdana" w:cs="Verdana" w:eastAsia="Verdana" w:hAnsi="Verdana"/>
                <w:sz w:val="20"/>
                <w:szCs w:val="20"/>
              </w:rPr>
              <w:t xml:space="preserve">Rajesh, an Indian citizen working in Singapore, visits India for 130 days in Tax Year 2026-27. His rental and interest income in India is Rs. 22 lakh. He stayed 400 days in India in the four preceding years. Since his Indian income exceeds Rs. 15 lakh, the 120-day test applies and he is </w:t>
            </w:r>
            <w:r>
              <w:rPr>
                <w:rFonts w:ascii="Verdana" w:cs="Verdana" w:eastAsia="Verdana" w:hAnsi="Verdana"/>
                <w:b/>
                <w:bCs/>
                <w:sz w:val="20"/>
                <w:szCs w:val="20"/>
              </w:rPr>
              <w:t xml:space="preserve">resident but not ordinarily resident</w:t>
            </w:r>
            <w:r>
              <w:rPr>
                <w:rFonts w:ascii="Verdana" w:cs="Verdana" w:eastAsia="Verdana" w:hAnsi="Verdana"/>
                <w:sz w:val="20"/>
                <w:szCs w:val="20"/>
              </w:rPr>
              <w:t xml:space="preserve">. His Singapore salary remains outside Indian tax, but his Indian income is taxed as for a resident, and his return must be filed accordingly.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 Deemed resident</w:t>
            </w:r>
          </w:p>
          <w:p>
            <w:pPr>
              <w:spacing w:after="60" w:line="260"/>
            </w:pPr>
            <w:r>
              <w:rPr>
                <w:rFonts w:ascii="Verdana" w:cs="Verdana" w:eastAsia="Verdana" w:hAnsi="Verdana"/>
                <w:sz w:val="20"/>
                <w:szCs w:val="20"/>
              </w:rPr>
              <w:t xml:space="preserve">Kunal is an Indian citizen living in the UAE, where there is no personal income tax. He is not liable to tax in any country because of domicile or residence. His Indian income (dividends and capital gains) is Rs. 40 lakh. He is a </w:t>
            </w:r>
            <w:r>
              <w:rPr>
                <w:rFonts w:ascii="Verdana" w:cs="Verdana" w:eastAsia="Verdana" w:hAnsi="Verdana"/>
                <w:b/>
                <w:bCs/>
                <w:sz w:val="20"/>
                <w:szCs w:val="20"/>
              </w:rPr>
              <w:t xml:space="preserve">deemed resident</w:t>
            </w:r>
            <w:r>
              <w:rPr>
                <w:rFonts w:ascii="Verdana" w:cs="Verdana" w:eastAsia="Verdana" w:hAnsi="Verdana"/>
                <w:sz w:val="20"/>
                <w:szCs w:val="20"/>
              </w:rPr>
              <w:t xml:space="preserve"> and RNOR for Tax Year 2026-27. Note that income earned in the UAE from his UAE business is still not taxed in India, because RNORs are taxed only on Indian income and income from businesses controlled from India.</w:t>
            </w:r>
          </w:p>
        </w:tc>
      </w:tr>
    </w:tbl>
    <w:p>
      <w:pPr>
        <w:spacing w:after="60"/>
      </w:pPr>
    </w:p>
    <w:p>
      <w:pPr>
        <w:pStyle w:val="Heading2"/>
        <w:keepNext/>
        <w:spacing w:after="120" w:before="240"/>
      </w:pPr>
      <w:r>
        <w:rPr>
          <w:rFonts w:ascii="Verdana" w:cs="Verdana" w:eastAsia="Verdana" w:hAnsi="Verdana"/>
        </w:rPr>
        <w:t xml:space="preserve">4.7 RNOR test worked out</w:t>
      </w:r>
    </w:p>
    <w:p>
      <w:pPr>
        <w:spacing w:after="120" w:line="276"/>
        <w:jc w:val="both"/>
      </w:pPr>
      <w:r>
        <w:rPr>
          <w:rFonts w:ascii="Verdana" w:cs="Verdana" w:eastAsia="Verdana" w:hAnsi="Verdana"/>
        </w:rPr>
        <w:t xml:space="preserve">An individual who is resident is further tested for "not ordinarily resident" status. The two alternative conditions are:</w:t>
      </w:r>
    </w:p>
    <w:p>
      <w:pPr>
        <w:pStyle w:val="ListParagraph"/>
        <w:numPr>
          <w:ilvl w:val="0"/>
          <w:numId w:val="2"/>
        </w:numPr>
        <w:spacing w:after="60" w:line="264"/>
      </w:pPr>
      <w:r>
        <w:rPr>
          <w:rFonts w:ascii="Verdana" w:cs="Verdana" w:eastAsia="Verdana" w:hAnsi="Verdana"/>
        </w:rPr>
        <w:t xml:space="preserve">He was non-resident in India in 9 out of the 10 tax years preceding the relevant year; </w:t>
      </w:r>
      <w:r>
        <w:rPr>
          <w:rFonts w:ascii="Verdana" w:cs="Verdana" w:eastAsia="Verdana" w:hAnsi="Verdana"/>
          <w:b/>
          <w:bCs/>
        </w:rPr>
        <w:t xml:space="preserve">or</w:t>
      </w:r>
    </w:p>
    <w:p>
      <w:pPr>
        <w:pStyle w:val="ListParagraph"/>
        <w:numPr>
          <w:ilvl w:val="0"/>
          <w:numId w:val="2"/>
        </w:numPr>
        <w:spacing w:after="60" w:line="264"/>
      </w:pPr>
      <w:r>
        <w:rPr>
          <w:rFonts w:ascii="Verdana" w:cs="Verdana" w:eastAsia="Verdana" w:hAnsi="Verdana"/>
        </w:rPr>
        <w:t xml:space="preserve">His total stay in India in the 7 preceding tax years is 729 days or less.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 Returning professional</w:t>
            </w:r>
          </w:p>
          <w:p>
            <w:pPr>
              <w:spacing w:after="60" w:line="260"/>
            </w:pPr>
            <w:r>
              <w:rPr>
                <w:rFonts w:ascii="Verdana" w:cs="Verdana" w:eastAsia="Verdana" w:hAnsi="Verdana"/>
                <w:sz w:val="20"/>
                <w:szCs w:val="20"/>
              </w:rPr>
              <w:t xml:space="preserve">Meena returns to India permanently in May 2026 after 8 years in the UK. During the 10 preceding years she was resident in two years (2016-17 and 2017-18) and non-resident in eight. In the 7 preceding years she stayed a total of 350 days in India.</w:t>
            </w:r>
          </w:p>
          <w:p>
            <w:pPr>
              <w:spacing w:after="60" w:line="260"/>
            </w:pPr>
            <w:r>
              <w:rPr>
                <w:rFonts w:ascii="Verdana" w:cs="Verdana" w:eastAsia="Verdana" w:hAnsi="Verdana"/>
                <w:sz w:val="20"/>
                <w:szCs w:val="20"/>
              </w:rPr>
              <w:t xml:space="preserve">She fails the first condition (non-resident in only 8 of 10 years), but meets the second (350 days is less than 730). She is therefore </w:t>
            </w:r>
            <w:r>
              <w:rPr>
                <w:rFonts w:ascii="Verdana" w:cs="Verdana" w:eastAsia="Verdana" w:hAnsi="Verdana"/>
                <w:b/>
                <w:bCs/>
                <w:sz w:val="20"/>
                <w:szCs w:val="20"/>
              </w:rPr>
              <w:t xml:space="preserve">RNOR</w:t>
            </w:r>
            <w:r>
              <w:rPr>
                <w:rFonts w:ascii="Verdana" w:cs="Verdana" w:eastAsia="Verdana" w:hAnsi="Verdana"/>
                <w:sz w:val="20"/>
                <w:szCs w:val="20"/>
              </w:rPr>
              <w:t xml:space="preserve"> for Tax Year 2026-27. Her UK pension and UK rental income are not taxable in India in that year. She will usually remain RNOR for one or two years, which gives time to reorganise foreign assets.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For returning Indians, plan the timing of sale of foreign assets and redemption of foreign investments to fall within the RNOR years. Foreign bank interest and gains earned in RNOR years are not taxed in India, provided they are not received in India.</w:t>
            </w:r>
          </w:p>
        </w:tc>
      </w:tr>
    </w:tbl>
    <w:p>
      <w:pPr>
        <w:spacing w:after="60"/>
      </w:pPr>
    </w:p>
    <w:p>
      <w:pPr>
        <w:pStyle w:val="Heading2"/>
        <w:keepNext/>
        <w:spacing w:after="120" w:before="240"/>
      </w:pPr>
      <w:r>
        <w:rPr>
          <w:rFonts w:ascii="Verdana" w:cs="Verdana" w:eastAsia="Verdana" w:hAnsi="Verdana"/>
        </w:rPr>
        <w:t xml:space="preserve">4.8 HUF and firms</w:t>
      </w:r>
    </w:p>
    <w:p>
      <w:pPr>
        <w:spacing w:after="120" w:line="276"/>
        <w:jc w:val="both"/>
      </w:pPr>
      <w:r>
        <w:rPr>
          <w:rFonts w:ascii="Verdana" w:cs="Verdana" w:eastAsia="Verdana" w:hAnsi="Verdana"/>
        </w:rPr>
        <w:t xml:space="preserve">An HUF is resident if any part of the control and management of its affairs is in India. A resident HUF is "not ordinarily resident" if its karta (manager) is not ordinarily resident. A firm, AOP or BOI is resident unless the control and management is wholly outside India. Control and management means the controlling and directing power, the "head and brain", not day-to-day operations.</w:t>
      </w:r>
    </w:p>
    <w:p>
      <w:pPr>
        <w:pStyle w:val="Heading2"/>
        <w:keepNext/>
        <w:spacing w:after="120" w:before="240"/>
      </w:pPr>
      <w:r>
        <w:rPr>
          <w:rFonts w:ascii="Verdana" w:cs="Verdana" w:eastAsia="Verdana" w:hAnsi="Verdana"/>
        </w:rPr>
        <w:t xml:space="preserve">4.9 Place of effective management of foreign companies</w:t>
      </w:r>
    </w:p>
    <w:p>
      <w:pPr>
        <w:spacing w:after="120" w:line="276"/>
        <w:jc w:val="both"/>
      </w:pPr>
      <w:r>
        <w:rPr>
          <w:rFonts w:ascii="Verdana" w:cs="Verdana" w:eastAsia="Verdana" w:hAnsi="Verdana"/>
        </w:rPr>
        <w:t xml:space="preserve">POEM is a test of where the real decisions are taken. The CBDT guidelines issued under the 1961 Act continue to be followed as a reference. The broad approach is:</w:t>
      </w:r>
    </w:p>
    <w:p>
      <w:pPr>
        <w:pStyle w:val="ListParagraph"/>
        <w:numPr>
          <w:ilvl w:val="0"/>
          <w:numId w:val="2"/>
        </w:numPr>
        <w:spacing w:after="60" w:line="264"/>
      </w:pPr>
      <w:r>
        <w:rPr>
          <w:rFonts w:ascii="Verdana" w:cs="Verdana" w:eastAsia="Verdana" w:hAnsi="Verdana"/>
          <w:b/>
          <w:bCs/>
        </w:rPr>
        <w:t xml:space="preserve">Active business outside India (ABOI) test:</w:t>
      </w:r>
      <w:r>
        <w:rPr>
          <w:rFonts w:ascii="Verdana" w:cs="Verdana" w:eastAsia="Verdana" w:hAnsi="Verdana"/>
        </w:rPr>
        <w:t xml:space="preserve"> if a company has passive income of not more than 50% of total income, and less than 50% of its assets, employees and payroll are in India, it is treated as having ABOI and its POEM is presumed to be outside India if the majority of board meetings are held outside India.</w:t>
      </w:r>
    </w:p>
    <w:p>
      <w:pPr>
        <w:pStyle w:val="ListParagraph"/>
        <w:numPr>
          <w:ilvl w:val="0"/>
          <w:numId w:val="2"/>
        </w:numPr>
        <w:spacing w:after="60" w:line="264"/>
      </w:pPr>
      <w:r>
        <w:rPr>
          <w:rFonts w:ascii="Verdana" w:cs="Verdana" w:eastAsia="Verdana" w:hAnsi="Verdana"/>
          <w:b/>
          <w:bCs/>
        </w:rPr>
        <w:t xml:space="preserve">Other companies:</w:t>
      </w:r>
      <w:r>
        <w:rPr>
          <w:rFonts w:ascii="Verdana" w:cs="Verdana" w:eastAsia="Verdana" w:hAnsi="Verdana"/>
        </w:rPr>
        <w:t xml:space="preserve"> a two-stage approach. First identify who actually makes the key management and commercial decisions. Then identify where those decisions are made. The place of board meetings is important only if the board really takes the decisions.</w:t>
      </w:r>
    </w:p>
    <w:p>
      <w:pPr>
        <w:pStyle w:val="ListParagraph"/>
        <w:numPr>
          <w:ilvl w:val="0"/>
          <w:numId w:val="2"/>
        </w:numPr>
        <w:spacing w:after="60" w:line="264"/>
      </w:pPr>
      <w:r>
        <w:rPr>
          <w:rFonts w:ascii="Verdana" w:cs="Verdana" w:eastAsia="Verdana" w:hAnsi="Verdana"/>
        </w:rPr>
        <w:t xml:space="preserve">Companies with turnover up to Rs. 50 crore are outside the POEM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 POEM risk</w:t>
            </w:r>
          </w:p>
          <w:p>
            <w:pPr>
              <w:spacing w:after="60" w:line="260"/>
            </w:pPr>
            <w:r>
              <w:rPr>
                <w:rFonts w:ascii="Verdana" w:cs="Verdana" w:eastAsia="Verdana" w:hAnsi="Verdana"/>
                <w:sz w:val="20"/>
                <w:szCs w:val="20"/>
              </w:rPr>
              <w:t xml:space="preserve">An Indian group sets up a subsidiary in Dubai for trading. All contracts are negotiated and approved by the Indian promoter from Mumbai, the Dubai company has one employee who handles paperwork, and board meetings are held by video call with the directors sitting in India. The Dubai company's POEM is likely to be in India. It would then be resident in India and its global profits taxed at 35% plus surcharge and cess.</w:t>
            </w:r>
          </w:p>
        </w:tc>
      </w:tr>
    </w:tbl>
    <w:p>
      <w:pPr>
        <w:spacing w:after="60"/>
      </w:pPr>
    </w:p>
    <w:p>
      <w:pPr>
        <w:pStyle w:val="Heading2"/>
        <w:keepNext/>
        <w:spacing w:after="120" w:before="240"/>
      </w:pPr>
      <w:r>
        <w:rPr>
          <w:rFonts w:ascii="Verdana" w:cs="Verdana" w:eastAsia="Verdana" w:hAnsi="Verdana"/>
        </w:rPr>
        <w:t xml:space="preserve">4.10 Residence under tax treaties (tie breaker)</w:t>
      </w:r>
    </w:p>
    <w:p>
      <w:pPr>
        <w:spacing w:after="120" w:line="276"/>
        <w:jc w:val="both"/>
      </w:pPr>
      <w:r>
        <w:rPr>
          <w:rFonts w:ascii="Verdana" w:cs="Verdana" w:eastAsia="Verdana" w:hAnsi="Verdana"/>
        </w:rPr>
        <w:t xml:space="preserve">A person may be resident in both India and another country under their domestic laws. Tax treaties resolve this through tie breaker rules. For individuals the tests are applied in order: permanent home, centre of vital interests (personal and economic relations), habitual abode, nationality, and finally mutual agreement. For companies, most older treaties use the place of effective management; newer treaties and the MLI leave it to mutual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 Tie breaker</w:t>
            </w:r>
          </w:p>
          <w:p>
            <w:pPr>
              <w:spacing w:after="60" w:line="260"/>
            </w:pPr>
            <w:r>
              <w:rPr>
                <w:rFonts w:ascii="Verdana" w:cs="Verdana" w:eastAsia="Verdana" w:hAnsi="Verdana"/>
                <w:sz w:val="20"/>
                <w:szCs w:val="20"/>
              </w:rPr>
              <w:t xml:space="preserve">Dev is resident in India under the 182-day test and resident in the US as a green card holder. He owns a house only in the US, where his wife and children live. Under the India-US treaty, his permanent home is in the US, so he is treated as resident of the US for treaty purposes. India can still tax his Indian source income, but not his US salary.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Individuals: 182 days, or 60 days plus 365 days in four preceding years (with 120-day and 182-day variations).</w:t>
            </w:r>
          </w:p>
          <w:p>
            <w:pPr>
              <w:spacing w:after="60" w:line="260"/>
            </w:pPr>
            <w:r>
              <w:rPr>
                <w:rFonts w:ascii="Verdana" w:cs="Verdana" w:eastAsia="Verdana" w:hAnsi="Verdana"/>
                <w:sz w:val="20"/>
                <w:szCs w:val="20"/>
              </w:rPr>
              <w:t xml:space="preserve">•  Deemed residence applies to citizens with Indian income above Rs. 15 lakh not taxed elsewhere.</w:t>
            </w:r>
          </w:p>
          <w:p>
            <w:pPr>
              <w:spacing w:after="60" w:line="260"/>
            </w:pPr>
            <w:r>
              <w:rPr>
                <w:rFonts w:ascii="Verdana" w:cs="Verdana" w:eastAsia="Verdana" w:hAnsi="Verdana"/>
                <w:sz w:val="20"/>
                <w:szCs w:val="20"/>
              </w:rPr>
              <w:t xml:space="preserve">•  RNOR status gives relief on foreign income; it usually applies to returning residents for one or two years.</w:t>
            </w:r>
          </w:p>
          <w:p>
            <w:pPr>
              <w:spacing w:after="60" w:line="260"/>
            </w:pPr>
            <w:r>
              <w:rPr>
                <w:rFonts w:ascii="Verdana" w:cs="Verdana" w:eastAsia="Verdana" w:hAnsi="Verdana"/>
                <w:sz w:val="20"/>
                <w:szCs w:val="20"/>
              </w:rPr>
              <w:t xml:space="preserve">•  Companies: Indian companies are always resident; foreign companies are resident if POEM is in India.</w:t>
            </w:r>
          </w:p>
          <w:p>
            <w:pPr>
              <w:spacing w:after="60" w:line="260"/>
            </w:pPr>
            <w:r>
              <w:rPr>
                <w:rFonts w:ascii="Verdana" w:cs="Verdana" w:eastAsia="Verdana" w:hAnsi="Verdana"/>
                <w:sz w:val="20"/>
                <w:szCs w:val="20"/>
              </w:rPr>
              <w:t xml:space="preserve">•  Treaty tie breaker rules decide residence where a person is resident in two countries.</w:t>
            </w:r>
          </w:p>
        </w:tc>
      </w:tr>
    </w:tbl>
    <w:p>
      <w:pPr>
        <w:pStyle w:val="Heading1"/>
        <w:pageBreakBefore/>
        <w:spacing w:after="200" w:before="0"/>
      </w:pPr>
      <w:r>
        <w:rPr>
          <w:rFonts w:ascii="Verdana" w:cs="Verdana" w:eastAsia="Verdana" w:hAnsi="Verdana"/>
        </w:rPr>
        <w:t xml:space="preserve">5. Scope of Total Income and Deemed Accrual (Sections 5, 7 and 9)</w:t>
      </w:r>
    </w:p>
    <w:p>
      <w:pPr>
        <w:spacing w:after="120" w:line="276"/>
        <w:jc w:val="both"/>
      </w:pPr>
      <w:r>
        <w:rPr>
          <w:rFonts w:ascii="Verdana" w:cs="Verdana" w:eastAsia="Verdana" w:hAnsi="Verdana"/>
        </w:rPr>
        <w:t xml:space="preserve">Residential status tells us which categories of income are taxable. This chapter explains how to apply that to actual items of income, and the concepts of receipt, accrual and deemed accrual that decide whether income is "in India".</w:t>
      </w:r>
    </w:p>
    <w:p>
      <w:pPr>
        <w:pStyle w:val="Heading2"/>
        <w:keepNext/>
        <w:spacing w:after="120" w:before="240"/>
      </w:pPr>
      <w:r>
        <w:rPr>
          <w:rFonts w:ascii="Verdana" w:cs="Verdana" w:eastAsia="Verdana" w:hAnsi="Verdana"/>
        </w:rPr>
        <w:t xml:space="preserve">5.1 Received, accrued and deemed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3900"/>
        <w:gridCol w:w="3500"/>
      </w:tblGrid>
      <w:tr>
        <w:trPr>
          <w:cantSplit/>
          <w:tblHeader/>
        </w:trPr>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Concept</w:t>
            </w:r>
          </w:p>
        </w:tc>
        <w:tc>
          <w:tcPr>
            <w:tcW w:type="dxa" w:w="3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Meaning</w:t>
            </w:r>
          </w:p>
        </w:tc>
        <w:tc>
          <w:tcPr>
            <w:tcW w:type="dxa" w:w="35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Examples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Received in India</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first receipt of the income by the taxpayer or on his behalf in India. Remittance of income already received abroad is not a fresh receipt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credited directly into an Indian bank account by a foreign employer</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received (section 7)</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Amounts treated as received even though not in hand</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deducted, employer contribution to recognised PF above the exempt limit, interest credited to PF above the exempt rate</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Accrues or arises in India</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right to receive arises in India</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Fees for services performed in India, rent from property in India</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to accrue in India (section 9 and Schedule I)</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Specific categories treated as Indian income even if the payer or the activity is abroad</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for services in India, royalty and FTS paid by residents, interest paid by residents, business connection, SEP, indirect transfers</w:t>
            </w:r>
          </w:p>
        </w:tc>
      </w:tr>
    </w:tbl>
    <w:p>
      <w:pPr>
        <w:spacing w:after="60"/>
      </w:pPr>
    </w:p>
    <w:p>
      <w:pPr>
        <w:pStyle w:val="Heading2"/>
        <w:keepNext/>
        <w:spacing w:after="120" w:before="240"/>
      </w:pPr>
      <w:r>
        <w:rPr>
          <w:rFonts w:ascii="Verdana" w:cs="Verdana" w:eastAsia="Verdana" w:hAnsi="Verdana"/>
        </w:rPr>
        <w:t xml:space="preserve">5.2 Worked example across the three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 Scope of total income</w:t>
            </w:r>
          </w:p>
          <w:p>
            <w:pPr>
              <w:spacing w:after="60" w:line="260"/>
            </w:pPr>
            <w:r>
              <w:rPr>
                <w:rFonts w:ascii="Verdana" w:cs="Verdana" w:eastAsia="Verdana" w:hAnsi="Verdana"/>
                <w:sz w:val="20"/>
                <w:szCs w:val="20"/>
              </w:rPr>
              <w:t xml:space="preserve">Ravi has the following income in Tax Year 2026-27. Compute his total income if he is (a) ROR, (b) RNOR, (c) non-resident.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1600"/>
        <w:gridCol w:w="1600"/>
        <w:gridCol w:w="16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ROR</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RNOR</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NR</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for services in India, received in the UAE: 10,00,000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from an Indian bank: 2,00,000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from a London flat, received in London: 6,00,000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 of a Dubai business controlled from India: 8,00,000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 from a US company received in the US: 1,00,000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income of earlier years brought into India: 5,00,000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 of a Singapore business controlled from Singapore, received in India: 3,00,000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income</w:t>
            </w:r>
          </w:p>
        </w:tc>
        <w:tc>
          <w:tcPr>
            <w:tcW w:type="dxa" w:w="1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30,00,000</w:t>
            </w:r>
          </w:p>
        </w:tc>
        <w:tc>
          <w:tcPr>
            <w:tcW w:type="dxa" w:w="1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23,00,000</w:t>
            </w:r>
          </w:p>
        </w:tc>
        <w:tc>
          <w:tcPr>
            <w:tcW w:type="dxa" w:w="1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15,00,000</w:t>
            </w:r>
          </w:p>
        </w:tc>
      </w:tr>
    </w:tbl>
    <w:p>
      <w:pPr>
        <w:spacing w:after="60"/>
      </w:pPr>
    </w:p>
    <w:p>
      <w:pPr>
        <w:spacing w:after="120" w:line="276"/>
        <w:jc w:val="both"/>
      </w:pPr>
      <w:r>
        <w:rPr>
          <w:rFonts w:ascii="Verdana" w:cs="Verdana" w:eastAsia="Verdana" w:hAnsi="Verdana"/>
        </w:rPr>
        <w:t xml:space="preserve">Two lessons: remittance of past foreign income is never income again, and income received in India is taxable for everyone, whatever the source. For a non-resident, having foreign income paid into an Indian account can make it taxable; paying it abroad and then remitting keeps it out.</w:t>
      </w:r>
    </w:p>
    <w:p>
      <w:pPr>
        <w:pStyle w:val="Heading2"/>
        <w:keepNext/>
        <w:spacing w:after="120" w:before="240"/>
      </w:pPr>
      <w:r>
        <w:rPr>
          <w:rFonts w:ascii="Verdana" w:cs="Verdana" w:eastAsia="Verdana" w:hAnsi="Verdana"/>
        </w:rPr>
        <w:t xml:space="preserve">5.3 Salary of non-residents</w:t>
      </w:r>
    </w:p>
    <w:p>
      <w:pPr>
        <w:spacing w:after="120" w:line="276"/>
        <w:jc w:val="both"/>
      </w:pPr>
      <w:r>
        <w:rPr>
          <w:rFonts w:ascii="Verdana" w:cs="Verdana" w:eastAsia="Verdana" w:hAnsi="Verdana"/>
        </w:rPr>
        <w:t xml:space="preserve">Salary for services rendered in India is deemed to accrue in India wherever paid. Salary paid by the Government of India to a citizen for services outside India is also Indian income. Leave salary for leave taken during service in India follows the same rule. For short visits, relief is available under the Act (foreign employer, stay up to 90 days, salary not charged to Indian income) or under the relevant tax treaty (usually 183 days).</w:t>
      </w:r>
    </w:p>
    <w:p>
      <w:pPr>
        <w:pStyle w:val="Heading2"/>
        <w:keepNext/>
        <w:spacing w:after="120" w:before="240"/>
      </w:pPr>
      <w:r>
        <w:rPr>
          <w:rFonts w:ascii="Verdana" w:cs="Verdana" w:eastAsia="Verdana" w:hAnsi="Verdana"/>
        </w:rPr>
        <w:t xml:space="preserve">5.4 Interest, royalty and FTS: the source rule</w:t>
      </w:r>
    </w:p>
    <w:p>
      <w:pPr>
        <w:spacing w:after="120" w:line="276"/>
        <w:jc w:val="both"/>
      </w:pPr>
      <w:r>
        <w:rPr>
          <w:rFonts w:ascii="Verdana" w:cs="Verdana" w:eastAsia="Verdana" w:hAnsi="Verdana"/>
        </w:rPr>
        <w:t xml:space="preserve">Interest, royalty and FTS are deemed to accrue in India if paid by the Government, by a resident (except where used for a business or source outside India), or by a non-resident where used for a business or source in India. Income from services is taxed in India even if the non-resident does not render services in India, as long as the payer uses them for business in India. This was clarified after the Supreme Court's decision in Ishikawajima-Harima Heavy Industries Ltd. v. DIT (2007), which had required a territorial nexus.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Residents are taxed on global income; RNORs and non-residents mainly on Indian income.</w:t>
            </w:r>
          </w:p>
          <w:p>
            <w:pPr>
              <w:spacing w:after="60" w:line="260"/>
            </w:pPr>
            <w:r>
              <w:rPr>
                <w:rFonts w:ascii="Verdana" w:cs="Verdana" w:eastAsia="Verdana" w:hAnsi="Verdana"/>
                <w:sz w:val="20"/>
                <w:szCs w:val="20"/>
              </w:rPr>
              <w:t xml:space="preserve">•  Income received in India is taxable for everyone; remittance of past income is not income.</w:t>
            </w:r>
          </w:p>
          <w:p>
            <w:pPr>
              <w:spacing w:after="60" w:line="260"/>
            </w:pPr>
            <w:r>
              <w:rPr>
                <w:rFonts w:ascii="Verdana" w:cs="Verdana" w:eastAsia="Verdana" w:hAnsi="Verdana"/>
                <w:sz w:val="20"/>
                <w:szCs w:val="20"/>
              </w:rPr>
              <w:t xml:space="preserve">•  Section 9 with Schedule I lists income deemed to accrue in India: salary for Indian services, royalty, FTS and interest from residents, business connection, SEP and indirect transfers.</w:t>
            </w:r>
          </w:p>
        </w:tc>
      </w:tr>
    </w:tbl>
    <w:p>
      <w:pPr>
        <w:pStyle w:val="Heading1"/>
        <w:pageBreakBefore/>
        <w:spacing w:after="200" w:before="0"/>
      </w:pPr>
      <w:r>
        <w:rPr>
          <w:rFonts w:ascii="Verdana" w:cs="Verdana" w:eastAsia="Verdana" w:hAnsi="Verdana"/>
        </w:rPr>
        <w:t xml:space="preserve">6. Heads of Income and Exempt Income</w:t>
      </w:r>
    </w:p>
    <w:p>
      <w:pPr>
        <w:pStyle w:val="Heading2"/>
        <w:keepNext/>
        <w:spacing w:after="120" w:before="240"/>
      </w:pPr>
      <w:r>
        <w:rPr>
          <w:rFonts w:ascii="Verdana" w:cs="Verdana" w:eastAsia="Verdana" w:hAnsi="Verdana"/>
        </w:rPr>
        <w:t xml:space="preserve">6.1 Five heads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838"/>
      </w:tblGrid>
      <w:tr>
        <w:trPr>
          <w:cantSplit/>
          <w:tblHeader/>
        </w:trPr>
        <w:tc>
          <w:tcPr>
            <w:tcW w:type="dxa" w:w="4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Head</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Sections (2025 Act)</w:t>
            </w:r>
          </w:p>
        </w:tc>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sections</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Salaries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to 19</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to 17, 10(10) etc., 16</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from House Property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to 25</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 to 27</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Profits and Gains of Business or Profession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 to 66</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 to 44DB</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67 to 91</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 to 55A</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from Other Sources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 to 95</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56 to 59</w:t>
            </w:r>
          </w:p>
        </w:tc>
      </w:tr>
    </w:tbl>
    <w:p>
      <w:pPr>
        <w:spacing w:after="60"/>
      </w:pPr>
    </w:p>
    <w:p>
      <w:pPr>
        <w:spacing w:after="120" w:line="276"/>
        <w:jc w:val="both"/>
      </w:pPr>
      <w:r>
        <w:rPr>
          <w:rFonts w:ascii="Verdana" w:cs="Verdana" w:eastAsia="Verdana" w:hAnsi="Verdana"/>
        </w:rPr>
        <w:t xml:space="preserve">Income is first computed under each head, then added together (section 101), losses are set off, deductions are allowed, and tax is calculated on the total income. The order matters: the head decides which deductions, which losses and which rates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838"/>
        <w:gridCol w:w="3000"/>
      </w:tblGrid>
      <w:tr>
        <w:trPr>
          <w:cantSplit/>
          <w:tblHeader/>
        </w:trPr>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5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happens</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Reference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Compute income under each of the five heads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15 to 95</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income of other persons (clubbing) and deemed incomes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96 to 106</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off current year losses, then brought forward losses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108 to 121</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total income less deductions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122 to 154</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at slab or special rates, rebate, surcharge, cess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155, 156, 196 to 207</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relief, TDS, TCS, advance tax; add interest and fee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157 to 160, 392 to 428</w:t>
            </w:r>
          </w:p>
        </w:tc>
      </w:tr>
    </w:tbl>
    <w:p>
      <w:pPr>
        <w:spacing w:after="60"/>
      </w:pPr>
    </w:p>
    <w:p>
      <w:pPr>
        <w:pStyle w:val="Heading2"/>
        <w:keepNext/>
        <w:spacing w:after="120" w:before="240"/>
      </w:pPr>
      <w:r>
        <w:rPr>
          <w:rFonts w:ascii="Verdana" w:cs="Verdana" w:eastAsia="Verdana" w:hAnsi="Verdana"/>
        </w:rPr>
        <w:t xml:space="preserve">6.2 Exempt income (Section 11 and Schedules)</w:t>
      </w:r>
    </w:p>
    <w:p>
      <w:pPr>
        <w:spacing w:after="120" w:line="276"/>
        <w:jc w:val="both"/>
      </w:pPr>
      <w:r>
        <w:rPr>
          <w:rFonts w:ascii="Verdana" w:cs="Verdana" w:eastAsia="Verdana" w:hAnsi="Verdana"/>
        </w:rPr>
        <w:t xml:space="preserve">The long list of exemptions in old section 10 is now placed in Schedules. The section simply says that income listed in the Schedules does not form part of total income.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Schedule</w:t>
            </w:r>
          </w:p>
        </w:tc>
        <w:tc>
          <w:tcPr>
            <w:tcW w:type="dxa" w:w="7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Broad content (examples)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Schedule II</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Exemptions for individuals and general exemptions, e.g. agricultural income, share of profit from a firm, HRA, gratuity, leave encashment, PPF interest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Schedules III to VII</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Exemptions for specified persons and funds, e.g. investment funds, sovereign funds, specified institutions, non-residents in certain cases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Schedule VIII</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Political parties and electoral trusts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 Citing an exemption</w:t>
            </w:r>
          </w:p>
          <w:p>
            <w:pPr>
              <w:spacing w:after="60" w:line="260"/>
            </w:pPr>
            <w:r>
              <w:rPr>
                <w:rFonts w:ascii="Verdana" w:cs="Verdana" w:eastAsia="Verdana" w:hAnsi="Verdana"/>
                <w:sz w:val="20"/>
                <w:szCs w:val="20"/>
              </w:rPr>
              <w:t xml:space="preserve">Under the old law you wrote "exempt under section 10(2A)" for share of profit from a firm. Now you write "exempt under section 11 read with the relevant entry of Schedule II". The exemption itself is unchanged.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Section 14 (old 14A) still applies: expenses incurred to earn exempt income are not deductible. For companies holding large equity portfolios, compute the disallowance as per the Rules and report it in Form 26.</w:t>
            </w:r>
          </w:p>
        </w:tc>
      </w:tr>
    </w:tbl>
    <w:p>
      <w:pPr>
        <w:spacing w:after="60"/>
      </w:pPr>
    </w:p>
    <w:p>
      <w:pPr>
        <w:pStyle w:val="Heading2"/>
        <w:keepNext/>
        <w:spacing w:after="120" w:before="240"/>
      </w:pPr>
      <w:r>
        <w:rPr>
          <w:rFonts w:ascii="Verdana" w:cs="Verdana" w:eastAsia="Verdana" w:hAnsi="Verdana"/>
        </w:rPr>
        <w:t xml:space="preserve">6.3 Important exemptions explained</w:t>
      </w:r>
    </w:p>
    <w:p>
      <w:pPr>
        <w:spacing w:after="120" w:line="276"/>
        <w:jc w:val="both"/>
      </w:pPr>
      <w:r>
        <w:rPr>
          <w:rFonts w:ascii="Verdana" w:cs="Verdana" w:eastAsia="Verdana" w:hAnsi="Verdana"/>
        </w:rPr>
        <w:t xml:space="preserve">The table below explains the exemptions used most often in practice, now found in the Schedules read with section 11. Unless stated otherwise, they apply in both the old and the new regime.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5400"/>
        <w:gridCol w:w="16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Exemption</w:t>
            </w:r>
          </w:p>
        </w:tc>
        <w:tc>
          <w:tcPr>
            <w:tcW w:type="dxa" w:w="5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Explanation</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regime?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Agricultural income</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or revenue from agricultural land in India, income from agricultural operations and from farm buildings. Fully exempt but used for rate purposes (partial integration)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 of profit from a firm</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Partner's share of firm profit, since the firm has already paid tax</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HUF member's receipt</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 received by a member out of HUF income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Leave travel concession</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of travel within India for two journeys in a block of four years, by the shortest route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rent allowance</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Least of actual HRA, 50% or 40% of salary, and rent less 10% of salary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Gratuity</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Fully exempt for government employees; limit of Rs. 20 lakh for others under the prescribed formula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Leave encashment on retirement</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Fully exempt for government employees; up to Rs. 25 lakh for others under the formula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Commuted pension</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Fully exempt for government; one third or one half for others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Retrenchment compensation and VRS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5 lakh each, subject to conditions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Life insurance maturity</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if premium in any year is not more than 10% of sum assured, and aggregate premium on policies issued after 1 April 2023 does not exceed Rs. 5 lakh a year (Rs. 2.5 lakh for ULIPs)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PPF, Sukanya Samriddhi interest</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Fully exempt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EPF interest and withdrawal</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after 5 years of continuous service; interest on employee contribution above Rs. 2.5 lakh a year (Rs. 5 lakh if no employer contribution) is taxable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NPS withdrawal</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 of the corpus on closure is exempt; partial withdrawal up to 25% of own contribution exempt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Scholarships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Granted to meet cost of education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Minor child's income clubbed</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1,500 per child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NRE account and FCNR deposits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for residents outside India as defined under FEMA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bl>
    <w:p>
      <w:pPr>
        <w:spacing w:after="60"/>
      </w:pPr>
    </w:p>
    <w:p>
      <w:pPr>
        <w:pStyle w:val="Heading2"/>
        <w:keepNext/>
        <w:spacing w:after="120" w:before="240"/>
      </w:pPr>
      <w:r>
        <w:rPr>
          <w:rFonts w:ascii="Verdana" w:cs="Verdana" w:eastAsia="Verdana" w:hAnsi="Verdana"/>
        </w:rPr>
        <w:t xml:space="preserve">6.4 Agricultural income and partial integration</w:t>
      </w:r>
    </w:p>
    <w:p>
      <w:pPr>
        <w:spacing w:after="120" w:line="276"/>
        <w:jc w:val="both"/>
      </w:pPr>
      <w:r>
        <w:rPr>
          <w:rFonts w:ascii="Verdana" w:cs="Verdana" w:eastAsia="Verdana" w:hAnsi="Verdana"/>
        </w:rPr>
        <w:t xml:space="preserve">Agricultural income is exempt, but for individuals, HUFs, AOPs and BOIs it is added to total income only to decide the rate of tax on non-agricultural income. This is called partial integration. It applies when agricultural income exceeds Rs. 5,000 and non-agricultural income exceeds the basic exemption limit.</w:t>
      </w:r>
    </w:p>
    <w:p>
      <w:pPr>
        <w:spacing w:after="120" w:line="276"/>
        <w:jc w:val="both"/>
      </w:pPr>
      <w:r>
        <w:rPr>
          <w:rFonts w:ascii="Verdana" w:cs="Verdana" w:eastAsia="Verdana" w:hAnsi="Verdana"/>
          <w:b/>
          <w:bCs/>
        </w:rPr>
        <w:t xml:space="preserve">Method:</w:t>
      </w:r>
      <w:r>
        <w:rPr>
          <w:rFonts w:ascii="Verdana" w:cs="Verdana" w:eastAsia="Verdana" w:hAnsi="Verdana"/>
        </w:rPr>
        <w:t xml:space="preserve"> (1) Compute tax on non-agricultural income plus agricultural income. (2) Compute tax on agricultural income plus the basic exemption limit. (3) Tax payable is (1) minus (2), then rebate, surcharge and cess are applied.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What is agriculture</w:t>
            </w:r>
          </w:p>
          <w:p>
            <w:pPr>
              <w:spacing w:after="60" w:line="260"/>
            </w:pPr>
            <w:r>
              <w:rPr>
                <w:rFonts w:ascii="Verdana" w:cs="Verdana" w:eastAsia="Verdana" w:hAnsi="Verdana"/>
                <w:b/>
                <w:bCs/>
                <w:sz w:val="20"/>
                <w:szCs w:val="20"/>
              </w:rPr>
              <w:t xml:space="preserve">CIT v. Raja Benoy Kumar Sahas Roy (Supreme Court, 1957):</w:t>
            </w:r>
            <w:r>
              <w:rPr>
                <w:rFonts w:ascii="Verdana" w:cs="Verdana" w:eastAsia="Verdana" w:hAnsi="Verdana"/>
                <w:sz w:val="20"/>
                <w:szCs w:val="20"/>
              </w:rPr>
              <w:t xml:space="preserve"> agriculture requires basic operations on the land itself, such as tilling, sowing and planting, involving human skill and labour. Subsequent operations alone, such as tending trees that grow naturally without any basic operations, do not make the income agricultural.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 Partial integration (old regime, individual below 60)</w:t>
            </w:r>
          </w:p>
          <w:p>
            <w:pPr>
              <w:spacing w:after="60" w:line="260"/>
            </w:pPr>
            <w:r>
              <w:rPr>
                <w:rFonts w:ascii="Verdana" w:cs="Verdana" w:eastAsia="Verdana" w:hAnsi="Verdana"/>
                <w:sz w:val="20"/>
                <w:szCs w:val="20"/>
              </w:rPr>
              <w:t xml:space="preserve">Suresh has non-agricultural income of Rs. 8,00,000 and agricultural income of Rs. 3,00,000. Compute tax under the old regime.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Step 1: tax on 11,00,000 (8,00,000 plus 3,00,000)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1,42,500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Step 2: tax on 5,50,000 (3,00,000 plus 2,50,000 exemption limit)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22,500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 on non-agricultural income (Step 1 less Step 2)</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1,20,000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cess at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4,800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1,24,800</w:t>
            </w:r>
          </w:p>
        </w:tc>
      </w:tr>
    </w:tbl>
    <w:p>
      <w:pPr>
        <w:spacing w:after="60"/>
      </w:pPr>
    </w:p>
    <w:p>
      <w:pPr>
        <w:spacing w:after="120" w:line="276"/>
        <w:jc w:val="both"/>
      </w:pPr>
      <w:r>
        <w:rPr>
          <w:rFonts w:ascii="Verdana" w:cs="Verdana" w:eastAsia="Verdana" w:hAnsi="Verdana"/>
        </w:rPr>
        <w:t xml:space="preserve">Without agricultural income, tax on Rs. 8,00,000 under the old regime would have been Rs. 72,500 before cess. The agricultural income, though exempt, pushed the non-agricultural income into higher slabs. Under the new regime the same method applies using the new slabs and the Rs. 4 lakh exemption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Income from sale of agricultural produce after basic processing (such as drying of tobacco leaves) is agricultural income, but income from a manufacturing process (such as tea manufacture) is partly agricultural. For tea grown and manufactured by the seller, 40% of the income is business income and 60% is agricultural, as per the Rules.</w:t>
            </w:r>
          </w:p>
        </w:tc>
      </w:tr>
    </w:tbl>
    <w:p>
      <w:pPr>
        <w:spacing w:after="60"/>
      </w:pPr>
    </w:p>
    <w:p>
      <w:pPr>
        <w:pStyle w:val="Heading2"/>
        <w:keepNext/>
        <w:spacing w:after="120" w:before="240"/>
      </w:pPr>
      <w:r>
        <w:rPr>
          <w:rFonts w:ascii="Verdana" w:cs="Verdana" w:eastAsia="Verdana" w:hAnsi="Verdana"/>
        </w:rPr>
        <w:t xml:space="preserve">6.5 Expenditure relating to exempt income (section 14)</w:t>
      </w:r>
    </w:p>
    <w:p>
      <w:pPr>
        <w:spacing w:after="120" w:line="276"/>
        <w:jc w:val="both"/>
      </w:pPr>
      <w:r>
        <w:rPr>
          <w:rFonts w:ascii="Verdana" w:cs="Verdana" w:eastAsia="Verdana" w:hAnsi="Verdana"/>
        </w:rPr>
        <w:t xml:space="preserve">Section 14 disallows expenditure incurred in relation to exempt income. The Rules prescribe a method where the books do not show a correct figure: broadly, the actual expenditure directly related to exempt income plus 1% of the annual average value of investments that yield exempt income, capped at the total expenditure claimed. The disallowance cannot exceed the exempt income earned in that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Maxopp Investment Ltd. v. CIT (Supreme Court, 2018)</w:t>
            </w:r>
          </w:p>
          <w:p>
            <w:pPr>
              <w:spacing w:after="60" w:line="260"/>
            </w:pPr>
            <w:r>
              <w:rPr>
                <w:rFonts w:ascii="Verdana" w:cs="Verdana" w:eastAsia="Verdana" w:hAnsi="Verdana"/>
                <w:sz w:val="20"/>
                <w:szCs w:val="20"/>
              </w:rPr>
              <w:t xml:space="preserve">The Court held that the disallowance for expenses related to exempt income applies even where shares are held as stock-in-trade, if dividend (then exempt) is earned from them. The dominant purpose of holding the shares does not matter.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Income is computed under five heads, then aggregated, losses set off, deductions allowed and tax computed.</w:t>
            </w:r>
          </w:p>
          <w:p>
            <w:pPr>
              <w:spacing w:after="60" w:line="260"/>
            </w:pPr>
            <w:r>
              <w:rPr>
                <w:rFonts w:ascii="Verdana" w:cs="Verdana" w:eastAsia="Verdana" w:hAnsi="Verdana"/>
                <w:sz w:val="20"/>
                <w:szCs w:val="20"/>
              </w:rPr>
              <w:t xml:space="preserve">•  Exemptions are in Schedules II to VII read with section 11.</w:t>
            </w:r>
          </w:p>
          <w:p>
            <w:pPr>
              <w:spacing w:after="60" w:line="260"/>
            </w:pPr>
            <w:r>
              <w:rPr>
                <w:rFonts w:ascii="Verdana" w:cs="Verdana" w:eastAsia="Verdana" w:hAnsi="Verdana"/>
                <w:sz w:val="20"/>
                <w:szCs w:val="20"/>
              </w:rPr>
              <w:t xml:space="preserve">•  Agricultural income is exempt but used for rate purposes through partial integration.</w:t>
            </w:r>
          </w:p>
          <w:p>
            <w:pPr>
              <w:spacing w:after="60" w:line="260"/>
            </w:pPr>
            <w:r>
              <w:rPr>
                <w:rFonts w:ascii="Verdana" w:cs="Verdana" w:eastAsia="Verdana" w:hAnsi="Verdana"/>
                <w:sz w:val="20"/>
                <w:szCs w:val="20"/>
              </w:rPr>
              <w:t xml:space="preserve">•  Expenditure related to exempt income is disallowed under section 14.</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B: HEADS OF INCOME</w:t>
      </w:r>
    </w:p>
    <w:p>
      <w:pPr>
        <w:shd w:fill="F6E8D2" w:color="auto" w:val="clear"/>
        <w:spacing w:after="200"/>
      </w:pPr>
      <w:r>
        <w:rPr>
          <w:rFonts w:ascii="Verdana" w:cs="Verdana" w:eastAsia="Verdana" w:hAnsi="Verdana"/>
          <w:i/>
          <w:iCs/>
          <w:color w:val="92400E"/>
          <w:sz w:val="20"/>
          <w:szCs w:val="20"/>
        </w:rPr>
        <w:t xml:space="preserve">  Salaries, house property, business or profession, capital gains and other sources</w:t>
      </w:r>
    </w:p>
    <w:p>
      <w:pPr>
        <w:spacing w:after="240" w:line="276"/>
        <w:jc w:val="both"/>
      </w:pPr>
      <w:r>
        <w:rPr>
          <w:rFonts w:ascii="Verdana" w:cs="Verdana" w:eastAsia="Verdana" w:hAnsi="Verdana"/>
          <w:i/>
          <w:iCs/>
          <w:color w:val="404040"/>
          <w:sz w:val="21"/>
          <w:szCs w:val="21"/>
        </w:rPr>
        <w:t xml:space="preserve">Each head of income has its own rules for what is taxable, what can be deducted and when. This part takes the five heads in the order of the Act, with detailed explanations, the Rules, 2026 changes for salaried employees, and many worked illustrations. Read the PGBP and capital gains chapters together, since business assets and capital assets interact.</w:t>
      </w:r>
    </w:p>
    <w:p>
      <w:pPr>
        <w:pStyle w:val="Heading1"/>
        <w:spacing w:after="200" w:before="120"/>
      </w:pPr>
      <w:r>
        <w:rPr>
          <w:rFonts w:ascii="Verdana" w:cs="Verdana" w:eastAsia="Verdana" w:hAnsi="Verdana"/>
        </w:rPr>
        <w:t xml:space="preserve">7. Salaries (Sections 15 to 19)</w:t>
      </w:r>
    </w:p>
    <w:p>
      <w:pPr>
        <w:pStyle w:val="Heading2"/>
        <w:keepNext/>
        <w:spacing w:after="120" w:before="240"/>
      </w:pPr>
      <w:r>
        <w:rPr>
          <w:rFonts w:ascii="Verdana" w:cs="Verdana" w:eastAsia="Verdana" w:hAnsi="Verdana"/>
        </w:rPr>
        <w:t xml:space="preserve">7.1 What is salary</w:t>
      </w:r>
    </w:p>
    <w:p>
      <w:pPr>
        <w:spacing w:after="120" w:line="276"/>
        <w:jc w:val="both"/>
      </w:pPr>
      <w:r>
        <w:rPr>
          <w:rFonts w:ascii="Verdana" w:cs="Verdana" w:eastAsia="Verdana" w:hAnsi="Verdana"/>
        </w:rPr>
        <w:t xml:space="preserve">Salary includes wages, pension, annuity, gratuity, fees, commission, perquisites, profits in lieu of salary, advance salary and leave encashment. Section 16 defines salary, section 17 covers perquisites and section 18 covers profits in lieu of salary. Section 19 lists the deductions and exemptions available from salary. Salary is taxable on due or receipt basis, whichever is earlier.</w:t>
      </w:r>
    </w:p>
    <w:p>
      <w:pPr>
        <w:pStyle w:val="Heading2"/>
        <w:keepNext/>
        <w:spacing w:after="120" w:before="240"/>
      </w:pPr>
      <w:r>
        <w:rPr>
          <w:rFonts w:ascii="Verdana" w:cs="Verdana" w:eastAsia="Verdana" w:hAnsi="Verdana"/>
        </w:rPr>
        <w:t xml:space="preserve">7.2 Key deductions and exemptions (Section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2900"/>
        <w:gridCol w:w="29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2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regime</w:t>
            </w:r>
          </w:p>
        </w:tc>
        <w:tc>
          <w:tcPr>
            <w:tcW w:type="dxa" w:w="2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regime (default)</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Standard deduction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75,000</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Family pension deduction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 or Rs. 15,000, lower</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 or Rs. 25,000, lower</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Professional tax</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allowed</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HRA exemption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allowed</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Leave Travel Concession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allowed</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Gratuity, leave encashment, VRS, commuted pension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within limits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within limits</w:t>
            </w:r>
          </w:p>
        </w:tc>
      </w:tr>
    </w:tbl>
    <w:p>
      <w:pPr>
        <w:spacing w:after="60"/>
      </w:pPr>
    </w:p>
    <w:p>
      <w:pPr>
        <w:pStyle w:val="Heading2"/>
        <w:keepNext/>
        <w:spacing w:after="120" w:before="240"/>
      </w:pPr>
      <w:r>
        <w:rPr>
          <w:rFonts w:ascii="Verdana" w:cs="Verdana" w:eastAsia="Verdana" w:hAnsi="Verdana"/>
        </w:rPr>
        <w:t xml:space="preserve">7.3 Worked example: old vs new regime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 Priya, Mumbai, age 32, Tax Year 2026-27</w:t>
            </w:r>
          </w:p>
          <w:p>
            <w:pPr>
              <w:spacing w:after="60" w:line="260"/>
            </w:pPr>
            <w:r>
              <w:rPr>
                <w:rFonts w:ascii="Verdana" w:cs="Verdana" w:eastAsia="Verdana" w:hAnsi="Verdana"/>
                <w:sz w:val="20"/>
                <w:szCs w:val="20"/>
              </w:rPr>
              <w:t xml:space="preserve">Salary: Basic Rs. 7,20,000, HRA Rs. 3,60,000, Special allowance Rs. 5,70,000. Gross salary Rs. 16,50,000.</w:t>
            </w:r>
          </w:p>
          <w:p>
            <w:pPr>
              <w:spacing w:after="60" w:line="260"/>
            </w:pPr>
            <w:r>
              <w:rPr>
                <w:rFonts w:ascii="Verdana" w:cs="Verdana" w:eastAsia="Verdana" w:hAnsi="Verdana"/>
                <w:sz w:val="20"/>
                <w:szCs w:val="20"/>
              </w:rPr>
              <w:t xml:space="preserve">Rent paid Rs. 25,000 per month (Rs. 3,00,000 per year). Professional tax Rs. 2,500.</w:t>
            </w:r>
          </w:p>
          <w:p>
            <w:pPr>
              <w:spacing w:after="60" w:line="260"/>
            </w:pPr>
            <w:r>
              <w:rPr>
                <w:rFonts w:ascii="Verdana" w:cs="Verdana" w:eastAsia="Verdana" w:hAnsi="Verdana"/>
                <w:sz w:val="20"/>
                <w:szCs w:val="20"/>
              </w:rPr>
              <w:t xml:space="preserve">Investments: EPF plus PPF plus ELSS Rs. 1,50,000, health insurance for self Rs. 25,000, own NPS contribution Rs. 50,000.</w:t>
            </w:r>
          </w:p>
          <w:p>
            <w:pPr>
              <w:spacing w:after="60" w:line="260"/>
            </w:pPr>
            <w:r>
              <w:rPr>
                <w:rFonts w:ascii="Verdana" w:cs="Verdana" w:eastAsia="Verdana" w:hAnsi="Verdana"/>
                <w:b/>
                <w:bCs/>
                <w:sz w:val="20"/>
                <w:szCs w:val="20"/>
              </w:rPr>
              <w:t xml:space="preserve">Step 1: HRA exemption (old regime only), least of the three amounts below.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Actual HRA received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 50% of basic (Mumbai is a metro city)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 Rent paid less 10% of basic (3,00,000 less 72,000)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2,28,000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HRA exempt (least of above)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2,28,000</w:t>
            </w:r>
          </w:p>
        </w:tc>
      </w:tr>
    </w:tbl>
    <w:p>
      <w:pPr>
        <w:spacing w:after="60"/>
      </w:pPr>
    </w:p>
    <w:p>
      <w:pPr>
        <w:spacing w:after="120" w:line="276"/>
        <w:jc w:val="both"/>
      </w:pPr>
      <w:r>
        <w:rPr>
          <w:rFonts w:ascii="Verdana" w:cs="Verdana" w:eastAsia="Verdana" w:hAnsi="Verdana"/>
          <w:b/>
          <w:bCs/>
        </w:rPr>
        <w:t xml:space="preserve">Step 2: Total income under both regimes.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400"/>
        <w:gridCol w:w="24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Particulars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regime (Rs.)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regime (Rs.)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salary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16,50,000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HRA exemption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(2,28,000)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Standard deduction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(75,000)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Professional tax</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Income from salary</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13,69,500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15,75,000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123 (old 80C)</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126 (old 80D)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124 (old 80CCD(1B)) own NPS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income</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11,44,500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15,75,000</w:t>
            </w:r>
          </w:p>
        </w:tc>
      </w:tr>
    </w:tbl>
    <w:p>
      <w:pPr>
        <w:spacing w:after="60"/>
      </w:pPr>
    </w:p>
    <w:p>
      <w:pPr>
        <w:spacing w:after="120" w:line="276"/>
        <w:jc w:val="both"/>
      </w:pPr>
      <w:r>
        <w:rPr>
          <w:rFonts w:ascii="Verdana" w:cs="Verdana" w:eastAsia="Verdana" w:hAnsi="Verdana"/>
          <w:b/>
          <w:bCs/>
        </w:rPr>
        <w:t xml:space="preserve">Step 3: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400"/>
        <w:gridCol w:w="24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computation</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regime (Rs.)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regime (Rs.)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5% of 2.5 lakh to 5 lakh</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12,500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20% of 5 lakh to 10 lakh</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30% of 1,44,500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43,350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5% of 4 lakh to 8 lakh</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10% of 8 lakh to 12 lakh</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15% of 3,75,000 (12 lakh to 15.75 lakh)</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56,250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before cess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1,55,850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1,16,250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Health and education cess 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6,234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4,650</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1,62,084</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1,20,900</w:t>
            </w:r>
          </w:p>
        </w:tc>
      </w:tr>
    </w:tbl>
    <w:p>
      <w:pPr>
        <w:spacing w:after="60"/>
      </w:pPr>
    </w:p>
    <w:p>
      <w:pPr>
        <w:spacing w:after="120" w:line="276"/>
        <w:jc w:val="both"/>
      </w:pPr>
      <w:r>
        <w:rPr>
          <w:rFonts w:ascii="Verdana" w:cs="Verdana" w:eastAsia="Verdana" w:hAnsi="Verdana"/>
          <w:b/>
          <w:bCs/>
        </w:rPr>
        <w:t xml:space="preserve">Result:</w:t>
      </w:r>
      <w:r>
        <w:rPr>
          <w:rFonts w:ascii="Verdana" w:cs="Verdana" w:eastAsia="Verdana" w:hAnsi="Verdana"/>
        </w:rPr>
        <w:t xml:space="preserve"> the new regime saves Priya </w:t>
      </w:r>
      <w:r>
        <w:rPr>
          <w:rFonts w:ascii="Verdana" w:cs="Verdana" w:eastAsia="Verdana" w:hAnsi="Verdana"/>
          <w:b/>
          <w:bCs/>
        </w:rPr>
        <w:t xml:space="preserve">Rs. 41,184</w:t>
      </w:r>
      <w:r>
        <w:rPr>
          <w:rFonts w:ascii="Verdana" w:cs="Verdana" w:eastAsia="Verdana" w:hAnsi="Verdana"/>
        </w:rPr>
        <w:t xml:space="preserve">, even after giving up HRA and all deductions. Always compute both before advising.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Under the new regime a salaried resident with salary up to </w:t>
            </w:r>
            <w:r>
              <w:rPr>
                <w:rFonts w:ascii="Verdana" w:cs="Verdana" w:eastAsia="Verdana" w:hAnsi="Verdana"/>
                <w:b/>
                <w:bCs/>
                <w:sz w:val="20"/>
                <w:szCs w:val="20"/>
              </w:rPr>
              <w:t xml:space="preserve">Rs. 12,75,000</w:t>
            </w:r>
            <w:r>
              <w:rPr>
                <w:rFonts w:ascii="Verdana" w:cs="Verdana" w:eastAsia="Verdana" w:hAnsi="Verdana"/>
                <w:sz w:val="20"/>
                <w:szCs w:val="20"/>
              </w:rPr>
              <w:t xml:space="preserve"> pays zero tax: Rs. 12,75,000 less Rs. 75,000 standard deduction is Rs. 12,00,000, and the rebate under section 156 covers the full tax.</w:t>
            </w:r>
          </w:p>
          <w:p>
            <w:pPr>
              <w:spacing w:after="60" w:line="260"/>
            </w:pPr>
            <w:r>
              <w:rPr>
                <w:rFonts w:ascii="Verdana" w:cs="Verdana" w:eastAsia="Verdana" w:hAnsi="Verdana"/>
                <w:sz w:val="20"/>
                <w:szCs w:val="20"/>
              </w:rPr>
              <w:t xml:space="preserve">Employer contribution to NPS (section 124, old 80CCD(2)) is allowed in the new regime too, up to 14% of salary.</w:t>
            </w:r>
          </w:p>
        </w:tc>
      </w:tr>
    </w:tbl>
    <w:p>
      <w:pPr>
        <w:spacing w:after="60"/>
      </w:pPr>
    </w:p>
    <w:p>
      <w:pPr>
        <w:pStyle w:val="Heading2"/>
        <w:keepNext/>
        <w:spacing w:after="120" w:before="240"/>
      </w:pPr>
      <w:r>
        <w:rPr>
          <w:rFonts w:ascii="Verdana" w:cs="Verdana" w:eastAsia="Verdana" w:hAnsi="Verdana"/>
        </w:rPr>
        <w:t xml:space="preserve">7.4 Perquisites in brief</w:t>
      </w:r>
    </w:p>
    <w:p>
      <w:pPr>
        <w:pStyle w:val="ListParagraph"/>
        <w:numPr>
          <w:ilvl w:val="0"/>
          <w:numId w:val="2"/>
        </w:numPr>
        <w:spacing w:after="60" w:line="264"/>
      </w:pPr>
      <w:r>
        <w:rPr>
          <w:rFonts w:ascii="Verdana" w:cs="Verdana" w:eastAsia="Verdana" w:hAnsi="Verdana"/>
        </w:rPr>
        <w:t xml:space="preserve">Rent-free accommodation, car, free meals above limits, ESOPs, interest-free loans and club facilities are valued under the Income-tax Rules, 2026. The employer reports them in Form 123 (old 12BA).</w:t>
      </w:r>
    </w:p>
    <w:p>
      <w:pPr>
        <w:pStyle w:val="ListParagraph"/>
        <w:numPr>
          <w:ilvl w:val="0"/>
          <w:numId w:val="2"/>
        </w:numPr>
        <w:spacing w:after="60" w:line="264"/>
      </w:pPr>
      <w:r>
        <w:rPr>
          <w:rFonts w:ascii="Verdana" w:cs="Verdana" w:eastAsia="Verdana" w:hAnsi="Verdana"/>
        </w:rPr>
        <w:t xml:space="preserve">ESOP: taxable as perquisite when shares are allotted (FMV on exercise date less amount paid). Later sale gives capital gains with cost equal to that FMV.</w:t>
      </w:r>
    </w:p>
    <w:p>
      <w:pPr>
        <w:pStyle w:val="ListParagraph"/>
        <w:numPr>
          <w:ilvl w:val="0"/>
          <w:numId w:val="2"/>
        </w:numPr>
        <w:spacing w:after="60" w:line="264"/>
      </w:pPr>
      <w:r>
        <w:rPr>
          <w:rFonts w:ascii="Verdana" w:cs="Verdana" w:eastAsia="Verdana" w:hAnsi="Verdana"/>
        </w:rPr>
        <w:t xml:space="preserve">A vehicle provided for travel between home and office is excluded from perquisites under the 2025 Act, clarifying the earlier position.</w:t>
      </w:r>
    </w:p>
    <w:p>
      <w:pPr>
        <w:pStyle w:val="ListParagraph"/>
        <w:numPr>
          <w:ilvl w:val="0"/>
          <w:numId w:val="2"/>
        </w:numPr>
        <w:spacing w:after="60" w:line="264"/>
      </w:pPr>
      <w:r>
        <w:rPr>
          <w:rFonts w:ascii="Verdana" w:cs="Verdana" w:eastAsia="Verdana" w:hAnsi="Verdana"/>
        </w:rPr>
        <w:t xml:space="preserve">Employees declare investments and HRA details to the employer in Form 124 (old 12BB).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 ESOP</w:t>
            </w:r>
          </w:p>
          <w:p>
            <w:pPr>
              <w:spacing w:after="60" w:line="260"/>
            </w:pPr>
            <w:r>
              <w:rPr>
                <w:rFonts w:ascii="Verdana" w:cs="Verdana" w:eastAsia="Verdana" w:hAnsi="Verdana"/>
                <w:sz w:val="20"/>
                <w:szCs w:val="20"/>
              </w:rPr>
              <w:t xml:space="preserve">Arjun exercises 1,000 options at Rs. 100 each on 1 August 2026 when the FMV is Rs. 600. Perquisite = 1,000 x (600 less 100) = </w:t>
            </w:r>
            <w:r>
              <w:rPr>
                <w:rFonts w:ascii="Verdana" w:cs="Verdana" w:eastAsia="Verdana" w:hAnsi="Verdana"/>
                <w:b/>
                <w:bCs/>
                <w:sz w:val="20"/>
                <w:szCs w:val="20"/>
              </w:rPr>
              <w:t xml:space="preserve">Rs. 5,00,000</w:t>
            </w:r>
            <w:r>
              <w:rPr>
                <w:rFonts w:ascii="Verdana" w:cs="Verdana" w:eastAsia="Verdana" w:hAnsi="Verdana"/>
                <w:sz w:val="20"/>
                <w:szCs w:val="20"/>
              </w:rPr>
              <w:t xml:space="preserve">, taxed as salary with TDS under section 392.</w:t>
            </w:r>
          </w:p>
          <w:p>
            <w:pPr>
              <w:spacing w:after="60" w:line="260"/>
            </w:pPr>
            <w:r>
              <w:rPr>
                <w:rFonts w:ascii="Verdana" w:cs="Verdana" w:eastAsia="Verdana" w:hAnsi="Verdana"/>
                <w:sz w:val="20"/>
                <w:szCs w:val="20"/>
              </w:rPr>
              <w:t xml:space="preserve">He sells the shares in September 2027 at Rs. 900. Capital gain = 1,000 x (900 less 600) = Rs. 3,00,000. Holding period counts from allotment.</w:t>
            </w:r>
          </w:p>
        </w:tc>
      </w:tr>
    </w:tbl>
    <w:p>
      <w:pPr>
        <w:spacing w:after="60"/>
      </w:pPr>
    </w:p>
    <w:p>
      <w:pPr>
        <w:pStyle w:val="Heading2"/>
        <w:keepNext/>
        <w:spacing w:after="120" w:before="240"/>
      </w:pPr>
      <w:r>
        <w:rPr>
          <w:rFonts w:ascii="Verdana" w:cs="Verdana" w:eastAsia="Verdana" w:hAnsi="Verdana"/>
        </w:rPr>
        <w:t xml:space="preserve">7.5 Relief for arrears (section 157, old 89)</w:t>
      </w:r>
    </w:p>
    <w:p>
      <w:pPr>
        <w:spacing w:after="120" w:line="276"/>
        <w:jc w:val="both"/>
      </w:pPr>
      <w:r>
        <w:rPr>
          <w:rFonts w:ascii="Verdana" w:cs="Verdana" w:eastAsia="Verdana" w:hAnsi="Verdana"/>
        </w:rPr>
        <w:t xml:space="preserve">When salary arrears are received in a later year, tax can go up because of higher slabs. Relief is available by recomputing tax as if the arrears were taxed in the years they relate to. The employee files the relief form (old Form 10E, now Form 39) before filing the return.</w:t>
      </w:r>
    </w:p>
    <w:p>
      <w:pPr>
        <w:pStyle w:val="Heading2"/>
        <w:keepNext/>
        <w:spacing w:after="120" w:before="240"/>
      </w:pPr>
      <w:r>
        <w:rPr>
          <w:rFonts w:ascii="Verdana" w:cs="Verdana" w:eastAsia="Verdana" w:hAnsi="Verdana"/>
        </w:rPr>
        <w:t xml:space="preserve">7.6 Is it salary at all? Employer and employee relationship</w:t>
      </w:r>
    </w:p>
    <w:p>
      <w:pPr>
        <w:spacing w:after="120" w:line="276"/>
        <w:jc w:val="both"/>
      </w:pPr>
      <w:r>
        <w:rPr>
          <w:rFonts w:ascii="Verdana" w:cs="Verdana" w:eastAsia="Verdana" w:hAnsi="Verdana"/>
        </w:rPr>
        <w:t xml:space="preserve">Income is taxed as salary only if there is an employer and employee relationship. Payments to consultants, retainers and independent professionals are business or professional income, taxed under a different head and subject to TDS under section 393 rather than 392. The courts look at the degree of control over how the work is done, integration into the organisation, the right to terminate, and whether the person works for others as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 Director remuneration</w:t>
            </w:r>
          </w:p>
          <w:p>
            <w:pPr>
              <w:spacing w:after="60" w:line="260"/>
            </w:pPr>
            <w:r>
              <w:rPr>
                <w:rFonts w:ascii="Verdana" w:cs="Verdana" w:eastAsia="Verdana" w:hAnsi="Verdana"/>
                <w:sz w:val="20"/>
                <w:szCs w:val="20"/>
              </w:rPr>
              <w:t xml:space="preserve">A whole time director of a company receives a monthly salary under an employment contract. This is </w:t>
            </w:r>
            <w:r>
              <w:rPr>
                <w:rFonts w:ascii="Verdana" w:cs="Verdana" w:eastAsia="Verdana" w:hAnsi="Verdana"/>
                <w:b/>
                <w:bCs/>
                <w:sz w:val="20"/>
                <w:szCs w:val="20"/>
              </w:rPr>
              <w:t xml:space="preserve">salary</w:t>
            </w:r>
            <w:r>
              <w:rPr>
                <w:rFonts w:ascii="Verdana" w:cs="Verdana" w:eastAsia="Verdana" w:hAnsi="Verdana"/>
                <w:sz w:val="20"/>
                <w:szCs w:val="20"/>
              </w:rPr>
              <w:t xml:space="preserve">. An independent director receives sitting fees and commission for attending board meetings; he is not an employee, so this is </w:t>
            </w:r>
            <w:r>
              <w:rPr>
                <w:rFonts w:ascii="Verdana" w:cs="Verdana" w:eastAsia="Verdana" w:hAnsi="Verdana"/>
                <w:b/>
                <w:bCs/>
                <w:sz w:val="20"/>
                <w:szCs w:val="20"/>
              </w:rPr>
              <w:t xml:space="preserve">income from other sources or profession</w:t>
            </w:r>
            <w:r>
              <w:rPr>
                <w:rFonts w:ascii="Verdana" w:cs="Verdana" w:eastAsia="Verdana" w:hAnsi="Verdana"/>
                <w:sz w:val="20"/>
                <w:szCs w:val="20"/>
              </w:rPr>
              <w:t xml:space="preserve">, with TDS at 10% under section 393 (old 194J).</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Director as employee</w:t>
            </w:r>
          </w:p>
          <w:p>
            <w:pPr>
              <w:spacing w:after="60" w:line="260"/>
            </w:pPr>
            <w:r>
              <w:rPr>
                <w:rFonts w:ascii="Verdana" w:cs="Verdana" w:eastAsia="Verdana" w:hAnsi="Verdana"/>
                <w:b/>
                <w:bCs/>
                <w:sz w:val="20"/>
                <w:szCs w:val="20"/>
              </w:rPr>
              <w:t xml:space="preserve">Ram Prashad v. CIT (Supreme Court, 1972):</w:t>
            </w:r>
            <w:r>
              <w:rPr>
                <w:rFonts w:ascii="Verdana" w:cs="Verdana" w:eastAsia="Verdana" w:hAnsi="Verdana"/>
                <w:sz w:val="20"/>
                <w:szCs w:val="20"/>
              </w:rPr>
              <w:t xml:space="preserve"> whether a managing director is an employee depends on the terms of his appointment. Where he works under the control and supervision of the board, the relationship is one of employment and the remuneration is salary; where he acts as an agent with independent powers, it may not be.</w:t>
            </w:r>
          </w:p>
        </w:tc>
      </w:tr>
    </w:tbl>
    <w:p>
      <w:pPr>
        <w:spacing w:after="60"/>
      </w:pPr>
    </w:p>
    <w:p>
      <w:pPr>
        <w:pStyle w:val="Heading2"/>
        <w:keepNext/>
        <w:spacing w:after="120" w:before="240"/>
      </w:pPr>
      <w:r>
        <w:rPr>
          <w:rFonts w:ascii="Verdana" w:cs="Verdana" w:eastAsia="Verdana" w:hAnsi="Verdana"/>
        </w:rPr>
        <w:t xml:space="preserve">7.7 Allowances under the Income-tax Rules, 2026</w:t>
      </w:r>
    </w:p>
    <w:p>
      <w:pPr>
        <w:spacing w:after="120" w:line="276"/>
        <w:jc w:val="both"/>
      </w:pPr>
      <w:r>
        <w:rPr>
          <w:rFonts w:ascii="Verdana" w:cs="Verdana" w:eastAsia="Verdana" w:hAnsi="Verdana"/>
        </w:rPr>
        <w:t xml:space="preserve">Allowances are fixed cash amounts paid by the employer. They are fully taxable unless a specific exemption applies. The Rules, 2026 have substantially increased several limits that had not changed for decades. Most of these exemptions are available only in the old regime; the transport allowance for specially abled employees and certain official allowances are available in both.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4400"/>
        <w:gridCol w:w="1800"/>
      </w:tblGrid>
      <w:tr>
        <w:trPr>
          <w:cantSplit/>
          <w:tblHeader/>
        </w:trPr>
        <w:tc>
          <w:tcPr>
            <w:tcW w:type="dxa" w:w="3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Allowance</w:t>
            </w:r>
          </w:p>
        </w:tc>
        <w:tc>
          <w:tcPr>
            <w:tcW w:type="dxa" w:w="4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Exempt limit (Rules, 2026)</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Earlier limit</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rent allowance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Least of actual HRA; 50% of salary in Mumbai, Delhi, Kolkata, Chennai, </w:t>
            </w:r>
            <w:r>
              <w:rPr>
                <w:rFonts w:ascii="Verdana" w:cs="Verdana" w:eastAsia="Verdana" w:hAnsi="Verdana"/>
                <w:sz w:val="19"/>
                <w:szCs w:val="19"/>
              </w:rPr>
              <w:t xml:space="preserve">Ahmedabad, Bengaluru, Hyderabad, Pune</w:t>
            </w:r>
            <w:r>
              <w:rPr>
                <w:rFonts w:ascii="Verdana" w:cs="Verdana" w:eastAsia="Verdana" w:hAnsi="Verdana"/>
                <w:sz w:val="19"/>
                <w:szCs w:val="19"/>
              </w:rPr>
              <w:t xml:space="preserve"> (40% elsewhere); rent paid less 10% of salary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only for 4 metros</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Children education allowance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3,000 a month per child, up to 2 children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Children hostel allowance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9,000 a month per child, up to 2 children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300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Transport allowance for specially abled employees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15,000 a month in metros, Rs. 8,000 elsewhere (plus DA as specified)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3,200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Transport allowance for employees in transport business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70% of allowance, up to Rs. 25,000 a month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Underground allowance (mines)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15% of basic pay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800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Travel, daily, conveyance, helper allowances for official duty</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 the extent actually spent for official work</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Uniform allowance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 the extent spent on uniform for work</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w:t>
            </w:r>
          </w:p>
        </w:tc>
      </w:tr>
    </w:tbl>
    <w:p>
      <w:pPr>
        <w:spacing w:after="60"/>
      </w:pPr>
    </w:p>
    <w:p>
      <w:pPr>
        <w:spacing w:after="120" w:line="276"/>
        <w:jc w:val="both"/>
      </w:pPr>
      <w:r>
        <w:rPr>
          <w:rFonts w:ascii="Verdana" w:cs="Verdana" w:eastAsia="Verdana" w:hAnsi="Verdana"/>
        </w:rPr>
        <w:t xml:space="preserve">"Salary" for HRA means basic pay plus dearness allowance (if part of retirement benefits) plus commission as a fixed percentage of turnover, for the period during which rented accommodation was occupied.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 HRA in Ahmedabad</w:t>
            </w:r>
          </w:p>
          <w:p>
            <w:pPr>
              <w:spacing w:after="60" w:line="260"/>
            </w:pPr>
            <w:r>
              <w:rPr>
                <w:rFonts w:ascii="Verdana" w:cs="Verdana" w:eastAsia="Verdana" w:hAnsi="Verdana"/>
                <w:sz w:val="20"/>
                <w:szCs w:val="20"/>
              </w:rPr>
              <w:t xml:space="preserve">Hardik works in Ahmedabad. Basic salary Rs. 60,000 a month, DA forming part of retirement benefits Rs. 10,000 a month, HRA Rs. 30,000 a month. Rent paid Rs. 32,000 a month. He is in the old regime.</w:t>
            </w:r>
          </w:p>
          <w:p>
            <w:pPr>
              <w:spacing w:after="60" w:line="260"/>
            </w:pPr>
            <w:r>
              <w:rPr>
                <w:rFonts w:ascii="Verdana" w:cs="Verdana" w:eastAsia="Verdana" w:hAnsi="Verdana"/>
                <w:sz w:val="20"/>
                <w:szCs w:val="20"/>
              </w:rPr>
              <w:t xml:space="preserve">Salary for HRA = Rs. 70,000 a month = Rs. 8,40,000 a year. Under the Rules, 2026, Ahmedabad qualifies for 50%.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Actual HRA (30,000 x 12)</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 50% of salary (8,40,000 x 50%)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4,20,000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 Rent paid less 10% of salary (3,84,000 less 84,000)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HRA exempt</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HRA (3,60,000 less 3,00,000)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w:t>
            </w:r>
          </w:p>
        </w:tc>
      </w:tr>
    </w:tbl>
    <w:p>
      <w:pPr>
        <w:spacing w:after="60"/>
      </w:pPr>
    </w:p>
    <w:p>
      <w:pPr>
        <w:spacing w:after="120" w:line="276"/>
        <w:jc w:val="both"/>
      </w:pPr>
      <w:r>
        <w:rPr>
          <w:rFonts w:ascii="Verdana" w:cs="Verdana" w:eastAsia="Verdana" w:hAnsi="Verdana"/>
        </w:rPr>
        <w:t xml:space="preserve">Under the old rules Ahmedabad was a 40% city, so (b) would have been Rs. 3,36,000; the exemption would still be Rs. 3,00,000 here, but for employees paying higher rent the change adds real value.</w:t>
      </w:r>
    </w:p>
    <w:p>
      <w:pPr>
        <w:pStyle w:val="Heading2"/>
        <w:keepNext/>
        <w:spacing w:after="120" w:before="240"/>
      </w:pPr>
      <w:r>
        <w:rPr>
          <w:rFonts w:ascii="Verdana" w:cs="Verdana" w:eastAsia="Verdana" w:hAnsi="Verdana"/>
        </w:rPr>
        <w:t xml:space="preserve">7.8 Valuation of perquisites</w:t>
      </w:r>
    </w:p>
    <w:p>
      <w:pPr>
        <w:spacing w:after="120" w:line="276"/>
        <w:jc w:val="both"/>
      </w:pPr>
      <w:r>
        <w:rPr>
          <w:rFonts w:ascii="Verdana" w:cs="Verdana" w:eastAsia="Verdana" w:hAnsi="Verdana"/>
        </w:rPr>
        <w:t xml:space="preserve">Perquisites are benefits in kind. They are valued under the Rules and added to salary. The table summarises the main ones, reflecting the Rules,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5600"/>
      </w:tblGrid>
      <w:tr>
        <w:trPr>
          <w:cantSplit/>
          <w:tblHeader/>
        </w:trPr>
        <w:tc>
          <w:tcPr>
            <w:tcW w:type="dxa" w:w="4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Perquisite</w:t>
            </w:r>
          </w:p>
        </w:tc>
        <w:tc>
          <w:tcPr>
            <w:tcW w:type="dxa" w:w="5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Valuation (broad)</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Rent-free accommodation (private employer, owned or leased)</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Owned: percentage of salary based on city population (10%, 7.5% or 5%). Leased: lower of actual lease rent and 10% of salary. Less any rent recovered from the employee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Motor car used for official and personal purposes, engine up to 1.6 litres or electric, expenses met by employer</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 a month, plus Rs. 3,000 if a driver is provided</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engine above 1.6 litres</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7,000 a month, plus Rs. 3,000 for driver</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Car owned or hired by employer, running expenses met by the employee (mixed use, up to 1.6 litres)</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2,000 a month, plus Rs. 3,000 if a driver is provided</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Car owned by the employee, running expenses reimbursed by the employer (mixed use)</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expenses less the amount prescribed in the Rules for official use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Car used only for official purposes, with records</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Car used only for personal purposes</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cost to employer plus 10% of cost of car as hire charges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Interest-free or concessional loans</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at SBI lending rate on 1 April less interest recovered; exempt if aggregate loans do not exceed Rs. 2,00,000, and for medical loans for specified diseases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Free meals</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up to Rs. 200 per meal during office hours, or through non-transferable vouchers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Gifts and vouchers</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up to Rs. 15,000 in the year; the entire amount is taxable if it exceeds this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Club membership, credit card for personal use</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amount paid by employer</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ESOP or sweat equity</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FMV on date of exercise less amount paid by employee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contribution to PF, NPS and superannuation</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to the extent aggregate exceeds Rs. 7.5 lakh in a year, along with accretions on the excess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Medical treatment in employer's hospital or approved hospital</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within conditions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Valuation of perquisites</w:t>
            </w:r>
          </w:p>
          <w:p>
            <w:pPr>
              <w:spacing w:after="60" w:line="260"/>
            </w:pPr>
            <w:r>
              <w:rPr>
                <w:rFonts w:ascii="Verdana" w:cs="Verdana" w:eastAsia="Verdana" w:hAnsi="Verdana"/>
                <w:b/>
                <w:bCs/>
                <w:sz w:val="20"/>
                <w:szCs w:val="20"/>
              </w:rPr>
              <w:t xml:space="preserve">Arun Kumar v. Union of India (Supreme Court, 2006):</w:t>
            </w:r>
            <w:r>
              <w:rPr>
                <w:rFonts w:ascii="Verdana" w:cs="Verdana" w:eastAsia="Verdana" w:hAnsi="Verdana"/>
                <w:sz w:val="20"/>
                <w:szCs w:val="20"/>
              </w:rPr>
              <w:t xml:space="preserve"> upheld the Rules for valuing rent-free accommodation. A perquisite is a benefit or advantage given by the employer in connection with employment, and the Rules supply the machinery to value it; the valuation in the Rules is binding.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 Company car and loan</w:t>
            </w:r>
          </w:p>
          <w:p>
            <w:pPr>
              <w:spacing w:after="60" w:line="260"/>
            </w:pPr>
            <w:r>
              <w:rPr>
                <w:rFonts w:ascii="Verdana" w:cs="Verdana" w:eastAsia="Verdana" w:hAnsi="Verdana"/>
                <w:sz w:val="20"/>
                <w:szCs w:val="20"/>
              </w:rPr>
              <w:t xml:space="preserve">Kavya, a manager, is provided a 2.0 litre car with driver for official and personal use; all expenses are paid by the employer. She also has a housing loan from the employer of Rs. 10,00,000 at 4% when the SBI rate is 9%.</w:t>
            </w:r>
          </w:p>
          <w:p>
            <w:pPr>
              <w:spacing w:after="60" w:line="260"/>
            </w:pPr>
            <w:r>
              <w:rPr>
                <w:rFonts w:ascii="Verdana" w:cs="Verdana" w:eastAsia="Verdana" w:hAnsi="Verdana"/>
                <w:sz w:val="20"/>
                <w:szCs w:val="20"/>
              </w:rPr>
              <w:t xml:space="preserve">Car perquisite = (7,000 plus 3,000) x 12 = </w:t>
            </w:r>
            <w:r>
              <w:rPr>
                <w:rFonts w:ascii="Verdana" w:cs="Verdana" w:eastAsia="Verdana" w:hAnsi="Verdana"/>
                <w:b/>
                <w:bCs/>
                <w:sz w:val="20"/>
                <w:szCs w:val="20"/>
              </w:rPr>
              <w:t xml:space="preserve">Rs. 1,20,000</w:t>
            </w:r>
            <w:r>
              <w:rPr>
                <w:rFonts w:ascii="Verdana" w:cs="Verdana" w:eastAsia="Verdana" w:hAnsi="Verdana"/>
                <w:sz w:val="20"/>
                <w:szCs w:val="20"/>
              </w:rPr>
              <w:t xml:space="preserve">.</w:t>
            </w:r>
          </w:p>
          <w:p>
            <w:pPr>
              <w:spacing w:after="60" w:line="260"/>
            </w:pPr>
            <w:r>
              <w:rPr>
                <w:rFonts w:ascii="Verdana" w:cs="Verdana" w:eastAsia="Verdana" w:hAnsi="Verdana"/>
                <w:sz w:val="20"/>
                <w:szCs w:val="20"/>
              </w:rPr>
              <w:t xml:space="preserve">Loan perquisite = 10,00,000 x (9% less 4%) = </w:t>
            </w:r>
            <w:r>
              <w:rPr>
                <w:rFonts w:ascii="Verdana" w:cs="Verdana" w:eastAsia="Verdana" w:hAnsi="Verdana"/>
                <w:b/>
                <w:bCs/>
                <w:sz w:val="20"/>
                <w:szCs w:val="20"/>
              </w:rPr>
              <w:t xml:space="preserve">Rs. 50,000</w:t>
            </w:r>
            <w:r>
              <w:rPr>
                <w:rFonts w:ascii="Verdana" w:cs="Verdana" w:eastAsia="Verdana" w:hAnsi="Verdana"/>
                <w:sz w:val="20"/>
                <w:szCs w:val="20"/>
              </w:rPr>
              <w:t xml:space="preserve"> (the Rs. 2 lakh exemption does not apply since the loan exceeds it).</w:t>
            </w:r>
          </w:p>
          <w:p>
            <w:pPr>
              <w:spacing w:after="60" w:line="260"/>
            </w:pPr>
            <w:r>
              <w:rPr>
                <w:rFonts w:ascii="Verdana" w:cs="Verdana" w:eastAsia="Verdana" w:hAnsi="Verdana"/>
                <w:sz w:val="20"/>
                <w:szCs w:val="20"/>
              </w:rPr>
              <w:t xml:space="preserve">Total perquisites added to salary = </w:t>
            </w:r>
            <w:r>
              <w:rPr>
                <w:rFonts w:ascii="Verdana" w:cs="Verdana" w:eastAsia="Verdana" w:hAnsi="Verdana"/>
                <w:b/>
                <w:bCs/>
                <w:sz w:val="20"/>
                <w:szCs w:val="20"/>
              </w:rPr>
              <w:t xml:space="preserve">Rs. 1,70,000</w:t>
            </w:r>
            <w:r>
              <w:rPr>
                <w:rFonts w:ascii="Verdana" w:cs="Verdana" w:eastAsia="Verdana" w:hAnsi="Verdana"/>
                <w:sz w:val="20"/>
                <w:szCs w:val="20"/>
              </w:rPr>
              <w:t xml:space="preserve">. These values are taxable in both regimes.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 Employer retirement contributions above Rs. 7.5 lakh</w:t>
            </w:r>
          </w:p>
          <w:p>
            <w:pPr>
              <w:spacing w:after="60" w:line="260"/>
            </w:pPr>
            <w:r>
              <w:rPr>
                <w:rFonts w:ascii="Verdana" w:cs="Verdana" w:eastAsia="Verdana" w:hAnsi="Verdana"/>
                <w:sz w:val="20"/>
                <w:szCs w:val="20"/>
              </w:rPr>
              <w:t xml:space="preserve">A senior executive's employer contributes Rs. 4,50,000 to PF, Rs. 3,00,000 to NPS and Rs. 1,50,000 to a superannuation fund, total Rs. 9,00,000. The excess of Rs. 1,50,000 over Rs. 7,50,000 is a taxable perquisite, and the annual accretion (interest or returns) on that excess is also taxable each year, computed as per the Rules.</w:t>
            </w:r>
          </w:p>
        </w:tc>
      </w:tr>
    </w:tbl>
    <w:p>
      <w:pPr>
        <w:spacing w:after="60"/>
      </w:pPr>
    </w:p>
    <w:p>
      <w:pPr>
        <w:pStyle w:val="Heading2"/>
        <w:keepNext/>
        <w:spacing w:after="120" w:before="240"/>
      </w:pPr>
      <w:r>
        <w:rPr>
          <w:rFonts w:ascii="Verdana" w:cs="Verdana" w:eastAsia="Verdana" w:hAnsi="Verdana"/>
        </w:rPr>
        <w:t xml:space="preserve">7.9 Retirement benefits in detail</w:t>
      </w:r>
    </w:p>
    <w:p>
      <w:pPr>
        <w:pStyle w:val="Heading3"/>
        <w:keepNext/>
        <w:spacing w:after="80" w:before="160"/>
      </w:pPr>
      <w:r>
        <w:rPr>
          <w:rFonts w:ascii="Verdana" w:cs="Verdana" w:eastAsia="Verdana" w:hAnsi="Verdana"/>
        </w:rPr>
        <w:t xml:space="preserve">Gratuity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Employee</w:t>
            </w:r>
          </w:p>
        </w:tc>
        <w:tc>
          <w:tcPr>
            <w:tcW w:type="dxa" w:w="6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Exempt amount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Government employee</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Fully exempt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Covered by the Payment of Gratuity Act</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Least of: actual gratuity; 15/26 x last drawn salary (basic plus DA) x completed years of service (part of a year above 6 months counts as a full year); Rs. 20,00,000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covered by that Act</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Least of: actual gratuity; half month's average salary (last 10 months) x completed years (ignore part of a year); Rs. 20,00,000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 Gratuity</w:t>
            </w:r>
          </w:p>
          <w:p>
            <w:pPr>
              <w:spacing w:after="60" w:line="260"/>
            </w:pPr>
            <w:r>
              <w:rPr>
                <w:rFonts w:ascii="Verdana" w:cs="Verdana" w:eastAsia="Verdana" w:hAnsi="Verdana"/>
                <w:sz w:val="20"/>
                <w:szCs w:val="20"/>
              </w:rPr>
              <w:t xml:space="preserve">Ramesh retires from a private company covered by the Payment of Gratuity Act after 24 years and 8 months of service. Last drawn basic plus DA = Rs. 1,04,000 a month. Gratuity received = Rs. 16,00,000.</w:t>
            </w:r>
          </w:p>
          <w:p>
            <w:pPr>
              <w:spacing w:after="60" w:line="260"/>
            </w:pPr>
            <w:r>
              <w:rPr>
                <w:rFonts w:ascii="Verdana" w:cs="Verdana" w:eastAsia="Verdana" w:hAnsi="Verdana"/>
                <w:sz w:val="20"/>
                <w:szCs w:val="20"/>
              </w:rPr>
              <w:t xml:space="preserve">Years of service = 25 (8 months exceeds 6 months). Formula amount = 15/26 x 1,04,000 x 25 = </w:t>
            </w:r>
            <w:r>
              <w:rPr>
                <w:rFonts w:ascii="Verdana" w:cs="Verdana" w:eastAsia="Verdana" w:hAnsi="Verdana"/>
                <w:b/>
                <w:bCs/>
                <w:sz w:val="20"/>
                <w:szCs w:val="20"/>
              </w:rPr>
              <w:t xml:space="preserve">Rs. 15,00,000</w:t>
            </w:r>
            <w:r>
              <w:rPr>
                <w:rFonts w:ascii="Verdana" w:cs="Verdana" w:eastAsia="Verdana" w:hAnsi="Verdana"/>
                <w:sz w:val="20"/>
                <w:szCs w:val="20"/>
              </w:rPr>
              <w:t xml:space="preserve">.</w:t>
            </w:r>
          </w:p>
          <w:p>
            <w:pPr>
              <w:spacing w:after="60" w:line="260"/>
            </w:pPr>
            <w:r>
              <w:rPr>
                <w:rFonts w:ascii="Verdana" w:cs="Verdana" w:eastAsia="Verdana" w:hAnsi="Verdana"/>
                <w:sz w:val="20"/>
                <w:szCs w:val="20"/>
              </w:rPr>
              <w:t xml:space="preserve">Exempt = least of 16,00,000, 15,00,000 and 20,00,000 = </w:t>
            </w:r>
            <w:r>
              <w:rPr>
                <w:rFonts w:ascii="Verdana" w:cs="Verdana" w:eastAsia="Verdana" w:hAnsi="Verdana"/>
                <w:b/>
                <w:bCs/>
                <w:sz w:val="20"/>
                <w:szCs w:val="20"/>
              </w:rPr>
              <w:t xml:space="preserve">Rs. 15,00,000</w:t>
            </w:r>
            <w:r>
              <w:rPr>
                <w:rFonts w:ascii="Verdana" w:cs="Verdana" w:eastAsia="Verdana" w:hAnsi="Verdana"/>
                <w:sz w:val="20"/>
                <w:szCs w:val="20"/>
              </w:rPr>
              <w:t xml:space="preserve">. Taxable = </w:t>
            </w:r>
            <w:r>
              <w:rPr>
                <w:rFonts w:ascii="Verdana" w:cs="Verdana" w:eastAsia="Verdana" w:hAnsi="Verdana"/>
                <w:b/>
                <w:bCs/>
                <w:sz w:val="20"/>
                <w:szCs w:val="20"/>
              </w:rPr>
              <w:t xml:space="preserve">Rs. 1,00,000</w:t>
            </w:r>
            <w:r>
              <w:rPr>
                <w:rFonts w:ascii="Verdana" w:cs="Verdana" w:eastAsia="Verdana" w:hAnsi="Verdana"/>
                <w:sz w:val="20"/>
                <w:szCs w:val="20"/>
              </w:rPr>
              <w:t xml:space="preserve">.</w:t>
            </w:r>
          </w:p>
        </w:tc>
      </w:tr>
    </w:tbl>
    <w:p>
      <w:pPr>
        <w:spacing w:after="60"/>
      </w:pPr>
    </w:p>
    <w:p>
      <w:pPr>
        <w:pStyle w:val="Heading3"/>
        <w:keepNext/>
        <w:spacing w:after="80" w:before="160"/>
      </w:pPr>
      <w:r>
        <w:rPr>
          <w:rFonts w:ascii="Verdana" w:cs="Verdana" w:eastAsia="Verdana" w:hAnsi="Verdana"/>
        </w:rPr>
        <w:t xml:space="preserve">Leave encashment on retirement</w:t>
      </w:r>
    </w:p>
    <w:p>
      <w:pPr>
        <w:spacing w:after="120" w:line="276"/>
        <w:jc w:val="both"/>
      </w:pPr>
      <w:r>
        <w:rPr>
          <w:rFonts w:ascii="Verdana" w:cs="Verdana" w:eastAsia="Verdana" w:hAnsi="Verdana"/>
        </w:rPr>
        <w:t xml:space="preserve">For non-government employees, the exemption is the least of: actual amount; 10 months' average salary; cash equivalent of unavailed leave calculated at 30 days for every year of service; and </w:t>
      </w:r>
      <w:r>
        <w:rPr>
          <w:rFonts w:ascii="Verdana" w:cs="Verdana" w:eastAsia="Verdana" w:hAnsi="Verdana"/>
          <w:b/>
          <w:bCs/>
        </w:rPr>
        <w:t xml:space="preserve">Rs. 25,00,000</w:t>
      </w:r>
      <w:r>
        <w:rPr>
          <w:rFonts w:ascii="Verdana" w:cs="Verdana" w:eastAsia="Verdana" w:hAnsi="Verdana"/>
        </w:rPr>
        <w:t xml:space="preserve"> (lifetime limit). Leave encashment while in service is fully taxable.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 Leave encashment</w:t>
            </w:r>
          </w:p>
          <w:p>
            <w:pPr>
              <w:spacing w:after="60" w:line="260"/>
            </w:pPr>
            <w:r>
              <w:rPr>
                <w:rFonts w:ascii="Verdana" w:cs="Verdana" w:eastAsia="Verdana" w:hAnsi="Verdana"/>
                <w:sz w:val="20"/>
                <w:szCs w:val="20"/>
              </w:rPr>
              <w:t xml:space="preserve">Ramesh also receives Rs. 12,00,000 for 300 days of accumulated leave. His entitlement was 30 days a year and he availed 450 days in 25 years. Average salary for the last 10 months = Rs. 1,00,000.</w:t>
            </w:r>
          </w:p>
          <w:p>
            <w:pPr>
              <w:spacing w:after="60" w:line="260"/>
            </w:pPr>
            <w:r>
              <w:rPr>
                <w:rFonts w:ascii="Verdana" w:cs="Verdana" w:eastAsia="Verdana" w:hAnsi="Verdana"/>
                <w:sz w:val="20"/>
                <w:szCs w:val="20"/>
              </w:rPr>
              <w:t xml:space="preserve">Leave to credit on the 30 days basis = (25 x 30) less 450 = 300 days = 10 months. Cash equivalent = 10 x 1,00,000 = Rs. 10,00,000. Ten months' average salary = Rs. 10,00,000.</w:t>
            </w:r>
          </w:p>
          <w:p>
            <w:pPr>
              <w:spacing w:after="60" w:line="260"/>
            </w:pPr>
            <w:r>
              <w:rPr>
                <w:rFonts w:ascii="Verdana" w:cs="Verdana" w:eastAsia="Verdana" w:hAnsi="Verdana"/>
                <w:sz w:val="20"/>
                <w:szCs w:val="20"/>
              </w:rPr>
              <w:t xml:space="preserve">Exempt = least of 12,00,000; 10,00,000; 10,00,000; 25,00,000 = </w:t>
            </w:r>
            <w:r>
              <w:rPr>
                <w:rFonts w:ascii="Verdana" w:cs="Verdana" w:eastAsia="Verdana" w:hAnsi="Verdana"/>
                <w:b/>
                <w:bCs/>
                <w:sz w:val="20"/>
                <w:szCs w:val="20"/>
              </w:rPr>
              <w:t xml:space="preserve">Rs. 10,00,000</w:t>
            </w:r>
            <w:r>
              <w:rPr>
                <w:rFonts w:ascii="Verdana" w:cs="Verdana" w:eastAsia="Verdana" w:hAnsi="Verdana"/>
                <w:sz w:val="20"/>
                <w:szCs w:val="20"/>
              </w:rPr>
              <w:t xml:space="preserve">. Taxable = </w:t>
            </w:r>
            <w:r>
              <w:rPr>
                <w:rFonts w:ascii="Verdana" w:cs="Verdana" w:eastAsia="Verdana" w:hAnsi="Verdana"/>
                <w:b/>
                <w:bCs/>
                <w:sz w:val="20"/>
                <w:szCs w:val="20"/>
              </w:rPr>
              <w:t xml:space="preserve">Rs. 2,00,000</w:t>
            </w:r>
            <w:r>
              <w:rPr>
                <w:rFonts w:ascii="Verdana" w:cs="Verdana" w:eastAsia="Verdana" w:hAnsi="Verdana"/>
                <w:sz w:val="20"/>
                <w:szCs w:val="20"/>
              </w:rPr>
              <w:t xml:space="preserve">.</w:t>
            </w:r>
          </w:p>
        </w:tc>
      </w:tr>
    </w:tbl>
    <w:p>
      <w:pPr>
        <w:spacing w:after="60"/>
      </w:pPr>
    </w:p>
    <w:p>
      <w:pPr>
        <w:pStyle w:val="Heading3"/>
        <w:keepNext/>
        <w:spacing w:after="80" w:before="160"/>
      </w:pPr>
      <w:r>
        <w:rPr>
          <w:rFonts w:ascii="Verdana" w:cs="Verdana" w:eastAsia="Verdana" w:hAnsi="Verdana"/>
        </w:rPr>
        <w:t xml:space="preserve">Pension</w:t>
      </w:r>
    </w:p>
    <w:p>
      <w:pPr>
        <w:spacing w:after="120" w:line="276"/>
        <w:jc w:val="both"/>
      </w:pPr>
      <w:r>
        <w:rPr>
          <w:rFonts w:ascii="Verdana" w:cs="Verdana" w:eastAsia="Verdana" w:hAnsi="Verdana"/>
        </w:rPr>
        <w:t xml:space="preserve">Uncommuted (monthly) pension is fully taxable as salary. Commuted pension (lump sum) is fully exempt for government employees. For others, one third of the full commuted value is exempt if the employee also receives gratuity, and one half if he does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23: Commuted pension</w:t>
            </w:r>
          </w:p>
          <w:p>
            <w:pPr>
              <w:spacing w:after="60" w:line="260"/>
            </w:pPr>
            <w:r>
              <w:rPr>
                <w:rFonts w:ascii="Verdana" w:cs="Verdana" w:eastAsia="Verdana" w:hAnsi="Verdana"/>
                <w:sz w:val="20"/>
                <w:szCs w:val="20"/>
              </w:rPr>
              <w:t xml:space="preserve">Ramesh commutes 40% of his pension and receives Rs. 8,00,000. The full commuted value (100%) is therefore Rs. 20,00,000. Since he also received gratuity, exempt amount = one third of 20,00,000 = </w:t>
            </w:r>
            <w:r>
              <w:rPr>
                <w:rFonts w:ascii="Verdana" w:cs="Verdana" w:eastAsia="Verdana" w:hAnsi="Verdana"/>
                <w:b/>
                <w:bCs/>
                <w:sz w:val="20"/>
                <w:szCs w:val="20"/>
              </w:rPr>
              <w:t xml:space="preserve">Rs. 6,66,667</w:t>
            </w:r>
            <w:r>
              <w:rPr>
                <w:rFonts w:ascii="Verdana" w:cs="Verdana" w:eastAsia="Verdana" w:hAnsi="Verdana"/>
                <w:sz w:val="20"/>
                <w:szCs w:val="20"/>
              </w:rPr>
              <w:t xml:space="preserve">. Taxable = </w:t>
            </w:r>
            <w:r>
              <w:rPr>
                <w:rFonts w:ascii="Verdana" w:cs="Verdana" w:eastAsia="Verdana" w:hAnsi="Verdana"/>
                <w:b/>
                <w:bCs/>
                <w:sz w:val="20"/>
                <w:szCs w:val="20"/>
              </w:rPr>
              <w:t xml:space="preserve">Rs. 1,33,333</w:t>
            </w:r>
            <w:r>
              <w:rPr>
                <w:rFonts w:ascii="Verdana" w:cs="Verdana" w:eastAsia="Verdana" w:hAnsi="Verdana"/>
                <w:sz w:val="20"/>
                <w:szCs w:val="20"/>
              </w:rPr>
              <w:t xml:space="preserve">.</w:t>
            </w:r>
          </w:p>
        </w:tc>
      </w:tr>
    </w:tbl>
    <w:p>
      <w:pPr>
        <w:spacing w:after="60"/>
      </w:pPr>
    </w:p>
    <w:p>
      <w:pPr>
        <w:pStyle w:val="Heading3"/>
        <w:keepNext/>
        <w:spacing w:after="80" w:before="160"/>
      </w:pPr>
      <w:r>
        <w:rPr>
          <w:rFonts w:ascii="Verdana" w:cs="Verdana" w:eastAsia="Verdana" w:hAnsi="Verdana"/>
        </w:rPr>
        <w:t xml:space="preserve">VRS and retrenchment compensation</w:t>
      </w:r>
    </w:p>
    <w:p>
      <w:pPr>
        <w:spacing w:after="120" w:line="276"/>
        <w:jc w:val="both"/>
      </w:pPr>
      <w:r>
        <w:rPr>
          <w:rFonts w:ascii="Verdana" w:cs="Verdana" w:eastAsia="Verdana" w:hAnsi="Verdana"/>
        </w:rPr>
        <w:t xml:space="preserve">Compensation on voluntary retirement under a scheme that meets the prescribed conditions is exempt up to Rs. 5,00,000, once in a lifetime. Retrenchment compensation is exempt up to the least of the amount under the Industrial Disputes Act formula, Rs. 5,00,000 and the actual amount.</w:t>
      </w:r>
    </w:p>
    <w:p>
      <w:pPr>
        <w:pStyle w:val="Heading2"/>
        <w:keepNext/>
        <w:spacing w:after="120" w:before="240"/>
      </w:pPr>
      <w:r>
        <w:rPr>
          <w:rFonts w:ascii="Verdana" w:cs="Verdana" w:eastAsia="Verdana" w:hAnsi="Verdana"/>
        </w:rPr>
        <w:t xml:space="preserve">7.10 Provident funds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2600"/>
        <w:gridCol w:w="2600"/>
        <w:gridCol w:w="2200"/>
      </w:tblGrid>
      <w:tr>
        <w:trPr>
          <w:cantSplit/>
          <w:tblHeader/>
        </w:trPr>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Fund</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Employer contribution</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Interest</w:t>
            </w:r>
          </w:p>
        </w:tc>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Withdrawal</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Statutory PF (government)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Recognised PF (EPF)</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up to 12% of salary (within the overall Rs. 7.5 lakh cap)</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up to 9.5%; interest on employee contribution above Rs. 2.5 lakh a year taxable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after 5 years of continuous service; otherwise recomputed as unrecognised</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Unrecognised PF</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taxed yearly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taxed yearly</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share and interest taxed as salary on withdrawal; interest on own share as other sources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Public Provident Fund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applicable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When an employee withdraws EPF before completing 5 years, TDS applies at 10% above Rs. 50,000 if PAN is given. Check whether the service with earlier employers was transferred; transferred service counts towards the 5 years.</w:t>
            </w:r>
          </w:p>
        </w:tc>
      </w:tr>
    </w:tbl>
    <w:p>
      <w:pPr>
        <w:spacing w:after="60"/>
      </w:pPr>
    </w:p>
    <w:p>
      <w:pPr>
        <w:pStyle w:val="Heading2"/>
        <w:keepNext/>
        <w:spacing w:after="120" w:before="240"/>
      </w:pPr>
      <w:r>
        <w:rPr>
          <w:rFonts w:ascii="Verdana" w:cs="Verdana" w:eastAsia="Verdana" w:hAnsi="Verdana"/>
        </w:rPr>
        <w:t xml:space="preserve">7.11 Relief for arrears of salary (section 157) with a worked example</w:t>
      </w:r>
    </w:p>
    <w:p>
      <w:pPr>
        <w:spacing w:after="120" w:line="276"/>
        <w:jc w:val="both"/>
      </w:pPr>
      <w:r>
        <w:rPr>
          <w:rFonts w:ascii="Verdana" w:cs="Verdana" w:eastAsia="Verdana" w:hAnsi="Verdana"/>
        </w:rPr>
        <w:t xml:space="preserve">When salary relating to earlier years is received in a later year, the whole amount is taxed in the year of receipt, possibly at a higher slab. Relief is computed as follows:</w:t>
      </w:r>
    </w:p>
    <w:p>
      <w:pPr>
        <w:pStyle w:val="ListParagraph"/>
        <w:numPr>
          <w:ilvl w:val="0"/>
          <w:numId w:val="2"/>
        </w:numPr>
        <w:spacing w:after="60" w:line="264"/>
      </w:pPr>
      <w:r>
        <w:rPr>
          <w:rFonts w:ascii="Verdana" w:cs="Verdana" w:eastAsia="Verdana" w:hAnsi="Verdana"/>
        </w:rPr>
        <w:t xml:space="preserve">(1) Tax on total income of the current year including arrears, less tax on total income of the current year excluding arrears.</w:t>
      </w:r>
    </w:p>
    <w:p>
      <w:pPr>
        <w:pStyle w:val="ListParagraph"/>
        <w:numPr>
          <w:ilvl w:val="0"/>
          <w:numId w:val="2"/>
        </w:numPr>
        <w:spacing w:after="60" w:line="264"/>
      </w:pPr>
      <w:r>
        <w:rPr>
          <w:rFonts w:ascii="Verdana" w:cs="Verdana" w:eastAsia="Verdana" w:hAnsi="Verdana"/>
        </w:rPr>
        <w:t xml:space="preserve">(2) Tax on total income of the earlier year including the arrears relating to it, less tax on total income of that year excluding them.</w:t>
      </w:r>
    </w:p>
    <w:p>
      <w:pPr>
        <w:pStyle w:val="ListParagraph"/>
        <w:numPr>
          <w:ilvl w:val="0"/>
          <w:numId w:val="2"/>
        </w:numPr>
        <w:spacing w:after="60" w:line="264"/>
      </w:pPr>
      <w:r>
        <w:rPr>
          <w:rFonts w:ascii="Verdana" w:cs="Verdana" w:eastAsia="Verdana" w:hAnsi="Verdana"/>
        </w:rPr>
        <w:t xml:space="preserve">Relief = (1) less (2), if positive. The employee must file Form 39 (old 10E) before filing the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24: Arrears relief</w:t>
            </w:r>
          </w:p>
          <w:p>
            <w:pPr>
              <w:spacing w:after="60" w:line="260"/>
            </w:pPr>
            <w:r>
              <w:rPr>
                <w:rFonts w:ascii="Verdana" w:cs="Verdana" w:eastAsia="Verdana" w:hAnsi="Verdana"/>
                <w:sz w:val="20"/>
                <w:szCs w:val="20"/>
              </w:rPr>
              <w:t xml:space="preserve">Leela receives arrears of Rs. 3,00,000 in Tax Year 2026-27 relating to FY 2024-25 due to a pay revision. Her taxable income for Tax Year 2026-27 without arrears is Rs. 11,00,000 (new regime), and for FY 2024-25 it was Rs. 7,00,000 (new regime as then applicable).</w:t>
            </w:r>
          </w:p>
          <w:p>
            <w:pPr>
              <w:spacing w:after="60" w:line="260"/>
            </w:pPr>
            <w:r>
              <w:rPr>
                <w:rFonts w:ascii="Verdana" w:cs="Verdana" w:eastAsia="Verdana" w:hAnsi="Verdana"/>
                <w:sz w:val="20"/>
                <w:szCs w:val="20"/>
              </w:rPr>
              <w:t xml:space="preserve">Tax Year 2026-27: tax on Rs. 14,00,000 = Rs. 90,000 before cess (no rebate, as income exceeds Rs. 12 lakh). Tax on Rs. 11,00,000 = nil (rebate). Difference = Rs. 90,000 plus cess.</w:t>
            </w:r>
          </w:p>
          <w:p>
            <w:pPr>
              <w:spacing w:after="60" w:line="260"/>
            </w:pPr>
            <w:r>
              <w:rPr>
                <w:rFonts w:ascii="Verdana" w:cs="Verdana" w:eastAsia="Verdana" w:hAnsi="Verdana"/>
                <w:sz w:val="20"/>
                <w:szCs w:val="20"/>
              </w:rPr>
              <w:t xml:space="preserve">FY 2024-25: compute tax on Rs. 10,00,000 and Rs. 7,00,000 using that year's slabs and rebate (rebate then available up to Rs. 7 lakh). Under those slabs, tax on Rs. 10,00,000 was Rs. 50,000 and on Rs. 7,00,000 nil after rebate. Difference = Rs. 50,000 plus cess.</w:t>
            </w:r>
          </w:p>
          <w:p>
            <w:pPr>
              <w:spacing w:after="60" w:line="260"/>
            </w:pPr>
            <w:r>
              <w:rPr>
                <w:rFonts w:ascii="Verdana" w:cs="Verdana" w:eastAsia="Verdana" w:hAnsi="Verdana"/>
                <w:sz w:val="20"/>
                <w:szCs w:val="20"/>
              </w:rPr>
              <w:t xml:space="preserve">Relief = Rs. 90,000 less Rs. 50,000 = </w:t>
            </w:r>
            <w:r>
              <w:rPr>
                <w:rFonts w:ascii="Verdana" w:cs="Verdana" w:eastAsia="Verdana" w:hAnsi="Verdana"/>
                <w:b/>
                <w:bCs/>
                <w:sz w:val="20"/>
                <w:szCs w:val="20"/>
              </w:rPr>
              <w:t xml:space="preserve">Rs. 40,000</w:t>
            </w:r>
            <w:r>
              <w:rPr>
                <w:rFonts w:ascii="Verdana" w:cs="Verdana" w:eastAsia="Verdana" w:hAnsi="Verdana"/>
                <w:sz w:val="20"/>
                <w:szCs w:val="20"/>
              </w:rPr>
              <w:t xml:space="preserve"> plus the related cess. Filing Form 39 is essential; without it the CPC will not allow the relief.</w:t>
            </w:r>
          </w:p>
        </w:tc>
      </w:tr>
    </w:tbl>
    <w:p>
      <w:pPr>
        <w:spacing w:after="60"/>
      </w:pPr>
    </w:p>
    <w:p>
      <w:pPr>
        <w:pStyle w:val="Heading2"/>
        <w:keepNext/>
        <w:spacing w:after="120" w:before="240"/>
      </w:pPr>
      <w:r>
        <w:rPr>
          <w:rFonts w:ascii="Verdana" w:cs="Verdana" w:eastAsia="Verdana" w:hAnsi="Verdana"/>
        </w:rPr>
        <w:t xml:space="preserve">7.12 Structuring salary: practical guidance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6200"/>
      </w:tblGrid>
      <w:tr>
        <w:trPr>
          <w:cantSplit/>
          <w:tblHeader/>
        </w:trPr>
        <w:tc>
          <w:tcPr>
            <w:tcW w:type="dxa" w:w="3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Component</w:t>
            </w:r>
          </w:p>
        </w:tc>
        <w:tc>
          <w:tcPr>
            <w:tcW w:type="dxa" w:w="6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point to consider</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NPS contribution</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Deductible in both regimes up to 14% of salary (new) or 10% (old); watch the Rs. 7.5 lakh aggregate cap</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Meal vouchers</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200 per meal exempt; useful in the old regime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Company leased car</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Fixed perquisite value may be lower than the cost of a car allowance fully taxed</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Reimbursement of official expenses</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income if supported by bills and used for official work</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Children education and hostel allowance</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Substantially higher limits under Rules, 2026 in the old regime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Gifts and vouchers</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Keep total within Rs. 15,000 a year per employee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Telephone and internet</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provided telephone and internet are not taxable perquisites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Choosing between regimes should be done each year after listing all exemptions and deductions actually available. With the Rules, 2026 increasing allowance limits, some employees paying high-rent in the eight metros may again find the old regime better. Run both computations.</w:t>
            </w:r>
          </w:p>
        </w:tc>
      </w:tr>
    </w:tbl>
    <w:p>
      <w:pPr>
        <w:spacing w:after="60"/>
      </w:pPr>
    </w:p>
    <w:p>
      <w:pPr>
        <w:pStyle w:val="Heading2"/>
        <w:keepNext/>
        <w:spacing w:after="120" w:before="240"/>
      </w:pPr>
      <w:r>
        <w:rPr>
          <w:rFonts w:ascii="Verdana" w:cs="Verdana" w:eastAsia="Verdana" w:hAnsi="Verdana"/>
        </w:rPr>
        <w:t xml:space="preserve">7.13 ESOPs and RSUs of a foreign parent</w:t>
      </w:r>
    </w:p>
    <w:p>
      <w:pPr>
        <w:spacing w:after="120" w:line="276"/>
        <w:jc w:val="both"/>
      </w:pPr>
      <w:r>
        <w:rPr>
          <w:rFonts w:ascii="Verdana" w:cs="Verdana" w:eastAsia="Verdana" w:hAnsi="Verdana"/>
        </w:rPr>
        <w:t xml:space="preserve">Many employees of Indian subsidiaries of multinationals receive stock options or restricted stock units (RSUs) of the foreign parent. The taxation follows a three-stage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6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effect in India</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Grant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tax</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Vesting and allotment (RSU) or exercise and allotment (option)</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Perquisite = FMV on the date of exercise or allotment less amount paid. For shares listed abroad, FMV is based on the price on the foreign exchange. TDS under section 392 by the Indian employer</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 sale value less FMV taken as perquisite. Foreign shares are long-term after 24 months; LTCG at 12.5%; STCG at slab rates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at slab rates; foreign tax withheld (for example, US tax of 25% withheld on dividends to Indian residents under the treaty) is claimed as foreign tax credit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Reporting</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Shares and dividends must be reported in Schedule FA (calendar year basis) and Schedule FSI; missing this can attract the Black Money Act penalty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25: RSUs of a US parent</w:t>
            </w:r>
          </w:p>
          <w:p>
            <w:pPr>
              <w:spacing w:after="60" w:line="260"/>
            </w:pPr>
            <w:r>
              <w:rPr>
                <w:rFonts w:ascii="Verdana" w:cs="Verdana" w:eastAsia="Verdana" w:hAnsi="Verdana"/>
                <w:sz w:val="20"/>
                <w:szCs w:val="20"/>
              </w:rPr>
              <w:t xml:space="preserve">Arun receives 200 RSUs of a US listed parent that vest on 15 June 2026 when the share price is USD 150 and the rupee rate is 84. Perquisite = 200 x 150 x 84 = </w:t>
            </w:r>
            <w:r>
              <w:rPr>
                <w:rFonts w:ascii="Verdana" w:cs="Verdana" w:eastAsia="Verdana" w:hAnsi="Verdana"/>
                <w:b/>
                <w:bCs/>
                <w:sz w:val="20"/>
                <w:szCs w:val="20"/>
              </w:rPr>
              <w:t xml:space="preserve">Rs. 25,20,000</w:t>
            </w:r>
            <w:r>
              <w:rPr>
                <w:rFonts w:ascii="Verdana" w:cs="Verdana" w:eastAsia="Verdana" w:hAnsi="Verdana"/>
                <w:sz w:val="20"/>
                <w:szCs w:val="20"/>
              </w:rPr>
              <w:t xml:space="preserve">, added to salary and subject to TDS. The US broker may sell some shares to cover US withholding only if required; generally no US tax applies on vesting for an Indian resident.</w:t>
            </w:r>
          </w:p>
          <w:p>
            <w:pPr>
              <w:spacing w:after="60" w:line="260"/>
            </w:pPr>
            <w:r>
              <w:rPr>
                <w:rFonts w:ascii="Verdana" w:cs="Verdana" w:eastAsia="Verdana" w:hAnsi="Verdana"/>
                <w:sz w:val="20"/>
                <w:szCs w:val="20"/>
              </w:rPr>
              <w:t xml:space="preserve">He sells the 200 shares on 20 August 2028 at USD 180 (rate 86). Sale value = Rs. 30,96,000. Cost = Rs. 25,20,000. Holding is more than 24 months, so LTCG = </w:t>
            </w:r>
            <w:r>
              <w:rPr>
                <w:rFonts w:ascii="Verdana" w:cs="Verdana" w:eastAsia="Verdana" w:hAnsi="Verdana"/>
                <w:b/>
                <w:bCs/>
                <w:sz w:val="20"/>
                <w:szCs w:val="20"/>
              </w:rPr>
              <w:t xml:space="preserve">Rs. 5,76,000</w:t>
            </w:r>
            <w:r>
              <w:rPr>
                <w:rFonts w:ascii="Verdana" w:cs="Verdana" w:eastAsia="Verdana" w:hAnsi="Verdana"/>
                <w:sz w:val="20"/>
                <w:szCs w:val="20"/>
              </w:rPr>
              <w:t xml:space="preserve">, taxed at 12.5%.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Salary requires an employer and employee relationship; consultants are taxed under business or profession.</w:t>
            </w:r>
          </w:p>
          <w:p>
            <w:pPr>
              <w:spacing w:after="60" w:line="260"/>
            </w:pPr>
            <w:r>
              <w:rPr>
                <w:rFonts w:ascii="Verdana" w:cs="Verdana" w:eastAsia="Verdana" w:hAnsi="Verdana"/>
                <w:sz w:val="20"/>
                <w:szCs w:val="20"/>
              </w:rPr>
              <w:t xml:space="preserve">•  Standard deduction: Rs. 75,000 (new) and Rs. 50,000 (old).</w:t>
            </w:r>
          </w:p>
          <w:p>
            <w:pPr>
              <w:spacing w:after="60" w:line="260"/>
            </w:pPr>
            <w:r>
              <w:rPr>
                <w:rFonts w:ascii="Verdana" w:cs="Verdana" w:eastAsia="Verdana" w:hAnsi="Verdana"/>
                <w:sz w:val="20"/>
                <w:szCs w:val="20"/>
              </w:rPr>
              <w:t xml:space="preserve">•  Rules, 2026 raised allowance limits and added Ahmedabad, Bengaluru, Hyderabad and Pune to the 50% HRA cities.</w:t>
            </w:r>
          </w:p>
          <w:p>
            <w:pPr>
              <w:spacing w:after="60" w:line="260"/>
            </w:pPr>
            <w:r>
              <w:rPr>
                <w:rFonts w:ascii="Verdana" w:cs="Verdana" w:eastAsia="Verdana" w:hAnsi="Verdana"/>
                <w:sz w:val="20"/>
                <w:szCs w:val="20"/>
              </w:rPr>
              <w:t xml:space="preserve">•  Perquisites are valued under the Rules; car, loan, meal and gift values were revised.</w:t>
            </w:r>
          </w:p>
          <w:p>
            <w:pPr>
              <w:spacing w:after="60" w:line="260"/>
            </w:pPr>
            <w:r>
              <w:rPr>
                <w:rFonts w:ascii="Verdana" w:cs="Verdana" w:eastAsia="Verdana" w:hAnsi="Verdana"/>
                <w:sz w:val="20"/>
                <w:szCs w:val="20"/>
              </w:rPr>
              <w:t xml:space="preserve">•  Retirement benefits have specific exemption formulas; employer contributions above Rs. 7.5 lakh are taxable.</w:t>
            </w:r>
          </w:p>
          <w:p>
            <w:pPr>
              <w:spacing w:after="60" w:line="260"/>
            </w:pPr>
            <w:r>
              <w:rPr>
                <w:rFonts w:ascii="Verdana" w:cs="Verdana" w:eastAsia="Verdana" w:hAnsi="Verdana"/>
                <w:sz w:val="20"/>
                <w:szCs w:val="20"/>
              </w:rPr>
              <w:t xml:space="preserve">•  Arrears relief under section 157 requires Form 39 before filing the return.</w:t>
            </w:r>
          </w:p>
        </w:tc>
      </w:tr>
    </w:tbl>
    <w:p>
      <w:pPr>
        <w:pStyle w:val="Heading1"/>
        <w:pageBreakBefore/>
        <w:spacing w:after="200" w:before="0"/>
      </w:pPr>
      <w:r>
        <w:rPr>
          <w:rFonts w:ascii="Verdana" w:cs="Verdana" w:eastAsia="Verdana" w:hAnsi="Verdana"/>
        </w:rPr>
        <w:t xml:space="preserve">8. Income from House Property (Sections 20 to 25)</w:t>
      </w:r>
    </w:p>
    <w:p>
      <w:pPr>
        <w:spacing w:after="120" w:line="276"/>
        <w:jc w:val="both"/>
      </w:pPr>
      <w:r>
        <w:rPr>
          <w:rFonts w:ascii="Verdana" w:cs="Verdana" w:eastAsia="Verdana" w:hAnsi="Verdana"/>
        </w:rPr>
        <w:t xml:space="preserve">Rental income from a building or land attached to it, owned by the taxpayer and not used for his own business, is taxed under this head. If the property is used in the owner's business, there is no income under this head.</w:t>
      </w:r>
    </w:p>
    <w:p>
      <w:pPr>
        <w:pStyle w:val="Heading2"/>
        <w:keepNext/>
        <w:spacing w:after="120" w:before="240"/>
      </w:pPr>
      <w:r>
        <w:rPr>
          <w:rFonts w:ascii="Verdana" w:cs="Verdana" w:eastAsia="Verdana" w:hAnsi="Verdana"/>
        </w:rPr>
        <w:t xml:space="preserve">8.1 The computation (sections 21 and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6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to do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annual value</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Higher of expected rent (municipal value or fair rent, capped by standard rent) and actual rent received or receivable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municipal taxes</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Only if actually paid by the owner during the year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annual value (NAV)</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Result of the above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standard deduction</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of NAV, whatever the actual repairs cost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interest on borrowed capital</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interest for let out property. For self-occupied: up to Rs. 2,00,000 (old regime only). Pre-construction interest in 5 equal instalments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26: Let out flat</w:t>
            </w:r>
          </w:p>
          <w:p>
            <w:pPr>
              <w:spacing w:after="60" w:line="260"/>
            </w:pPr>
            <w:r>
              <w:rPr>
                <w:rFonts w:ascii="Verdana" w:cs="Verdana" w:eastAsia="Verdana" w:hAnsi="Verdana"/>
                <w:sz w:val="20"/>
                <w:szCs w:val="20"/>
              </w:rPr>
              <w:t xml:space="preserve">Mr. Desai lets out a flat in Ahmedabad at Rs. 30,000 per month. He pays municipal tax of Rs. 12,000 and home loan interest of Rs. 2,80,000 in Tax Year 2026-27.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rent (30,000 x 12)</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municipal tax paid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Net annual value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3,48,000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30% standard deduction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(1,04,400)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interest on home loan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(2,80,000)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Loss from house property</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(36,400)</w:t>
            </w:r>
          </w:p>
        </w:tc>
      </w:tr>
    </w:tbl>
    <w:p>
      <w:pPr>
        <w:spacing w:after="60"/>
      </w:pPr>
    </w:p>
    <w:p>
      <w:pPr>
        <w:spacing w:after="120" w:line="276"/>
        <w:jc w:val="both"/>
      </w:pPr>
      <w:r>
        <w:rPr>
          <w:rFonts w:ascii="Verdana" w:cs="Verdana" w:eastAsia="Verdana" w:hAnsi="Verdana"/>
          <w:b/>
          <w:bCs/>
        </w:rPr>
        <w:t xml:space="preserve">Old regime:</w:t>
      </w:r>
      <w:r>
        <w:rPr>
          <w:rFonts w:ascii="Verdana" w:cs="Verdana" w:eastAsia="Verdana" w:hAnsi="Verdana"/>
        </w:rPr>
        <w:t xml:space="preserve"> the loss is set off against salary (limit Rs. 2,00,000 a year against other heads). </w:t>
      </w:r>
      <w:r>
        <w:rPr>
          <w:rFonts w:ascii="Verdana" w:cs="Verdana" w:eastAsia="Verdana" w:hAnsi="Verdana"/>
          <w:b/>
          <w:bCs/>
        </w:rPr>
        <w:t xml:space="preserve">New regime:</w:t>
      </w:r>
      <w:r>
        <w:rPr>
          <w:rFonts w:ascii="Verdana" w:cs="Verdana" w:eastAsia="Verdana" w:hAnsi="Verdana"/>
        </w:rPr>
        <w:t xml:space="preserve"> loss from house property </w:t>
      </w:r>
      <w:r>
        <w:rPr>
          <w:rFonts w:ascii="Verdana" w:cs="Verdana" w:eastAsia="Verdana" w:hAnsi="Verdana"/>
          <w:b/>
          <w:bCs/>
        </w:rPr>
        <w:t xml:space="preserve">cannot be set off against any other head</w:t>
      </w:r>
      <w:r>
        <w:rPr>
          <w:rFonts w:ascii="Verdana" w:cs="Verdana" w:eastAsia="Verdana" w:hAnsi="Verdana"/>
        </w:rPr>
        <w:t xml:space="preserve">, a frequent error in returns.</w:t>
      </w:r>
    </w:p>
    <w:p>
      <w:pPr>
        <w:pStyle w:val="Heading2"/>
        <w:keepNext/>
        <w:spacing w:after="120" w:before="240"/>
      </w:pPr>
      <w:r>
        <w:rPr>
          <w:rFonts w:ascii="Verdana" w:cs="Verdana" w:eastAsia="Verdana" w:hAnsi="Verdana"/>
        </w:rPr>
        <w:t xml:space="preserve">8.2 Self-occupied property</w:t>
      </w:r>
    </w:p>
    <w:p>
      <w:pPr>
        <w:spacing w:after="120" w:line="276"/>
        <w:jc w:val="both"/>
      </w:pPr>
      <w:r>
        <w:rPr>
          <w:rFonts w:ascii="Verdana" w:cs="Verdana" w:eastAsia="Verdana" w:hAnsi="Verdana"/>
        </w:rPr>
        <w:t xml:space="preserve">The annual value of up to two self-occupied houses is nil. In the old regime, interest up to Rs. 2,00,000 is allowed (Rs. 30,000 for certain older loans). In the new regime no interest is allowed on self-occupied property.</w:t>
      </w:r>
    </w:p>
    <w:p>
      <w:pPr>
        <w:pStyle w:val="Heading2"/>
        <w:keepNext/>
        <w:spacing w:after="120" w:before="240"/>
      </w:pPr>
      <w:r>
        <w:rPr>
          <w:rFonts w:ascii="Verdana" w:cs="Verdana" w:eastAsia="Verdana" w:hAnsi="Verdana"/>
        </w:rPr>
        <w:t xml:space="preserve">8.3 Arrears, unrealised rent and co-owners (sections 23 and 24)</w:t>
      </w:r>
    </w:p>
    <w:p>
      <w:pPr>
        <w:spacing w:after="120" w:line="276"/>
        <w:jc w:val="both"/>
      </w:pPr>
      <w:r>
        <w:rPr>
          <w:rFonts w:ascii="Verdana" w:cs="Verdana" w:eastAsia="Verdana" w:hAnsi="Verdana"/>
        </w:rPr>
        <w:t xml:space="preserve">Arrears of rent or unrealised rent received later are taxed in the year of receipt after a deduction of 30%, even if the person no longer owns the property. Where co-owners have definite shares, each is taxed on his share and each can claim his own interest limit on a self-occupied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27: Arrears</w:t>
            </w:r>
          </w:p>
          <w:p>
            <w:pPr>
              <w:spacing w:after="60" w:line="260"/>
            </w:pPr>
            <w:r>
              <w:rPr>
                <w:rFonts w:ascii="Verdana" w:cs="Verdana" w:eastAsia="Verdana" w:hAnsi="Verdana"/>
                <w:sz w:val="20"/>
                <w:szCs w:val="20"/>
              </w:rPr>
              <w:t xml:space="preserve">An old tenant pays Rs. 50,000 of pending rent in January 2027. Taxable in Tax Year 2026-27 = 50,000 less 30% = </w:t>
            </w:r>
            <w:r>
              <w:rPr>
                <w:rFonts w:ascii="Verdana" w:cs="Verdana" w:eastAsia="Verdana" w:hAnsi="Verdana"/>
                <w:b/>
                <w:bCs/>
                <w:sz w:val="20"/>
                <w:szCs w:val="20"/>
              </w:rPr>
              <w:t xml:space="preserve">Rs. 35,000</w:t>
            </w:r>
            <w:r>
              <w:rPr>
                <w:rFonts w:ascii="Verdana" w:cs="Verdana" w:eastAsia="Verdana" w:hAnsi="Verdana"/>
                <w:sz w:val="20"/>
                <w:szCs w:val="20"/>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Rent received from letting a commercial complex along with services (such as a business centre) may be business income rather than house property income. Look at the main intention and the nature of the activity, and document it.</w:t>
            </w:r>
          </w:p>
        </w:tc>
      </w:tr>
    </w:tbl>
    <w:p>
      <w:pPr>
        <w:spacing w:after="60"/>
      </w:pPr>
    </w:p>
    <w:p>
      <w:pPr>
        <w:pStyle w:val="Heading2"/>
        <w:keepNext/>
        <w:spacing w:after="120" w:before="240"/>
      </w:pPr>
      <w:r>
        <w:rPr>
          <w:rFonts w:ascii="Verdana" w:cs="Verdana" w:eastAsia="Verdana" w:hAnsi="Verdana"/>
        </w:rPr>
        <w:t xml:space="preserve">8.4 Who is the owner?</w:t>
      </w:r>
    </w:p>
    <w:p>
      <w:pPr>
        <w:spacing w:after="120" w:line="276"/>
        <w:jc w:val="both"/>
      </w:pPr>
      <w:r>
        <w:rPr>
          <w:rFonts w:ascii="Verdana" w:cs="Verdana" w:eastAsia="Verdana" w:hAnsi="Verdana"/>
        </w:rPr>
        <w:t xml:space="preserve">Tax under this head is on the owner. Besides the legal owner, the Act treats some persons as </w:t>
      </w:r>
      <w:r>
        <w:rPr>
          <w:rFonts w:ascii="Verdana" w:cs="Verdana" w:eastAsia="Verdana" w:hAnsi="Verdana"/>
          <w:b/>
          <w:bCs/>
        </w:rPr>
        <w:t xml:space="preserve">deemed owners</w:t>
      </w:r>
      <w:r>
        <w:rPr>
          <w:rFonts w:ascii="Verdana" w:cs="Verdana" w:eastAsia="Verdana" w:hAnsi="Verdana"/>
        </w:rPr>
        <w:t xml:space="preserve">:</w:t>
      </w:r>
    </w:p>
    <w:p>
      <w:pPr>
        <w:pStyle w:val="ListParagraph"/>
        <w:numPr>
          <w:ilvl w:val="0"/>
          <w:numId w:val="2"/>
        </w:numPr>
        <w:spacing w:after="60" w:line="264"/>
      </w:pPr>
      <w:r>
        <w:rPr>
          <w:rFonts w:ascii="Verdana" w:cs="Verdana" w:eastAsia="Verdana" w:hAnsi="Verdana"/>
        </w:rPr>
        <w:t xml:space="preserve">An individual who transfers a house to his spouse (other than under an agreement to live apart) or to a minor child (other than a married daughter) without adequate consideration.</w:t>
      </w:r>
    </w:p>
    <w:p>
      <w:pPr>
        <w:pStyle w:val="ListParagraph"/>
        <w:numPr>
          <w:ilvl w:val="0"/>
          <w:numId w:val="2"/>
        </w:numPr>
        <w:spacing w:after="60" w:line="264"/>
      </w:pPr>
      <w:r>
        <w:rPr>
          <w:rFonts w:ascii="Verdana" w:cs="Verdana" w:eastAsia="Verdana" w:hAnsi="Verdana"/>
        </w:rPr>
        <w:t xml:space="preserve">The holder of an impartible estate.</w:t>
      </w:r>
    </w:p>
    <w:p>
      <w:pPr>
        <w:pStyle w:val="ListParagraph"/>
        <w:numPr>
          <w:ilvl w:val="0"/>
          <w:numId w:val="2"/>
        </w:numPr>
        <w:spacing w:after="60" w:line="264"/>
      </w:pPr>
      <w:r>
        <w:rPr>
          <w:rFonts w:ascii="Verdana" w:cs="Verdana" w:eastAsia="Verdana" w:hAnsi="Verdana"/>
        </w:rPr>
        <w:t xml:space="preserve">A member of a co-operative society or company who is allotted a flat under a house building scheme.</w:t>
      </w:r>
    </w:p>
    <w:p>
      <w:pPr>
        <w:pStyle w:val="ListParagraph"/>
        <w:numPr>
          <w:ilvl w:val="0"/>
          <w:numId w:val="2"/>
        </w:numPr>
        <w:spacing w:after="60" w:line="264"/>
      </w:pPr>
      <w:r>
        <w:rPr>
          <w:rFonts w:ascii="Verdana" w:cs="Verdana" w:eastAsia="Verdana" w:hAnsi="Verdana"/>
        </w:rPr>
        <w:t xml:space="preserve">A person who takes possession under part performance of a contract (section 53A of the Transfer of Property Act) after paying consideration.</w:t>
      </w:r>
    </w:p>
    <w:p>
      <w:pPr>
        <w:pStyle w:val="ListParagraph"/>
        <w:numPr>
          <w:ilvl w:val="0"/>
          <w:numId w:val="2"/>
        </w:numPr>
        <w:spacing w:after="60" w:line="264"/>
      </w:pPr>
      <w:r>
        <w:rPr>
          <w:rFonts w:ascii="Verdana" w:cs="Verdana" w:eastAsia="Verdana" w:hAnsi="Verdana"/>
        </w:rPr>
        <w:t xml:space="preserve">A person who acquires property under a lease of 12 years or more (other than month to month or yearly 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Meaning of owner</w:t>
            </w:r>
          </w:p>
          <w:p>
            <w:pPr>
              <w:spacing w:after="60" w:line="260"/>
            </w:pPr>
            <w:r>
              <w:rPr>
                <w:rFonts w:ascii="Verdana" w:cs="Verdana" w:eastAsia="Verdana" w:hAnsi="Verdana"/>
                <w:b/>
                <w:bCs/>
                <w:sz w:val="20"/>
                <w:szCs w:val="20"/>
              </w:rPr>
              <w:t xml:space="preserve">CIT v. Podar Cement (P) Ltd. (Supreme Court, 1997):</w:t>
            </w:r>
            <w:r>
              <w:rPr>
                <w:rFonts w:ascii="Verdana" w:cs="Verdana" w:eastAsia="Verdana" w:hAnsi="Verdana"/>
                <w:sz w:val="20"/>
                <w:szCs w:val="20"/>
              </w:rPr>
              <w:t xml:space="preserve"> the owner for this head is the person entitled to receive the income from the property in his own right. A person who has paid the price and taken possession is the owner for tax purposes even if the registered conveyance is not yet executed.</w:t>
            </w:r>
          </w:p>
        </w:tc>
      </w:tr>
    </w:tbl>
    <w:p>
      <w:pPr>
        <w:spacing w:after="60"/>
      </w:pPr>
    </w:p>
    <w:p>
      <w:pPr>
        <w:pStyle w:val="Heading2"/>
        <w:keepNext/>
        <w:spacing w:after="120" w:before="240"/>
      </w:pPr>
      <w:r>
        <w:rPr>
          <w:rFonts w:ascii="Verdana" w:cs="Verdana" w:eastAsia="Verdana" w:hAnsi="Verdana"/>
        </w:rPr>
        <w:t xml:space="preserve">8.5 Gross annual value step by step</w:t>
      </w:r>
    </w:p>
    <w:p>
      <w:pPr>
        <w:spacing w:after="120" w:line="276"/>
        <w:jc w:val="both"/>
      </w:pPr>
      <w:r>
        <w:rPr>
          <w:rFonts w:ascii="Verdana" w:cs="Verdana" w:eastAsia="Verdana" w:hAnsi="Verdana"/>
        </w:rPr>
        <w:t xml:space="preserve">The annual value is determined in three stages:</w:t>
      </w:r>
    </w:p>
    <w:p>
      <w:pPr>
        <w:pStyle w:val="ListParagraph"/>
        <w:numPr>
          <w:ilvl w:val="0"/>
          <w:numId w:val="2"/>
        </w:numPr>
        <w:spacing w:after="60" w:line="264"/>
      </w:pPr>
      <w:r>
        <w:rPr>
          <w:rFonts w:ascii="Verdana" w:cs="Verdana" w:eastAsia="Verdana" w:hAnsi="Verdana"/>
          <w:b/>
          <w:bCs/>
        </w:rPr>
        <w:t xml:space="preserve">Expected rent:</w:t>
      </w:r>
      <w:r>
        <w:rPr>
          <w:rFonts w:ascii="Verdana" w:cs="Verdana" w:eastAsia="Verdana" w:hAnsi="Verdana"/>
        </w:rPr>
        <w:t xml:space="preserve"> the higher of municipal valuation and fair rent, but not more than the standard rent under a rent control law.</w:t>
      </w:r>
    </w:p>
    <w:p>
      <w:pPr>
        <w:pStyle w:val="ListParagraph"/>
        <w:numPr>
          <w:ilvl w:val="0"/>
          <w:numId w:val="2"/>
        </w:numPr>
        <w:spacing w:after="60" w:line="264"/>
      </w:pPr>
      <w:r>
        <w:rPr>
          <w:rFonts w:ascii="Verdana" w:cs="Verdana" w:eastAsia="Verdana" w:hAnsi="Verdana"/>
          <w:b/>
          <w:bCs/>
        </w:rPr>
        <w:t xml:space="preserve">Actual rent</w:t>
      </w:r>
      <w:r>
        <w:rPr>
          <w:rFonts w:ascii="Verdana" w:cs="Verdana" w:eastAsia="Verdana" w:hAnsi="Verdana"/>
        </w:rPr>
        <w:t xml:space="preserve"> received or receivable for the let out period, after reducing unrealised rent if the prescribed conditions are met (tenancy bona fide, defaulting tenant has vacated or steps taken to vacate, tenant not occupying another property of the owner, legal steps taken or reasonable grounds).</w:t>
      </w:r>
    </w:p>
    <w:p>
      <w:pPr>
        <w:pStyle w:val="ListParagraph"/>
        <w:numPr>
          <w:ilvl w:val="0"/>
          <w:numId w:val="2"/>
        </w:numPr>
        <w:spacing w:after="60" w:line="264"/>
      </w:pPr>
      <w:r>
        <w:rPr>
          <w:rFonts w:ascii="Verdana" w:cs="Verdana" w:eastAsia="Verdana" w:hAnsi="Verdana"/>
          <w:b/>
          <w:bCs/>
        </w:rPr>
        <w:t xml:space="preserve">Gross annual value:</w:t>
      </w:r>
      <w:r>
        <w:rPr>
          <w:rFonts w:ascii="Verdana" w:cs="Verdana" w:eastAsia="Verdana" w:hAnsi="Verdana"/>
        </w:rPr>
        <w:t xml:space="preserve"> higher of expected rent and actual rent; but if actual rent is lower because of vacancy, actual rent is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28: Vacancy</w:t>
            </w:r>
          </w:p>
          <w:p>
            <w:pPr>
              <w:spacing w:after="60" w:line="260"/>
            </w:pPr>
            <w:r>
              <w:rPr>
                <w:rFonts w:ascii="Verdana" w:cs="Verdana" w:eastAsia="Verdana" w:hAnsi="Verdana"/>
                <w:sz w:val="20"/>
                <w:szCs w:val="20"/>
              </w:rPr>
              <w:t xml:space="preserve">A flat has municipal value Rs. 3,00,000, fair rent Rs. 3,60,000, standard rent not applicable. It was let at Rs. 35,000 a month but remained vacant for 3 months. Expected rent = Rs. 3,60,000. Actual rent = 35,000 x 9 = Rs. 3,15,000. Actual rent is lower only because of vacancy, so </w:t>
            </w:r>
            <w:r>
              <w:rPr>
                <w:rFonts w:ascii="Verdana" w:cs="Verdana" w:eastAsia="Verdana" w:hAnsi="Verdana"/>
                <w:b/>
                <w:bCs/>
                <w:sz w:val="20"/>
                <w:szCs w:val="20"/>
              </w:rPr>
              <w:t xml:space="preserve">gross annual value = Rs. 3,15,000</w:t>
            </w:r>
            <w:r>
              <w:rPr>
                <w:rFonts w:ascii="Verdana" w:cs="Verdana" w:eastAsia="Verdana" w:hAnsi="Verdana"/>
                <w:sz w:val="20"/>
                <w:szCs w:val="20"/>
              </w:rPr>
              <w:t xml:space="preserve">.</w:t>
            </w:r>
          </w:p>
        </w:tc>
      </w:tr>
    </w:tbl>
    <w:p>
      <w:pPr>
        <w:spacing w:after="60"/>
      </w:pPr>
    </w:p>
    <w:p>
      <w:pPr>
        <w:pStyle w:val="Heading2"/>
        <w:keepNext/>
        <w:spacing w:after="120" w:before="240"/>
      </w:pPr>
      <w:r>
        <w:rPr>
          <w:rFonts w:ascii="Verdana" w:cs="Verdana" w:eastAsia="Verdana" w:hAnsi="Verdana"/>
        </w:rPr>
        <w:t xml:space="preserve">8.6 Pre-construction interest</w:t>
      </w:r>
    </w:p>
    <w:p>
      <w:pPr>
        <w:spacing w:after="120" w:line="276"/>
        <w:jc w:val="both"/>
      </w:pPr>
      <w:r>
        <w:rPr>
          <w:rFonts w:ascii="Verdana" w:cs="Verdana" w:eastAsia="Verdana" w:hAnsi="Verdana"/>
        </w:rPr>
        <w:t xml:space="preserve">Interest on a loan taken for acquisition or construction, for the period before the year in which construction is completed, is allowed in </w:t>
      </w:r>
      <w:r>
        <w:rPr>
          <w:rFonts w:ascii="Verdana" w:cs="Verdana" w:eastAsia="Verdana" w:hAnsi="Verdana"/>
          <w:b/>
          <w:bCs/>
        </w:rPr>
        <w:t xml:space="preserve">five equal instalments</w:t>
      </w:r>
      <w:r>
        <w:rPr>
          <w:rFonts w:ascii="Verdana" w:cs="Verdana" w:eastAsia="Verdana" w:hAnsi="Verdana"/>
        </w:rPr>
        <w:t xml:space="preserve"> starting from the year of completion. The pre-construction period begins on the date of borrowing and ends on 31 March before the year of completion. For self-occupied property in the old regime, the total of current and pre-construction interest is within the Rs. 2,00,000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29: Pre-construction interest</w:t>
            </w:r>
          </w:p>
          <w:p>
            <w:pPr>
              <w:spacing w:after="60" w:line="260"/>
            </w:pPr>
            <w:r>
              <w:rPr>
                <w:rFonts w:ascii="Verdana" w:cs="Verdana" w:eastAsia="Verdana" w:hAnsi="Verdana"/>
                <w:sz w:val="20"/>
                <w:szCs w:val="20"/>
              </w:rPr>
              <w:t xml:space="preserve">Nitin borrows Rs. 40 lakh at 9% on 1 July 2023 to construct a house, completed on 15 August 2026. He lets it out from September 2026.</w:t>
            </w:r>
          </w:p>
          <w:p>
            <w:pPr>
              <w:spacing w:after="60" w:line="260"/>
            </w:pPr>
            <w:r>
              <w:rPr>
                <w:rFonts w:ascii="Verdana" w:cs="Verdana" w:eastAsia="Verdana" w:hAnsi="Verdana"/>
                <w:sz w:val="20"/>
                <w:szCs w:val="20"/>
              </w:rPr>
              <w:t xml:space="preserve">Pre-construction period: 1 July 2023 to 31 March 2026 = 33 months. Interest = 40,00,000 x 9% x 33/12 = Rs. 9,90,000. One fifth = </w:t>
            </w:r>
            <w:r>
              <w:rPr>
                <w:rFonts w:ascii="Verdana" w:cs="Verdana" w:eastAsia="Verdana" w:hAnsi="Verdana"/>
                <w:b/>
                <w:bCs/>
                <w:sz w:val="20"/>
                <w:szCs w:val="20"/>
              </w:rPr>
              <w:t xml:space="preserve">Rs. 1,98,000</w:t>
            </w:r>
            <w:r>
              <w:rPr>
                <w:rFonts w:ascii="Verdana" w:cs="Verdana" w:eastAsia="Verdana" w:hAnsi="Verdana"/>
                <w:sz w:val="20"/>
                <w:szCs w:val="20"/>
              </w:rPr>
              <w:t xml:space="preserve"> a year for Tax Years 2026-27 to 2030-31.</w:t>
            </w:r>
          </w:p>
          <w:p>
            <w:pPr>
              <w:spacing w:after="60" w:line="260"/>
            </w:pPr>
            <w:r>
              <w:rPr>
                <w:rFonts w:ascii="Verdana" w:cs="Verdana" w:eastAsia="Verdana" w:hAnsi="Verdana"/>
                <w:sz w:val="20"/>
                <w:szCs w:val="20"/>
              </w:rPr>
              <w:t xml:space="preserve">Current year interest for Tax Year 2026-27 = Rs. 3,60,000. Total interest deduction = </w:t>
            </w:r>
            <w:r>
              <w:rPr>
                <w:rFonts w:ascii="Verdana" w:cs="Verdana" w:eastAsia="Verdana" w:hAnsi="Verdana"/>
                <w:b/>
                <w:bCs/>
                <w:sz w:val="20"/>
                <w:szCs w:val="20"/>
              </w:rPr>
              <w:t xml:space="preserve">Rs. 5,58,000</w:t>
            </w:r>
            <w:r>
              <w:rPr>
                <w:rFonts w:ascii="Verdana" w:cs="Verdana" w:eastAsia="Verdana" w:hAnsi="Verdana"/>
                <w:sz w:val="20"/>
                <w:szCs w:val="20"/>
              </w:rPr>
              <w:t xml:space="preserve"> (let out property, so no cap on the deduction; the resulting loss can be set off against other heads only up to Rs. 2 lakh in the old regime).</w:t>
            </w:r>
          </w:p>
        </w:tc>
      </w:tr>
    </w:tbl>
    <w:p>
      <w:pPr>
        <w:spacing w:after="60"/>
      </w:pPr>
    </w:p>
    <w:p>
      <w:pPr>
        <w:pStyle w:val="Heading2"/>
        <w:keepNext/>
        <w:spacing w:after="120" w:before="240"/>
      </w:pPr>
      <w:r>
        <w:rPr>
          <w:rFonts w:ascii="Verdana" w:cs="Verdana" w:eastAsia="Verdana" w:hAnsi="Verdana"/>
        </w:rPr>
        <w:t xml:space="preserve">8.7 Unsold flats held as stock-in-trade</w:t>
      </w:r>
    </w:p>
    <w:p>
      <w:pPr>
        <w:spacing w:after="120" w:line="276"/>
        <w:jc w:val="both"/>
      </w:pPr>
      <w:r>
        <w:rPr>
          <w:rFonts w:ascii="Verdana" w:cs="Verdana" w:eastAsia="Verdana" w:hAnsi="Verdana"/>
        </w:rPr>
        <w:t xml:space="preserve">Builders holding completed flats as stock-in-trade do not pay tax on notional rent for </w:t>
      </w:r>
      <w:r>
        <w:rPr>
          <w:rFonts w:ascii="Verdana" w:cs="Verdana" w:eastAsia="Verdana" w:hAnsi="Verdana"/>
          <w:b/>
          <w:bCs/>
        </w:rPr>
        <w:t xml:space="preserve">two years</w:t>
      </w:r>
      <w:r>
        <w:rPr>
          <w:rFonts w:ascii="Verdana" w:cs="Verdana" w:eastAsia="Verdana" w:hAnsi="Verdana"/>
        </w:rPr>
        <w:t xml:space="preserve"> from the end of the year in which the completion certificate is obtained. After that, the annual value of unsold flats is taxed under this head even if they are not let out.</w:t>
      </w:r>
    </w:p>
    <w:p>
      <w:pPr>
        <w:pStyle w:val="Heading2"/>
        <w:keepNext/>
        <w:spacing w:after="120" w:before="240"/>
      </w:pPr>
      <w:r>
        <w:rPr>
          <w:rFonts w:ascii="Verdana" w:cs="Verdana" w:eastAsia="Verdana" w:hAnsi="Verdana"/>
        </w:rPr>
        <w:t xml:space="preserve">8.8 Composite rent and business use</w:t>
      </w:r>
    </w:p>
    <w:p>
      <w:pPr>
        <w:spacing w:after="120" w:line="276"/>
        <w:jc w:val="both"/>
      </w:pPr>
      <w:r>
        <w:rPr>
          <w:rFonts w:ascii="Verdana" w:cs="Verdana" w:eastAsia="Verdana" w:hAnsi="Verdana"/>
        </w:rPr>
        <w:t xml:space="preserve">Where a building is let along with furniture, machinery or services and the lettings are inseparable, the entire rent is taxed as business income or other sources. If separable, the building portion is house property and the rest is other income. Property used for the owner's own business or profession is not taxed under this head at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House property or business income</w:t>
            </w:r>
          </w:p>
          <w:p>
            <w:pPr>
              <w:spacing w:after="60" w:line="260"/>
            </w:pPr>
            <w:r>
              <w:rPr>
                <w:rFonts w:ascii="Verdana" w:cs="Verdana" w:eastAsia="Verdana" w:hAnsi="Verdana"/>
                <w:b/>
                <w:bCs/>
                <w:sz w:val="20"/>
                <w:szCs w:val="20"/>
              </w:rPr>
              <w:t xml:space="preserve">Sultan Brothers (P) Ltd. v. CIT (Supreme Court, 1964):</w:t>
            </w:r>
            <w:r>
              <w:rPr>
                <w:rFonts w:ascii="Verdana" w:cs="Verdana" w:eastAsia="Verdana" w:hAnsi="Verdana"/>
                <w:sz w:val="20"/>
                <w:szCs w:val="20"/>
              </w:rPr>
              <w:t xml:space="preserve"> where a building is let along with furniture and fittings and the lettings are inseparable, the income is not taxed as house property income but as business income or other sources.</w:t>
            </w:r>
          </w:p>
          <w:p>
            <w:pPr>
              <w:spacing w:after="60" w:line="260"/>
            </w:pPr>
            <w:r>
              <w:rPr>
                <w:rFonts w:ascii="Verdana" w:cs="Verdana" w:eastAsia="Verdana" w:hAnsi="Verdana"/>
                <w:b/>
                <w:bCs/>
                <w:sz w:val="20"/>
                <w:szCs w:val="20"/>
              </w:rPr>
              <w:t xml:space="preserve">Shambhu Investment (P) Ltd. v. CIT (Supreme Court, 2003):</w:t>
            </w:r>
            <w:r>
              <w:rPr>
                <w:rFonts w:ascii="Verdana" w:cs="Verdana" w:eastAsia="Verdana" w:hAnsi="Verdana"/>
                <w:sz w:val="20"/>
                <w:szCs w:val="20"/>
              </w:rPr>
              <w:t xml:space="preserve"> where the primary object is to earn rent from letting the property, the income is house property income even if some facilities are provided.</w:t>
            </w:r>
          </w:p>
          <w:p>
            <w:pPr>
              <w:spacing w:after="60" w:line="260"/>
            </w:pPr>
            <w:r>
              <w:rPr>
                <w:rFonts w:ascii="Verdana" w:cs="Verdana" w:eastAsia="Verdana" w:hAnsi="Verdana"/>
                <w:b/>
                <w:bCs/>
                <w:sz w:val="20"/>
                <w:szCs w:val="20"/>
              </w:rPr>
              <w:t xml:space="preserve">Chennai Properties and Investments Ltd. v. CIT (Supreme Court, 2015):</w:t>
            </w:r>
            <w:r>
              <w:rPr>
                <w:rFonts w:ascii="Verdana" w:cs="Verdana" w:eastAsia="Verdana" w:hAnsi="Verdana"/>
                <w:sz w:val="20"/>
                <w:szCs w:val="20"/>
              </w:rPr>
              <w:t xml:space="preserve"> where letting of properties is the main business of a company, the rent can be business income. In </w:t>
            </w:r>
            <w:r>
              <w:rPr>
                <w:rFonts w:ascii="Verdana" w:cs="Verdana" w:eastAsia="Verdana" w:hAnsi="Verdana"/>
                <w:b/>
                <w:bCs/>
                <w:sz w:val="20"/>
                <w:szCs w:val="20"/>
              </w:rPr>
              <w:t xml:space="preserve">Raj Dadarkar and Associates v. ACIT (Supreme Court, 2017)</w:t>
            </w:r>
            <w:r>
              <w:rPr>
                <w:rFonts w:ascii="Verdana" w:cs="Verdana" w:eastAsia="Verdana" w:hAnsi="Verdana"/>
                <w:sz w:val="20"/>
                <w:szCs w:val="20"/>
              </w:rPr>
              <w:t xml:space="preserve">, the Court stressed that the answer depends on the facts of each case, and held the income to be house property income on the facts.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For clients claiming home loan interest in the old regime, obtain the lender's certificate showing principal and interest separately, and the completion or possession certificate. For loans from friends or relatives, keep the lender's confirmation with PAN; interest paid is also subject to TDS if the payer is required to deduct.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Taxable on the owner, including deemed owners.</w:t>
            </w:r>
          </w:p>
          <w:p>
            <w:pPr>
              <w:spacing w:after="60" w:line="260"/>
            </w:pPr>
            <w:r>
              <w:rPr>
                <w:rFonts w:ascii="Verdana" w:cs="Verdana" w:eastAsia="Verdana" w:hAnsi="Verdana"/>
                <w:sz w:val="20"/>
                <w:szCs w:val="20"/>
              </w:rPr>
              <w:t xml:space="preserve">•  Gross annual value, less municipal taxes, less 30% standard deduction, less interest.</w:t>
            </w:r>
          </w:p>
          <w:p>
            <w:pPr>
              <w:spacing w:after="60" w:line="260"/>
            </w:pPr>
            <w:r>
              <w:rPr>
                <w:rFonts w:ascii="Verdana" w:cs="Verdana" w:eastAsia="Verdana" w:hAnsi="Verdana"/>
                <w:sz w:val="20"/>
                <w:szCs w:val="20"/>
              </w:rPr>
              <w:t xml:space="preserve">•  Self-occupied: nil annual value; interest up to Rs. 2 lakh only in the old regime.</w:t>
            </w:r>
          </w:p>
          <w:p>
            <w:pPr>
              <w:spacing w:after="60" w:line="260"/>
            </w:pPr>
            <w:r>
              <w:rPr>
                <w:rFonts w:ascii="Verdana" w:cs="Verdana" w:eastAsia="Verdana" w:hAnsi="Verdana"/>
                <w:sz w:val="20"/>
                <w:szCs w:val="20"/>
              </w:rPr>
              <w:t xml:space="preserve">•  Pre-construction interest is allowed in five instalments.</w:t>
            </w:r>
          </w:p>
          <w:p>
            <w:pPr>
              <w:spacing w:after="60" w:line="260"/>
            </w:pPr>
            <w:r>
              <w:rPr>
                <w:rFonts w:ascii="Verdana" w:cs="Verdana" w:eastAsia="Verdana" w:hAnsi="Verdana"/>
                <w:sz w:val="20"/>
                <w:szCs w:val="20"/>
              </w:rPr>
              <w:t xml:space="preserve">•  House property loss: Rs. 2 lakh set off in old regime; no set off against other heads in the new regime.</w:t>
            </w:r>
          </w:p>
        </w:tc>
      </w:tr>
    </w:tbl>
    <w:p>
      <w:pPr>
        <w:pStyle w:val="Heading1"/>
        <w:pageBreakBefore/>
        <w:spacing w:after="200" w:before="0"/>
      </w:pPr>
      <w:r>
        <w:rPr>
          <w:rFonts w:ascii="Verdana" w:cs="Verdana" w:eastAsia="Verdana" w:hAnsi="Verdana"/>
        </w:rPr>
        <w:t xml:space="preserve">9. Profits and Gains of Business or Profession (Sections 26 to 66)</w:t>
      </w:r>
    </w:p>
    <w:p>
      <w:pPr>
        <w:spacing w:after="120" w:line="276"/>
        <w:jc w:val="both"/>
      </w:pPr>
      <w:r>
        <w:rPr>
          <w:rFonts w:ascii="Verdana" w:cs="Verdana" w:eastAsia="Verdana" w:hAnsi="Verdana"/>
        </w:rPr>
        <w:t xml:space="preserve">This is the largest head and the one professionals work with most. The approach is unchanged: start from the profit in the books, add back what the Act does not allow, deduct what the Act allows but the books do not show, and arrive at taxable business income.</w:t>
      </w:r>
    </w:p>
    <w:p>
      <w:pPr>
        <w:pStyle w:val="Heading2"/>
        <w:keepNext/>
        <w:spacing w:after="120" w:before="240"/>
      </w:pPr>
      <w:r>
        <w:rPr>
          <w:rFonts w:ascii="Verdana" w:cs="Verdana" w:eastAsia="Verdana" w:hAnsi="Verdana"/>
        </w:rPr>
        <w:t xml:space="preserve">9.1 Map of the PGBP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8"/>
        <w:gridCol w:w="1700"/>
        <w:gridCol w:w="2900"/>
      </w:tblGrid>
      <w:tr>
        <w:trPr>
          <w:cantSplit/>
          <w:tblHeader/>
        </w:trPr>
        <w:tc>
          <w:tcPr>
            <w:tcW w:type="dxa" w:w="5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Topic</w:t>
            </w:r>
          </w:p>
        </w:tc>
        <w:tc>
          <w:tcPr>
            <w:tcW w:type="dxa" w:w="1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section</w:t>
            </w:r>
          </w:p>
        </w:tc>
        <w:tc>
          <w:tcPr>
            <w:tcW w:type="dxa" w:w="2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section</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Charging section: what is business income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Manner of computing (subject to other provisions)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rates, taxes, repairs and insurance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30, 31</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Employee welfare: PF, gratuity, superannuation, bonus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36(1)(ib), (ii), (iv), (iva), (v), (va), 40A(9)</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 premia (cattle, health of employees)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36(1)(i), (ib)</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Bad debts and provision for bad debts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36(1)(vii), (viia)</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deductions: interest on borrowed capital, discount on ZCB, etc.</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32</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deduction (residual)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Amounts not deductible (TDS default, income tax, partner payments)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Payments not deductible (related party excess, cash, provisions)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40A</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 only on actual payment (incl. MSME dues)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43B</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profits (remission of liability, recovery)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38</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41</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cost and written down value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39, 41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43(1), 43(6)</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Preliminary expenses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35D</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Scientific research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expenditure of specified business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46</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35AD</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Amortisation: amalgamation, demerger, VRS expenses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35DD, 35DDA</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Stock-in-trade land or building sold below stamp value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43CA</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Construction and service contracts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57</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43CB</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taxation for residents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58</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44AD, 44ADA, 44AE</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and FTS of non-residents; head office expenses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59, 60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44DA, 44C</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taxation for non-residents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44B, 44BB, 44BBA, 44BBB etc.</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Books of account / Tax audit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62 / 63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44AA / 44AB</w:t>
            </w:r>
          </w:p>
        </w:tc>
      </w:tr>
    </w:tbl>
    <w:p>
      <w:pPr>
        <w:spacing w:after="60"/>
      </w:pPr>
    </w:p>
    <w:p>
      <w:pPr>
        <w:pStyle w:val="Heading2"/>
        <w:keepNext/>
        <w:spacing w:after="120" w:before="240"/>
      </w:pPr>
      <w:r>
        <w:rPr>
          <w:rFonts w:ascii="Verdana" w:cs="Verdana" w:eastAsia="Verdana" w:hAnsi="Verdana"/>
        </w:rPr>
        <w:t xml:space="preserve">9.2 What is taxable as business income (section 26)</w:t>
      </w:r>
    </w:p>
    <w:p>
      <w:pPr>
        <w:pStyle w:val="ListParagraph"/>
        <w:numPr>
          <w:ilvl w:val="0"/>
          <w:numId w:val="2"/>
        </w:numPr>
        <w:spacing w:after="60" w:line="264"/>
      </w:pPr>
      <w:r>
        <w:rPr>
          <w:rFonts w:ascii="Verdana" w:cs="Verdana" w:eastAsia="Verdana" w:hAnsi="Verdana"/>
        </w:rPr>
        <w:t xml:space="preserve">Profits of any business or profession carried on during the tax year.</w:t>
      </w:r>
    </w:p>
    <w:p>
      <w:pPr>
        <w:pStyle w:val="ListParagraph"/>
        <w:numPr>
          <w:ilvl w:val="0"/>
          <w:numId w:val="2"/>
        </w:numPr>
        <w:spacing w:after="60" w:line="264"/>
      </w:pPr>
      <w:r>
        <w:rPr>
          <w:rFonts w:ascii="Verdana" w:cs="Verdana" w:eastAsia="Verdana" w:hAnsi="Verdana"/>
        </w:rPr>
        <w:t xml:space="preserve">Compensation on termination or modification of a business contract or agency.</w:t>
      </w:r>
    </w:p>
    <w:p>
      <w:pPr>
        <w:pStyle w:val="ListParagraph"/>
        <w:numPr>
          <w:ilvl w:val="0"/>
          <w:numId w:val="2"/>
        </w:numPr>
        <w:spacing w:after="60" w:line="264"/>
      </w:pPr>
      <w:r>
        <w:rPr>
          <w:rFonts w:ascii="Verdana" w:cs="Verdana" w:eastAsia="Verdana" w:hAnsi="Verdana"/>
        </w:rPr>
        <w:t xml:space="preserve">Income of a trade or professional association from specific services to members.</w:t>
      </w:r>
    </w:p>
    <w:p>
      <w:pPr>
        <w:pStyle w:val="ListParagraph"/>
        <w:numPr>
          <w:ilvl w:val="0"/>
          <w:numId w:val="2"/>
        </w:numPr>
        <w:spacing w:after="60" w:line="264"/>
      </w:pPr>
      <w:r>
        <w:rPr>
          <w:rFonts w:ascii="Verdana" w:cs="Verdana" w:eastAsia="Verdana" w:hAnsi="Verdana"/>
        </w:rPr>
        <w:t xml:space="preserve">Export incentives such as duty drawback and similar benefits.</w:t>
      </w:r>
    </w:p>
    <w:p>
      <w:pPr>
        <w:pStyle w:val="ListParagraph"/>
        <w:numPr>
          <w:ilvl w:val="0"/>
          <w:numId w:val="2"/>
        </w:numPr>
        <w:spacing w:after="60" w:line="264"/>
      </w:pPr>
      <w:r>
        <w:rPr>
          <w:rFonts w:ascii="Verdana" w:cs="Verdana" w:eastAsia="Verdana" w:hAnsi="Verdana"/>
        </w:rPr>
        <w:t xml:space="preserve">Value of any benefit or perquisite arising from business, whether convertible into money or not (for example, a car gifted by a supplier to a dealer).</w:t>
      </w:r>
    </w:p>
    <w:p>
      <w:pPr>
        <w:pStyle w:val="ListParagraph"/>
        <w:numPr>
          <w:ilvl w:val="0"/>
          <w:numId w:val="2"/>
        </w:numPr>
        <w:spacing w:after="60" w:line="264"/>
      </w:pPr>
      <w:r>
        <w:rPr>
          <w:rFonts w:ascii="Verdana" w:cs="Verdana" w:eastAsia="Verdana" w:hAnsi="Verdana"/>
        </w:rPr>
        <w:t xml:space="preserve">Interest, salary, bonus, commission or remuneration received by a partner from the firm (to the extent allowed to the firm).</w:t>
      </w:r>
    </w:p>
    <w:p>
      <w:pPr>
        <w:pStyle w:val="ListParagraph"/>
        <w:numPr>
          <w:ilvl w:val="0"/>
          <w:numId w:val="2"/>
        </w:numPr>
        <w:spacing w:after="60" w:line="264"/>
      </w:pPr>
      <w:r>
        <w:rPr>
          <w:rFonts w:ascii="Verdana" w:cs="Verdana" w:eastAsia="Verdana" w:hAnsi="Verdana"/>
        </w:rPr>
        <w:t xml:space="preserve">Sums received under a keyman insurance policy, and sums for not carrying out an activity or not sharing know-how (non-compete fees).</w:t>
      </w:r>
    </w:p>
    <w:p>
      <w:pPr>
        <w:pStyle w:val="ListParagraph"/>
        <w:numPr>
          <w:ilvl w:val="0"/>
          <w:numId w:val="2"/>
        </w:numPr>
        <w:spacing w:after="60" w:line="264"/>
      </w:pPr>
      <w:r>
        <w:rPr>
          <w:rFonts w:ascii="Verdana" w:cs="Verdana" w:eastAsia="Verdana" w:hAnsi="Verdana"/>
        </w:rPr>
        <w:t xml:space="preserve">Profit on transfer of a Duty Entitlement Pass Book and similar licences, and income from conversion of stock-in-trade into a capital asset (at FMV on conversion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30: Benefit from business</w:t>
            </w:r>
          </w:p>
          <w:p>
            <w:pPr>
              <w:spacing w:after="60" w:line="260"/>
            </w:pPr>
            <w:r>
              <w:rPr>
                <w:rFonts w:ascii="Verdana" w:cs="Verdana" w:eastAsia="Verdana" w:hAnsi="Verdana"/>
                <w:sz w:val="20"/>
                <w:szCs w:val="20"/>
              </w:rPr>
              <w:t xml:space="preserve">A distributor meets its annual sales target and the company gives the proprietor a car worth Rs. 8,00,000. Even though no cash is received, </w:t>
            </w:r>
            <w:r>
              <w:rPr>
                <w:rFonts w:ascii="Verdana" w:cs="Verdana" w:eastAsia="Verdana" w:hAnsi="Verdana"/>
                <w:b/>
                <w:bCs/>
                <w:sz w:val="20"/>
                <w:szCs w:val="20"/>
              </w:rPr>
              <w:t xml:space="preserve">Rs. 8,00,000 is business income</w:t>
            </w:r>
            <w:r>
              <w:rPr>
                <w:rFonts w:ascii="Verdana" w:cs="Verdana" w:eastAsia="Verdana" w:hAnsi="Verdana"/>
                <w:sz w:val="20"/>
                <w:szCs w:val="20"/>
              </w:rPr>
              <w:t xml:space="preserve"> of the distributor for that tax year. TDS on such benefits applies under section 393 (old 194R) if the giver is required to deduct.</w:t>
            </w:r>
          </w:p>
        </w:tc>
      </w:tr>
    </w:tbl>
    <w:p>
      <w:pPr>
        <w:spacing w:after="60"/>
      </w:pPr>
    </w:p>
    <w:p>
      <w:pPr>
        <w:pStyle w:val="Heading2"/>
        <w:keepNext/>
        <w:spacing w:after="120" w:before="240"/>
      </w:pPr>
      <w:r>
        <w:rPr>
          <w:rFonts w:ascii="Verdana" w:cs="Verdana" w:eastAsia="Verdana" w:hAnsi="Verdana"/>
        </w:rPr>
        <w:t xml:space="preserve">9.3 Computation from the books: a full worked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31: Sharma Traders Pvt. Ltd., Tax Year 2026-27</w:t>
            </w:r>
          </w:p>
          <w:p>
            <w:pPr>
              <w:spacing w:after="60" w:line="260"/>
            </w:pPr>
            <w:r>
              <w:rPr>
                <w:rFonts w:ascii="Verdana" w:cs="Verdana" w:eastAsia="Verdana" w:hAnsi="Verdana"/>
                <w:sz w:val="20"/>
                <w:szCs w:val="20"/>
              </w:rPr>
              <w:t xml:space="preserve">Net profit as per profit and loss account: </w:t>
            </w:r>
            <w:r>
              <w:rPr>
                <w:rFonts w:ascii="Verdana" w:cs="Verdana" w:eastAsia="Verdana" w:hAnsi="Verdana"/>
                <w:b/>
                <w:bCs/>
                <w:sz w:val="20"/>
                <w:szCs w:val="20"/>
              </w:rPr>
              <w:t xml:space="preserve">Rs. 25,00,000</w:t>
            </w:r>
            <w:r>
              <w:rPr>
                <w:rFonts w:ascii="Verdana" w:cs="Verdana" w:eastAsia="Verdana" w:hAnsi="Verdana"/>
                <w:sz w:val="20"/>
                <w:szCs w:val="20"/>
              </w:rPr>
              <w:t xml:space="preserve">. The following items are in the accounts. Compute business income.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2600"/>
        <w:gridCol w:w="1000"/>
        <w:gridCol w:w="1800"/>
      </w:tblGrid>
      <w:tr>
        <w:trPr>
          <w:cantSplit/>
          <w:tblHeader/>
        </w:trPr>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 in books</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Treatment</w:t>
            </w:r>
          </w:p>
        </w:tc>
        <w:tc>
          <w:tcPr>
            <w:tcW w:type="dxa" w:w="1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 as per P&amp;L</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 depreciation debited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tax paid debited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 for gratuity (not to an approved fund)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Employees' own PF contribution deposited after due date under PF law</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back (lost permanently)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payment of Rs. 15,000 to one person in a day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Bonus provided, paid after the return due date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back (allowed when paid)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CSR expenditure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r>
      <w:tr>
        <w:trPr>
          <w:cantSplit/>
        </w:trPr>
        <w:tc>
          <w:tcPr>
            <w:tcW w:type="dxa" w:w="42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after additions</w:t>
            </w:r>
          </w:p>
        </w:tc>
        <w:tc>
          <w:tcPr>
            <w:tcW w:type="dxa" w:w="2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c>
          <w:tcPr>
            <w:tcW w:type="dxa" w:w="1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c>
          <w:tcPr>
            <w:tcW w:type="dxa" w:w="1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33,25,000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depreciation as per section 33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 credited (taxed under other sources)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shares credited (taxed under capital gains)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income tax refund credited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w:t>
            </w:r>
          </w:p>
        </w:tc>
      </w:tr>
      <w:tr>
        <w:trPr>
          <w:cantSplit/>
        </w:trPr>
        <w:tc>
          <w:tcPr>
            <w:tcW w:type="dxa" w:w="42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Income from business</w:t>
            </w:r>
          </w:p>
        </w:tc>
        <w:tc>
          <w:tcPr>
            <w:tcW w:type="dxa" w:w="2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c>
          <w:tcPr>
            <w:tcW w:type="dxa" w:w="1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c>
          <w:tcPr>
            <w:tcW w:type="dxa" w:w="1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27,25,000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Employer's contribution to PF is allowed if paid by the return due date (section 37). The </w:t>
            </w:r>
            <w:r>
              <w:rPr>
                <w:rFonts w:ascii="Verdana" w:cs="Verdana" w:eastAsia="Verdana" w:hAnsi="Verdana"/>
                <w:b/>
                <w:bCs/>
                <w:sz w:val="20"/>
                <w:szCs w:val="20"/>
              </w:rPr>
              <w:t xml:space="preserve">employees' own contribution</w:t>
            </w:r>
            <w:r>
              <w:rPr>
                <w:rFonts w:ascii="Verdana" w:cs="Verdana" w:eastAsia="Verdana" w:hAnsi="Verdana"/>
                <w:sz w:val="20"/>
                <w:szCs w:val="20"/>
              </w:rPr>
              <w:t xml:space="preserve"> deducted from salary must be deposited by the due date under the PF or ESI law; if late, it is disallowed for ever.</w:t>
            </w:r>
          </w:p>
          <w:p>
            <w:pPr>
              <w:spacing w:after="60" w:line="260"/>
            </w:pPr>
            <w:r>
              <w:rPr>
                <w:rFonts w:ascii="Verdana" w:cs="Verdana" w:eastAsia="Verdana" w:hAnsi="Verdana"/>
                <w:sz w:val="20"/>
                <w:szCs w:val="20"/>
              </w:rPr>
              <w:t xml:space="preserve">CSR spending required under the Companies Act is not a business expense, though qualifying CSR donations may still get a deduction under section 133 in some cases.</w:t>
            </w:r>
          </w:p>
        </w:tc>
      </w:tr>
    </w:tbl>
    <w:p>
      <w:pPr>
        <w:spacing w:after="60"/>
      </w:pPr>
    </w:p>
    <w:p>
      <w:pPr>
        <w:pStyle w:val="Heading2"/>
        <w:keepNext/>
        <w:spacing w:after="120" w:before="240"/>
      </w:pPr>
      <w:r>
        <w:rPr>
          <w:rFonts w:ascii="Verdana" w:cs="Verdana" w:eastAsia="Verdana" w:hAnsi="Verdana"/>
        </w:rPr>
        <w:t xml:space="preserve">9.4 General deduction (section 34, old 37)</w:t>
      </w:r>
    </w:p>
    <w:p>
      <w:pPr>
        <w:spacing w:after="120" w:line="276"/>
        <w:jc w:val="both"/>
      </w:pPr>
      <w:r>
        <w:rPr>
          <w:rFonts w:ascii="Verdana" w:cs="Verdana" w:eastAsia="Verdana" w:hAnsi="Verdana"/>
        </w:rPr>
        <w:t xml:space="preserve">Any expenditure not covered by specific sections is allowed if it is (a) not capital, (b) not personal, and (c) laid out wholly and exclusively for the business. Expenses for any purpose that is an offence or prohibited by law are not allowed, which includes payments to settle proceedings for violation of law and gifts or freebies to medical practitioners that are prohibited under their regulations.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32: Capital or revenue?</w:t>
            </w:r>
          </w:p>
          <w:p>
            <w:pPr>
              <w:spacing w:after="60" w:line="260"/>
            </w:pPr>
            <w:r>
              <w:rPr>
                <w:rFonts w:ascii="Verdana" w:cs="Verdana" w:eastAsia="Verdana" w:hAnsi="Verdana"/>
                <w:sz w:val="20"/>
                <w:szCs w:val="20"/>
              </w:rPr>
              <w:t xml:space="preserve">A company spends Rs. 12,00,000 on repainting and repairing its factory (revenue, allowed), Rs. 30,00,000 on a new floor added to the factory (capital, depreciation only), and Rs. 2,00,000 on a penalty for violating pollution norms (not allowed, being a penalty for breach of law).</w:t>
            </w:r>
          </w:p>
        </w:tc>
      </w:tr>
    </w:tbl>
    <w:p>
      <w:pPr>
        <w:spacing w:after="60"/>
      </w:pPr>
    </w:p>
    <w:p>
      <w:pPr>
        <w:pStyle w:val="Heading2"/>
        <w:keepNext/>
        <w:spacing w:after="120" w:before="240"/>
      </w:pPr>
      <w:r>
        <w:rPr>
          <w:rFonts w:ascii="Verdana" w:cs="Verdana" w:eastAsia="Verdana" w:hAnsi="Verdana"/>
        </w:rPr>
        <w:t xml:space="preserve">9.5 Disallowance for TDS default (section 35, old 40(a))</w:t>
      </w:r>
    </w:p>
    <w:p>
      <w:pPr>
        <w:spacing w:after="120" w:line="276"/>
        <w:jc w:val="both"/>
      </w:pPr>
      <w:r>
        <w:rPr>
          <w:rFonts w:ascii="Verdana" w:cs="Verdana" w:eastAsia="Verdana" w:hAnsi="Verdana"/>
        </w:rPr>
        <w:t xml:space="preserve">If tax is deductible on a payment to a </w:t>
      </w:r>
      <w:r>
        <w:rPr>
          <w:rFonts w:ascii="Verdana" w:cs="Verdana" w:eastAsia="Verdana" w:hAnsi="Verdana"/>
          <w:b/>
          <w:bCs/>
        </w:rPr>
        <w:t xml:space="preserve">resident</w:t>
      </w:r>
      <w:r>
        <w:rPr>
          <w:rFonts w:ascii="Verdana" w:cs="Verdana" w:eastAsia="Verdana" w:hAnsi="Verdana"/>
        </w:rPr>
        <w:t xml:space="preserve"> but is not deducted, or deducted but not paid by the return due date, </w:t>
      </w:r>
      <w:r>
        <w:rPr>
          <w:rFonts w:ascii="Verdana" w:cs="Verdana" w:eastAsia="Verdana" w:hAnsi="Verdana"/>
          <w:b/>
          <w:bCs/>
        </w:rPr>
        <w:t xml:space="preserve">30%</w:t>
      </w:r>
      <w:r>
        <w:rPr>
          <w:rFonts w:ascii="Verdana" w:cs="Verdana" w:eastAsia="Verdana" w:hAnsi="Verdana"/>
        </w:rPr>
        <w:t xml:space="preserve"> of the expense is disallowed. For payments to </w:t>
      </w:r>
      <w:r>
        <w:rPr>
          <w:rFonts w:ascii="Verdana" w:cs="Verdana" w:eastAsia="Verdana" w:hAnsi="Verdana"/>
          <w:b/>
          <w:bCs/>
        </w:rPr>
        <w:t xml:space="preserve">non-residents</w:t>
      </w:r>
      <w:r>
        <w:rPr>
          <w:rFonts w:ascii="Verdana" w:cs="Verdana" w:eastAsia="Verdana" w:hAnsi="Verdana"/>
        </w:rPr>
        <w:t xml:space="preserve">, </w:t>
      </w:r>
      <w:r>
        <w:rPr>
          <w:rFonts w:ascii="Verdana" w:cs="Verdana" w:eastAsia="Verdana" w:hAnsi="Verdana"/>
          <w:b/>
          <w:bCs/>
        </w:rPr>
        <w:t xml:space="preserve">100%</w:t>
      </w:r>
      <w:r>
        <w:rPr>
          <w:rFonts w:ascii="Verdana" w:cs="Verdana" w:eastAsia="Verdana" w:hAnsi="Verdana"/>
        </w:rPr>
        <w:t xml:space="preserve"> is disallowed. The amount is allowed in the year the TDS is later paid.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33: Professional fees without TDS</w:t>
            </w:r>
          </w:p>
          <w:p>
            <w:pPr>
              <w:spacing w:after="60" w:line="260"/>
            </w:pPr>
            <w:r>
              <w:rPr>
                <w:rFonts w:ascii="Verdana" w:cs="Verdana" w:eastAsia="Verdana" w:hAnsi="Verdana"/>
                <w:sz w:val="20"/>
                <w:szCs w:val="20"/>
              </w:rPr>
              <w:t xml:space="preserve">ABC Pvt. Ltd. pays Rs. 2,00,000 to a legal consultant but does not deduct TDS. Disallowance = 30% of 2,00,000 = </w:t>
            </w:r>
            <w:r>
              <w:rPr>
                <w:rFonts w:ascii="Verdana" w:cs="Verdana" w:eastAsia="Verdana" w:hAnsi="Verdana"/>
                <w:b/>
                <w:bCs/>
                <w:sz w:val="20"/>
                <w:szCs w:val="20"/>
              </w:rPr>
              <w:t xml:space="preserve">Rs. 60,000</w:t>
            </w:r>
            <w:r>
              <w:rPr>
                <w:rFonts w:ascii="Verdana" w:cs="Verdana" w:eastAsia="Verdana" w:hAnsi="Verdana"/>
                <w:sz w:val="20"/>
                <w:szCs w:val="20"/>
              </w:rPr>
              <w:t xml:space="preserve">. If TDS is deducted and deposited in Tax Year 2027-28, the Rs. 60,000 is allowed in that year. Interest for late deduction is also payable.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Paid or payable</w:t>
            </w:r>
          </w:p>
          <w:p>
            <w:pPr>
              <w:spacing w:after="60" w:line="260"/>
            </w:pPr>
            <w:r>
              <w:rPr>
                <w:rFonts w:ascii="Verdana" w:cs="Verdana" w:eastAsia="Verdana" w:hAnsi="Verdana"/>
                <w:b/>
                <w:bCs/>
                <w:sz w:val="20"/>
                <w:szCs w:val="20"/>
              </w:rPr>
              <w:t xml:space="preserve">Palam Gas Service v. CIT (Supreme Court, 2017):</w:t>
            </w:r>
            <w:r>
              <w:rPr>
                <w:rFonts w:ascii="Verdana" w:cs="Verdana" w:eastAsia="Verdana" w:hAnsi="Verdana"/>
                <w:sz w:val="20"/>
                <w:szCs w:val="20"/>
              </w:rPr>
              <w:t xml:space="preserve"> the disallowance for failure to deduct TDS applies not only to amounts outstanding at the year-end but also to amounts already paid during the year.</w:t>
            </w:r>
          </w:p>
        </w:tc>
      </w:tr>
    </w:tbl>
    <w:p>
      <w:pPr>
        <w:spacing w:after="60"/>
      </w:pPr>
    </w:p>
    <w:p>
      <w:pPr>
        <w:pStyle w:val="Heading2"/>
        <w:keepNext/>
        <w:spacing w:after="120" w:before="240"/>
      </w:pPr>
      <w:r>
        <w:rPr>
          <w:rFonts w:ascii="Verdana" w:cs="Verdana" w:eastAsia="Verdana" w:hAnsi="Verdana"/>
        </w:rPr>
        <w:t xml:space="preserve">9.6 Partner remuneration and interest (section 35, old 40(b))</w:t>
      </w:r>
    </w:p>
    <w:p>
      <w:pPr>
        <w:spacing w:after="120" w:line="276"/>
        <w:jc w:val="both"/>
      </w:pPr>
      <w:r>
        <w:rPr>
          <w:rFonts w:ascii="Verdana" w:cs="Verdana" w:eastAsia="Verdana" w:hAnsi="Verdana"/>
        </w:rPr>
        <w:t xml:space="preserve">A firm can deduct salary, bonus, commission or remuneration to </w:t>
      </w:r>
      <w:r>
        <w:rPr>
          <w:rFonts w:ascii="Verdana" w:cs="Verdana" w:eastAsia="Verdana" w:hAnsi="Verdana"/>
          <w:b/>
          <w:bCs/>
        </w:rPr>
        <w:t xml:space="preserve">working partners</w:t>
      </w:r>
      <w:r>
        <w:rPr>
          <w:rFonts w:ascii="Verdana" w:cs="Verdana" w:eastAsia="Verdana" w:hAnsi="Verdana"/>
        </w:rPr>
        <w:t xml:space="preserve"> only if authorised by the partnership deed and within limits. Interest to partners is allowed up to </w:t>
      </w:r>
      <w:r>
        <w:rPr>
          <w:rFonts w:ascii="Verdana" w:cs="Verdana" w:eastAsia="Verdana" w:hAnsi="Verdana"/>
          <w:b/>
          <w:bCs/>
        </w:rPr>
        <w:t xml:space="preserve">12% simple</w:t>
      </w:r>
      <w:r>
        <w:rPr>
          <w:rFonts w:ascii="Verdana" w:cs="Verdana" w:eastAsia="Verdana" w:hAnsi="Verdana"/>
        </w:rPr>
        <w:t xml:space="preserve"> per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5000"/>
      </w:tblGrid>
      <w:tr>
        <w:trPr>
          <w:cantSplit/>
          <w:tblHeader/>
        </w:trPr>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Book profit</w:t>
            </w:r>
          </w:p>
        </w:tc>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Maximum remuneration allowed</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First Rs. 6,00,000 of book profit (or loss)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3,00,000 or 90% of book profit, whichever is higher</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Balance book profit</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34: Partner remuneration</w:t>
            </w:r>
          </w:p>
          <w:p>
            <w:pPr>
              <w:spacing w:after="60" w:line="260"/>
            </w:pPr>
            <w:r>
              <w:rPr>
                <w:rFonts w:ascii="Verdana" w:cs="Verdana" w:eastAsia="Verdana" w:hAnsi="Verdana"/>
                <w:sz w:val="20"/>
                <w:szCs w:val="20"/>
              </w:rPr>
              <w:t xml:space="preserve">Book profit of Mehta &amp; Associates (profit under this head before deducting partner remuneration) is Rs. 12,00,000. Remuneration paid to working partners is Rs. 10,00,000. Interest on capital paid at 15% on capital of Rs. 20,00,000 = Rs. 3,00,000.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first 6,00,000: higher of 3,00,000 or 90% (5,40,000)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5,40,000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balance 6,00,000 at 60%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Maximum remuneration allowed</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9,00,000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Remuneration disallowed (10,00,000 less 9,00,000)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allowed at 12% on 20,00,000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2,40,000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Interest disallowed (3,00,000 less 2,40,000)</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60,000</w:t>
            </w:r>
          </w:p>
        </w:tc>
      </w:tr>
    </w:tbl>
    <w:p>
      <w:pPr>
        <w:spacing w:after="60"/>
      </w:pPr>
    </w:p>
    <w:p>
      <w:pPr>
        <w:spacing w:after="120" w:line="276"/>
        <w:jc w:val="both"/>
      </w:pPr>
      <w:r>
        <w:rPr>
          <w:rFonts w:ascii="Verdana" w:cs="Verdana" w:eastAsia="Verdana" w:hAnsi="Verdana"/>
        </w:rPr>
        <w:t xml:space="preserve">The partner is taxed on remuneration and interest only to the extent allowed to the firm. TDS at 10% under section 393 (old 194T) applies on such payments above Rs. 20,000 in a year.</w:t>
      </w:r>
    </w:p>
    <w:p>
      <w:pPr>
        <w:pStyle w:val="Heading2"/>
        <w:keepNext/>
        <w:spacing w:after="120" w:before="240"/>
      </w:pPr>
      <w:r>
        <w:rPr>
          <w:rFonts w:ascii="Verdana" w:cs="Verdana" w:eastAsia="Verdana" w:hAnsi="Verdana"/>
        </w:rPr>
        <w:t xml:space="preserve">9.7 Related party payments and cash (section 36, old 40A)</w:t>
      </w:r>
    </w:p>
    <w:p>
      <w:pPr>
        <w:pStyle w:val="ListParagraph"/>
        <w:numPr>
          <w:ilvl w:val="0"/>
          <w:numId w:val="2"/>
        </w:numPr>
        <w:spacing w:after="60" w:line="264"/>
      </w:pPr>
      <w:r>
        <w:rPr>
          <w:rFonts w:ascii="Verdana" w:cs="Verdana" w:eastAsia="Verdana" w:hAnsi="Verdana"/>
          <w:b/>
          <w:bCs/>
        </w:rPr>
        <w:t xml:space="preserve">Excessive payments to related persons</w:t>
      </w:r>
      <w:r>
        <w:rPr>
          <w:rFonts w:ascii="Verdana" w:cs="Verdana" w:eastAsia="Verdana" w:hAnsi="Verdana"/>
        </w:rPr>
        <w:t xml:space="preserve"> (relatives, directors, partners, substantial interest holders): the excess over fair market value is disallowed.</w:t>
      </w:r>
    </w:p>
    <w:p>
      <w:pPr>
        <w:pStyle w:val="ListParagraph"/>
        <w:numPr>
          <w:ilvl w:val="0"/>
          <w:numId w:val="2"/>
        </w:numPr>
        <w:spacing w:after="60" w:line="264"/>
      </w:pPr>
      <w:r>
        <w:rPr>
          <w:rFonts w:ascii="Verdana" w:cs="Verdana" w:eastAsia="Verdana" w:hAnsi="Verdana"/>
          <w:b/>
          <w:bCs/>
        </w:rPr>
        <w:t xml:space="preserve">Cash payments</w:t>
      </w:r>
      <w:r>
        <w:rPr>
          <w:rFonts w:ascii="Verdana" w:cs="Verdana" w:eastAsia="Verdana" w:hAnsi="Verdana"/>
        </w:rPr>
        <w:t xml:space="preserve"> above </w:t>
      </w:r>
      <w:r>
        <w:rPr>
          <w:rFonts w:ascii="Verdana" w:cs="Verdana" w:eastAsia="Verdana" w:hAnsi="Verdana"/>
          <w:b/>
          <w:bCs/>
        </w:rPr>
        <w:t xml:space="preserve">Rs. 10,000 per person per day</w:t>
      </w:r>
      <w:r>
        <w:rPr>
          <w:rFonts w:ascii="Verdana" w:cs="Verdana" w:eastAsia="Verdana" w:hAnsi="Verdana"/>
        </w:rPr>
        <w:t xml:space="preserve"> (Rs. 35,000 for transporters) are fully disallowed, unless covered by an exception in the Rules. A later cash payment for an expense allowed on accrual in an earlier year is taxed as deemed income.</w:t>
      </w:r>
    </w:p>
    <w:p>
      <w:pPr>
        <w:pStyle w:val="ListParagraph"/>
        <w:numPr>
          <w:ilvl w:val="0"/>
          <w:numId w:val="2"/>
        </w:numPr>
        <w:spacing w:after="60" w:line="264"/>
      </w:pPr>
      <w:r>
        <w:rPr>
          <w:rFonts w:ascii="Verdana" w:cs="Verdana" w:eastAsia="Verdana" w:hAnsi="Verdana"/>
          <w:b/>
          <w:bCs/>
        </w:rPr>
        <w:t xml:space="preserve">Provision for gratuity</w:t>
      </w:r>
      <w:r>
        <w:rPr>
          <w:rFonts w:ascii="Verdana" w:cs="Verdana" w:eastAsia="Verdana" w:hAnsi="Verdana"/>
        </w:rPr>
        <w:t xml:space="preserve"> is allowed only for contribution to an approved gratuity fund, or when actually paid.</w:t>
      </w:r>
    </w:p>
    <w:p>
      <w:pPr>
        <w:pStyle w:val="ListParagraph"/>
        <w:numPr>
          <w:ilvl w:val="0"/>
          <w:numId w:val="2"/>
        </w:numPr>
        <w:spacing w:after="60" w:line="264"/>
      </w:pPr>
      <w:r>
        <w:rPr>
          <w:rFonts w:ascii="Verdana" w:cs="Verdana" w:eastAsia="Verdana" w:hAnsi="Verdana"/>
          <w:b/>
          <w:bCs/>
        </w:rPr>
        <w:t xml:space="preserve">Contributions</w:t>
      </w:r>
      <w:r>
        <w:rPr>
          <w:rFonts w:ascii="Verdana" w:cs="Verdana" w:eastAsia="Verdana" w:hAnsi="Verdana"/>
        </w:rPr>
        <w:t xml:space="preserve"> to funds not approved or not required by law are not allowed.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35: Cash purchase</w:t>
            </w:r>
          </w:p>
          <w:p>
            <w:pPr>
              <w:spacing w:after="60" w:line="260"/>
            </w:pPr>
            <w:r>
              <w:rPr>
                <w:rFonts w:ascii="Verdana" w:cs="Verdana" w:eastAsia="Verdana" w:hAnsi="Verdana"/>
                <w:sz w:val="20"/>
                <w:szCs w:val="20"/>
              </w:rPr>
              <w:t xml:space="preserve">A trader pays Rs. 18,000 in cash to one supplier on a single day. The </w:t>
            </w:r>
            <w:r>
              <w:rPr>
                <w:rFonts w:ascii="Verdana" w:cs="Verdana" w:eastAsia="Verdana" w:hAnsi="Verdana"/>
                <w:b/>
                <w:bCs/>
                <w:sz w:val="20"/>
                <w:szCs w:val="20"/>
              </w:rPr>
              <w:t xml:space="preserve">entire Rs. 18,000</w:t>
            </w:r>
            <w:r>
              <w:rPr>
                <w:rFonts w:ascii="Verdana" w:cs="Verdana" w:eastAsia="Verdana" w:hAnsi="Verdana"/>
                <w:sz w:val="20"/>
                <w:szCs w:val="20"/>
              </w:rPr>
              <w:t xml:space="preserve"> is disallowed, not just the excess. Splitting into two bills of Rs. 9,000 on the same day to the same person does not help, because the limit is per person per day.</w:t>
            </w:r>
          </w:p>
        </w:tc>
      </w:tr>
    </w:tbl>
    <w:p>
      <w:pPr>
        <w:spacing w:after="60"/>
      </w:pPr>
    </w:p>
    <w:p>
      <w:pPr>
        <w:pStyle w:val="Heading2"/>
        <w:keepNext/>
        <w:spacing w:after="120" w:before="240"/>
      </w:pPr>
      <w:r>
        <w:rPr>
          <w:rFonts w:ascii="Verdana" w:cs="Verdana" w:eastAsia="Verdana" w:hAnsi="Verdana"/>
        </w:rPr>
        <w:t xml:space="preserve">9.8 Payment basis items including MSME dues (section 37, old 43B)</w:t>
      </w:r>
    </w:p>
    <w:p>
      <w:pPr>
        <w:spacing w:after="120" w:line="276"/>
        <w:jc w:val="both"/>
      </w:pPr>
      <w:r>
        <w:rPr>
          <w:rFonts w:ascii="Verdana" w:cs="Verdana" w:eastAsia="Verdana" w:hAnsi="Verdana"/>
        </w:rPr>
        <w:t xml:space="preserve">Certain expenses are allowed only when actually paid, generally by the return due date: taxes and duties, employer contributions to PF and other funds, bonus and commission to employees, interest to banks, NBFCs and financial institutions (converted interest is not payment), leave encashment, railway usage charges, and dues to </w:t>
      </w:r>
      <w:r>
        <w:rPr>
          <w:rFonts w:ascii="Verdana" w:cs="Verdana" w:eastAsia="Verdana" w:hAnsi="Verdana"/>
          <w:b/>
          <w:bCs/>
        </w:rPr>
        <w:t xml:space="preserve">micro and small enterprises</w:t>
      </w:r>
      <w:r>
        <w:rPr>
          <w:rFonts w:ascii="Verdana" w:cs="Verdana" w:eastAsia="Verdana" w:hAnsi="Verdana"/>
        </w:rPr>
        <w:t xml:space="preserve"> beyond the MSMED Act time limit (15 days, or up to 45 days if agreed in writing). For MSME dues, payment by the return due date does not help; it must be made within the MSMED time limit, otherwise it is allowed only in the year of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36: MSME supplier</w:t>
            </w:r>
          </w:p>
          <w:p>
            <w:pPr>
              <w:spacing w:after="60" w:line="260"/>
            </w:pPr>
            <w:r>
              <w:rPr>
                <w:rFonts w:ascii="Verdana" w:cs="Verdana" w:eastAsia="Verdana" w:hAnsi="Verdana"/>
                <w:sz w:val="20"/>
                <w:szCs w:val="20"/>
              </w:rPr>
              <w:t xml:space="preserve">XYZ Ltd. buys goods worth Rs. 5,00,000 from a registered micro enterprise on 10 February 2027 with a written credit period of 45 days, so payment is due by 27 March 2027. XYZ pays on 20 April 2027.</w:t>
            </w:r>
          </w:p>
          <w:p>
            <w:pPr>
              <w:spacing w:after="60" w:line="260"/>
            </w:pPr>
            <w:r>
              <w:rPr>
                <w:rFonts w:ascii="Verdana" w:cs="Verdana" w:eastAsia="Verdana" w:hAnsi="Verdana"/>
                <w:sz w:val="20"/>
                <w:szCs w:val="20"/>
              </w:rPr>
              <w:t xml:space="preserve">The Rs. 5,00,000 is </w:t>
            </w:r>
            <w:r>
              <w:rPr>
                <w:rFonts w:ascii="Verdana" w:cs="Verdana" w:eastAsia="Verdana" w:hAnsi="Verdana"/>
                <w:b/>
                <w:bCs/>
                <w:sz w:val="20"/>
                <w:szCs w:val="20"/>
              </w:rPr>
              <w:t xml:space="preserve">not allowed in Tax Year 2026-27</w:t>
            </w:r>
            <w:r>
              <w:rPr>
                <w:rFonts w:ascii="Verdana" w:cs="Verdana" w:eastAsia="Verdana" w:hAnsi="Verdana"/>
                <w:sz w:val="20"/>
                <w:szCs w:val="20"/>
              </w:rPr>
              <w:t xml:space="preserve">. It is allowed in Tax Year 2027-28, the year of payment.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Tag micro and small vendors (not medium) in the vendor master and run an ageing report before 31 March. Medium enterprises and traders registered only for priority lending are outside this rule.</w:t>
            </w:r>
          </w:p>
        </w:tc>
      </w:tr>
    </w:tbl>
    <w:p>
      <w:pPr>
        <w:spacing w:after="60"/>
      </w:pPr>
    </w:p>
    <w:p>
      <w:pPr>
        <w:pStyle w:val="Heading2"/>
        <w:keepNext/>
        <w:spacing w:after="120" w:before="240"/>
      </w:pPr>
      <w:r>
        <w:rPr>
          <w:rFonts w:ascii="Verdana" w:cs="Verdana" w:eastAsia="Verdana" w:hAnsi="Verdana"/>
        </w:rPr>
        <w:t xml:space="preserve">9.9 Deemed profits (section 38, old 41)</w:t>
      </w:r>
    </w:p>
    <w:p>
      <w:pPr>
        <w:spacing w:after="120" w:line="276"/>
        <w:jc w:val="both"/>
      </w:pPr>
      <w:r>
        <w:rPr>
          <w:rFonts w:ascii="Verdana" w:cs="Verdana" w:eastAsia="Verdana" w:hAnsi="Verdana"/>
        </w:rPr>
        <w:t xml:space="preserve">If a deduction was allowed in an earlier year for a loss, expense or trading liability, and the business later gets back the amount or the liability is waived, the benefit is taxed in the year it is received or written back. This applies even if the business has closed.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37: Liability written back</w:t>
            </w:r>
          </w:p>
          <w:p>
            <w:pPr>
              <w:spacing w:after="60" w:line="260"/>
            </w:pPr>
            <w:r>
              <w:rPr>
                <w:rFonts w:ascii="Verdana" w:cs="Verdana" w:eastAsia="Verdana" w:hAnsi="Verdana"/>
                <w:sz w:val="20"/>
                <w:szCs w:val="20"/>
              </w:rPr>
              <w:t xml:space="preserve">A company had claimed purchases of Rs. 3,00,000 from a supplier in 2024. In Tax Year 2026-27, the supplier agrees to waive Rs. 3,00,000 in a settlement and the company writes it back. </w:t>
            </w:r>
            <w:r>
              <w:rPr>
                <w:rFonts w:ascii="Verdana" w:cs="Verdana" w:eastAsia="Verdana" w:hAnsi="Verdana"/>
                <w:b/>
                <w:bCs/>
                <w:sz w:val="20"/>
                <w:szCs w:val="20"/>
              </w:rPr>
              <w:t xml:space="preserve">Rs. 3,00,000 is taxable</w:t>
            </w:r>
            <w:r>
              <w:rPr>
                <w:rFonts w:ascii="Verdana" w:cs="Verdana" w:eastAsia="Verdana" w:hAnsi="Verdana"/>
                <w:sz w:val="20"/>
                <w:szCs w:val="20"/>
              </w:rPr>
              <w:t xml:space="preserve"> as business income in Tax Year 2026-27.</w:t>
            </w:r>
          </w:p>
        </w:tc>
      </w:tr>
    </w:tbl>
    <w:p>
      <w:pPr>
        <w:spacing w:after="60"/>
      </w:pPr>
    </w:p>
    <w:p>
      <w:pPr>
        <w:pStyle w:val="Heading2"/>
        <w:keepNext/>
        <w:spacing w:after="120" w:before="240"/>
      </w:pPr>
      <w:r>
        <w:rPr>
          <w:rFonts w:ascii="Verdana" w:cs="Verdana" w:eastAsia="Verdana" w:hAnsi="Verdana"/>
        </w:rPr>
        <w:t xml:space="preserve">9.10 Bad debts (section 31)</w:t>
      </w:r>
    </w:p>
    <w:p>
      <w:pPr>
        <w:spacing w:after="120" w:line="276"/>
        <w:jc w:val="both"/>
      </w:pPr>
      <w:r>
        <w:rPr>
          <w:rFonts w:ascii="Verdana" w:cs="Verdana" w:eastAsia="Verdana" w:hAnsi="Verdana"/>
        </w:rPr>
        <w:t xml:space="preserve">A debt is deductible when written off as irrecoverable in the books, provided it was earlier taken into income (or is money lent in the ordinary course of banking or money lending). There is no need to prove that the debt has actually become bad. If a bad debt is later recovered, the recovery is taxable. Banks and NBFCs get a separate deduction for provisions within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Bad debts</w:t>
            </w:r>
          </w:p>
          <w:p>
            <w:pPr>
              <w:spacing w:after="60" w:line="260"/>
            </w:pPr>
            <w:r>
              <w:rPr>
                <w:rFonts w:ascii="Verdana" w:cs="Verdana" w:eastAsia="Verdana" w:hAnsi="Verdana"/>
                <w:b/>
                <w:bCs/>
                <w:sz w:val="20"/>
                <w:szCs w:val="20"/>
              </w:rPr>
              <w:t xml:space="preserve">T.R.F. Ltd. v. CIT (Supreme Court, 2010):</w:t>
            </w:r>
            <w:r>
              <w:rPr>
                <w:rFonts w:ascii="Verdana" w:cs="Verdana" w:eastAsia="Verdana" w:hAnsi="Verdana"/>
                <w:sz w:val="20"/>
                <w:szCs w:val="20"/>
              </w:rPr>
              <w:t xml:space="preserve"> after the 1989 amendment, it is enough if the bad debt is written off as irrecoverable in the accounts; the taxpayer need not prove that the debt has actually become irrecoverable.</w:t>
            </w:r>
          </w:p>
        </w:tc>
      </w:tr>
    </w:tbl>
    <w:p>
      <w:pPr>
        <w:spacing w:after="60"/>
      </w:pPr>
    </w:p>
    <w:p>
      <w:pPr>
        <w:pStyle w:val="Heading2"/>
        <w:keepNext/>
        <w:spacing w:after="120" w:before="240"/>
      </w:pPr>
      <w:r>
        <w:rPr>
          <w:rFonts w:ascii="Verdana" w:cs="Verdana" w:eastAsia="Verdana" w:hAnsi="Verdana"/>
        </w:rPr>
        <w:t xml:space="preserve">9.11 Depreciation (section 33)</w:t>
      </w:r>
    </w:p>
    <w:p>
      <w:pPr>
        <w:spacing w:after="120" w:line="276"/>
        <w:jc w:val="both"/>
      </w:pPr>
      <w:r>
        <w:rPr>
          <w:rFonts w:ascii="Verdana" w:cs="Verdana" w:eastAsia="Verdana" w:hAnsi="Verdana"/>
        </w:rPr>
        <w:t xml:space="preserve">The block of assets and WDV method continue. Assets used for less than 180 days in the year of acquisition get half the normal rate. Goodwill is not a depreciable asset. Power generating companies may choose straight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Goodwill</w:t>
            </w:r>
          </w:p>
          <w:p>
            <w:pPr>
              <w:spacing w:after="60" w:line="260"/>
            </w:pPr>
            <w:r>
              <w:rPr>
                <w:rFonts w:ascii="Verdana" w:cs="Verdana" w:eastAsia="Verdana" w:hAnsi="Verdana"/>
                <w:b/>
                <w:bCs/>
                <w:sz w:val="20"/>
                <w:szCs w:val="20"/>
              </w:rPr>
              <w:t xml:space="preserve">CIT v. Smifs Securities Ltd. (Supreme Court, 2012):</w:t>
            </w:r>
            <w:r>
              <w:rPr>
                <w:rFonts w:ascii="Verdana" w:cs="Verdana" w:eastAsia="Verdana" w:hAnsi="Verdana"/>
                <w:sz w:val="20"/>
                <w:szCs w:val="20"/>
              </w:rPr>
              <w:t xml:space="preserve"> goodwill was held to be an intangible asset eligible for depreciation under the old law. The Finance Act, 2021 removed goodwill from depreciable assets, and the 2025 Act follows that position; the ruling remains relevant only for earlier years.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Block</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Residential buildings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buildings (offices, factories)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Furniture and fittings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Plant and machinery (general)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Motor cars (not used in hire business)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Computers and software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Intangibles (know-how, patents, copyrights, licences, franchises)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38: Half rate</w:t>
            </w:r>
          </w:p>
          <w:p>
            <w:pPr>
              <w:spacing w:after="60" w:line="260"/>
            </w:pPr>
            <w:r>
              <w:rPr>
                <w:rFonts w:ascii="Verdana" w:cs="Verdana" w:eastAsia="Verdana" w:hAnsi="Verdana"/>
                <w:sz w:val="20"/>
                <w:szCs w:val="20"/>
              </w:rPr>
              <w:t xml:space="preserve">Opening WDV of plant and machinery: Rs. 10,00,000. Addition of Rs. 4,00,000 on 1 June 2026 and Rs. 2,00,000 on 15 January 2027 (used less than 180 days).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on (10,00,000 plus 4,00,000)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7.5% on 2,00,000 (used less than 180 days)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depreciation</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2,25,000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Closing WDV (16,00,000 less 2,25,000)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13,75,000</w:t>
            </w:r>
          </w:p>
        </w:tc>
      </w:tr>
    </w:tbl>
    <w:p>
      <w:pPr>
        <w:spacing w:after="60"/>
      </w:pPr>
    </w:p>
    <w:p>
      <w:pPr>
        <w:spacing w:after="120" w:line="276"/>
        <w:jc w:val="both"/>
      </w:pPr>
      <w:r>
        <w:rPr>
          <w:rFonts w:ascii="Verdana" w:cs="Verdana" w:eastAsia="Verdana" w:hAnsi="Verdana"/>
          <w:b/>
          <w:bCs/>
        </w:rPr>
        <w:t xml:space="preserve">Additional depreciation</w:t>
      </w:r>
      <w:r>
        <w:rPr>
          <w:rFonts w:ascii="Verdana" w:cs="Verdana" w:eastAsia="Verdana" w:hAnsi="Verdana"/>
        </w:rPr>
        <w:t xml:space="preserve"> of 20% (10% if used less than 180 days) is available to manufacturers on new plant and machinery, but not under the concessional company regimes or the new regime for individuals. </w:t>
      </w:r>
      <w:r>
        <w:rPr>
          <w:rFonts w:ascii="Verdana" w:cs="Verdana" w:eastAsia="Verdana" w:hAnsi="Verdana"/>
          <w:b/>
          <w:bCs/>
        </w:rPr>
        <w:t xml:space="preserve">Sale of an asset</w:t>
      </w:r>
      <w:r>
        <w:rPr>
          <w:rFonts w:ascii="Verdana" w:cs="Verdana" w:eastAsia="Verdana" w:hAnsi="Verdana"/>
        </w:rPr>
        <w:t xml:space="preserve"> reduces the block; if the block becomes nil or negative, or all assets in the block are sold, a short-term capital gain or loss arises (section 74).</w:t>
      </w:r>
    </w:p>
    <w:p>
      <w:pPr>
        <w:pStyle w:val="Heading2"/>
        <w:keepNext/>
        <w:spacing w:after="120" w:before="240"/>
      </w:pPr>
      <w:r>
        <w:rPr>
          <w:rFonts w:ascii="Verdana" w:cs="Verdana" w:eastAsia="Verdana" w:hAnsi="Verdana"/>
        </w:rPr>
        <w:t xml:space="preserve">9.12 Amortised expenses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2000"/>
        <w:gridCol w:w="3400"/>
      </w:tblGrid>
      <w:tr>
        <w:trPr>
          <w:cantSplit/>
          <w:tblHeader/>
        </w:trPr>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Expense</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Treatment</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Preliminary expenses (project reports, legal, registration)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 (old 35D)</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each year for 5 years, capped at 5% of cost of project or capital employed</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Amalgamation or demerger expenses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52 (old 35DD)</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each year for 5 years</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Voluntary retirement scheme payments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52 (old 35DDA)</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each year for 5 years</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Scientific research (in-house, revenue and capital except land)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 (old 35)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deduction</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business (cold chain, warehousing, hospitals, etc.)</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46 (old 35AD)</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of capital expenditure other than land, goodwill and financial instruments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39: Preliminary expenses</w:t>
            </w:r>
          </w:p>
          <w:p>
            <w:pPr>
              <w:spacing w:after="60" w:line="260"/>
            </w:pPr>
            <w:r>
              <w:rPr>
                <w:rFonts w:ascii="Verdana" w:cs="Verdana" w:eastAsia="Verdana" w:hAnsi="Verdana"/>
                <w:sz w:val="20"/>
                <w:szCs w:val="20"/>
              </w:rPr>
              <w:t xml:space="preserve">A new company spends Rs. 10,00,000 on preliminary expenses. Cost of project is Rs. 1.5 crore, so the cap is 5% = Rs. 7,50,000. Deduction = Rs. 7,50,000 over 5 years = </w:t>
            </w:r>
            <w:r>
              <w:rPr>
                <w:rFonts w:ascii="Verdana" w:cs="Verdana" w:eastAsia="Verdana" w:hAnsi="Verdana"/>
                <w:b/>
                <w:bCs/>
                <w:sz w:val="20"/>
                <w:szCs w:val="20"/>
              </w:rPr>
              <w:t xml:space="preserve">Rs. 1,50,000 each year</w:t>
            </w:r>
            <w:r>
              <w:rPr>
                <w:rFonts w:ascii="Verdana" w:cs="Verdana" w:eastAsia="Verdana" w:hAnsi="Verdana"/>
                <w:sz w:val="20"/>
                <w:szCs w:val="20"/>
              </w:rPr>
              <w:t xml:space="preserve">. The balance Rs. 2,50,000 is never allowed.</w:t>
            </w:r>
          </w:p>
        </w:tc>
      </w:tr>
    </w:tbl>
    <w:p>
      <w:pPr>
        <w:spacing w:after="60"/>
      </w:pPr>
    </w:p>
    <w:p>
      <w:pPr>
        <w:pStyle w:val="Heading2"/>
        <w:keepNext/>
        <w:spacing w:after="120" w:before="240"/>
      </w:pPr>
      <w:r>
        <w:rPr>
          <w:rFonts w:ascii="Verdana" w:cs="Verdana" w:eastAsia="Verdana" w:hAnsi="Verdana"/>
        </w:rPr>
        <w:t xml:space="preserve">9.13 Stamp value for stock-in-trade (section 53, old 43CA)</w:t>
      </w:r>
    </w:p>
    <w:p>
      <w:pPr>
        <w:spacing w:after="120" w:line="276"/>
        <w:jc w:val="both"/>
      </w:pPr>
      <w:r>
        <w:rPr>
          <w:rFonts w:ascii="Verdana" w:cs="Verdana" w:eastAsia="Verdana" w:hAnsi="Verdana"/>
        </w:rPr>
        <w:t xml:space="preserve">When land or building held as </w:t>
      </w:r>
      <w:r>
        <w:rPr>
          <w:rFonts w:ascii="Verdana" w:cs="Verdana" w:eastAsia="Verdana" w:hAnsi="Verdana"/>
          <w:b/>
          <w:bCs/>
        </w:rPr>
        <w:t xml:space="preserve">stock-in-trade</w:t>
      </w:r>
      <w:r>
        <w:rPr>
          <w:rFonts w:ascii="Verdana" w:cs="Verdana" w:eastAsia="Verdana" w:hAnsi="Verdana"/>
        </w:rPr>
        <w:t xml:space="preserve"> is sold, and the stamp duty value is more than </w:t>
      </w:r>
      <w:r>
        <w:rPr>
          <w:rFonts w:ascii="Verdana" w:cs="Verdana" w:eastAsia="Verdana" w:hAnsi="Verdana"/>
          <w:b/>
          <w:bCs/>
        </w:rPr>
        <w:t xml:space="preserve">110%</w:t>
      </w:r>
      <w:r>
        <w:rPr>
          <w:rFonts w:ascii="Verdana" w:cs="Verdana" w:eastAsia="Verdana" w:hAnsi="Verdana"/>
        </w:rPr>
        <w:t xml:space="preserve"> of the consideration, the stamp duty value is taken as the sale value. This is the business counterpart of section 78 for capital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40: Builder sale</w:t>
            </w:r>
          </w:p>
          <w:p>
            <w:pPr>
              <w:spacing w:after="60" w:line="260"/>
            </w:pPr>
            <w:r>
              <w:rPr>
                <w:rFonts w:ascii="Verdana" w:cs="Verdana" w:eastAsia="Verdana" w:hAnsi="Verdana"/>
                <w:sz w:val="20"/>
                <w:szCs w:val="20"/>
              </w:rPr>
              <w:t xml:space="preserve">A builder sells a flat for Rs. 90 lakh. Stamp duty value is Rs. 1 crore, which is 111% of the price and above the 110% tolerance. Sale value for tax = </w:t>
            </w:r>
            <w:r>
              <w:rPr>
                <w:rFonts w:ascii="Verdana" w:cs="Verdana" w:eastAsia="Verdana" w:hAnsi="Verdana"/>
                <w:b/>
                <w:bCs/>
                <w:sz w:val="20"/>
                <w:szCs w:val="20"/>
              </w:rPr>
              <w:t xml:space="preserve">Rs. 1 crore</w:t>
            </w:r>
            <w:r>
              <w:rPr>
                <w:rFonts w:ascii="Verdana" w:cs="Verdana" w:eastAsia="Verdana" w:hAnsi="Verdana"/>
                <w:sz w:val="20"/>
                <w:szCs w:val="20"/>
              </w:rPr>
              <w:t xml:space="preserve">. If the agreement was signed earlier with part payment by banking channel, the stamp value on the agreement date can be used.</w:t>
            </w:r>
          </w:p>
        </w:tc>
      </w:tr>
    </w:tbl>
    <w:p>
      <w:pPr>
        <w:spacing w:after="60"/>
      </w:pPr>
    </w:p>
    <w:p>
      <w:pPr>
        <w:pStyle w:val="Heading2"/>
        <w:keepNext/>
        <w:spacing w:after="120" w:before="240"/>
      </w:pPr>
      <w:r>
        <w:rPr>
          <w:rFonts w:ascii="Verdana" w:cs="Verdana" w:eastAsia="Verdana" w:hAnsi="Verdana"/>
        </w:rPr>
        <w:t xml:space="preserve">9.14 Speculation, F&amp;O and trading income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2400"/>
        <w:gridCol w:w="4400"/>
      </w:tblGrid>
      <w:tr>
        <w:trPr>
          <w:cantSplit/>
          <w:tblHeader/>
        </w:trPr>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Activity</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Nature</w:t>
            </w:r>
          </w:p>
        </w:tc>
        <w:tc>
          <w:tcPr>
            <w:tcW w:type="dxa" w:w="4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Key rules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Intraday equity trading (no delivery)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Speculative business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 set off only against speculative income, carried forward 4 years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Futures and options on recognised exchanges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Non-speculative business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Normal business loss rules, 8 years carry forward; STT on futures 0.05% and options 0.15% from 1 April 2026</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Delivery based share trading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or capital gains based on intention, frequency and volume</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CBDT guidance allows the taxpayer to choose capital gains for listed shares held over 12 months, applied consistently</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Virtual digital assets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Special rate of 30%</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deduction except cost; losses cannot be set off; TDS 1% on transfer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41: F&amp;O turnover</w:t>
            </w:r>
          </w:p>
          <w:p>
            <w:pPr>
              <w:spacing w:after="60" w:line="260"/>
            </w:pPr>
            <w:r>
              <w:rPr>
                <w:rFonts w:ascii="Verdana" w:cs="Verdana" w:eastAsia="Verdana" w:hAnsi="Verdana"/>
                <w:sz w:val="20"/>
                <w:szCs w:val="20"/>
              </w:rPr>
              <w:t xml:space="preserve">Kiran trades in options. During the year, the total of profits on profitable trades is Rs. 12,00,000 and the total of losses on loss-making trades is Rs. 8,00,000. Premium received on sale of options is already reflected in these figures.</w:t>
            </w:r>
          </w:p>
          <w:p>
            <w:pPr>
              <w:spacing w:after="60" w:line="260"/>
            </w:pPr>
            <w:r>
              <w:rPr>
                <w:rFonts w:ascii="Verdana" w:cs="Verdana" w:eastAsia="Verdana" w:hAnsi="Verdana"/>
                <w:sz w:val="20"/>
                <w:szCs w:val="20"/>
              </w:rPr>
              <w:t xml:space="preserve">Turnover (absolute sum of profits and losses) = </w:t>
            </w:r>
            <w:r>
              <w:rPr>
                <w:rFonts w:ascii="Verdana" w:cs="Verdana" w:eastAsia="Verdana" w:hAnsi="Verdana"/>
                <w:b/>
                <w:bCs/>
                <w:sz w:val="20"/>
                <w:szCs w:val="20"/>
              </w:rPr>
              <w:t xml:space="preserve">Rs. 20,00,000</w:t>
            </w:r>
            <w:r>
              <w:rPr>
                <w:rFonts w:ascii="Verdana" w:cs="Verdana" w:eastAsia="Verdana" w:hAnsi="Verdana"/>
                <w:sz w:val="20"/>
                <w:szCs w:val="20"/>
              </w:rPr>
              <w:t xml:space="preserve">. Net business income = Rs. 4,00,000. Since turnover is well below Rs. 10 crore and transactions are through banking channels, tax audit is not required, unless he opts for presumptive taxation and declares lower profit with income above the exemption limit.</w:t>
            </w:r>
          </w:p>
        </w:tc>
      </w:tr>
    </w:tbl>
    <w:p>
      <w:pPr>
        <w:spacing w:after="60"/>
      </w:pPr>
    </w:p>
    <w:p>
      <w:pPr>
        <w:pStyle w:val="Heading2"/>
        <w:keepNext/>
        <w:spacing w:after="120" w:before="240"/>
      </w:pPr>
      <w:r>
        <w:rPr>
          <w:rFonts w:ascii="Verdana" w:cs="Verdana" w:eastAsia="Verdana" w:hAnsi="Verdana"/>
        </w:rPr>
        <w:t xml:space="preserve">9.15 Presumptive taxation (section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38"/>
        <w:gridCol w:w="2400"/>
      </w:tblGrid>
      <w:tr>
        <w:trPr>
          <w:cantSplit/>
          <w:tblHeader/>
        </w:trPr>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Scheme</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w:t>
            </w:r>
          </w:p>
        </w:tc>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Limit</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Deemed profit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(old 44AD)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 individual, HUF, firm (not LLP)</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up to Rs. 2 crore (Rs. 3 crore if cash receipts are 5% or less)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 of turnover; 6% for digital or banking receipts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Profession (old 44ADA)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 individual, firm (not LLP) in notified professions</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receipts up to Rs. 50 lakh (Rs. 75 lakh if cash receipts are 5% or less)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of gross receipts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carriages (old 44AE)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Owner of up to 10 goods vehicles</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10 vehicles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Heavy vehicle: Rs. 1,000 per ton per month. Others: Rs. 7,500 per vehicle per month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42: Kirana trader</w:t>
            </w:r>
          </w:p>
          <w:p>
            <w:pPr>
              <w:spacing w:after="60" w:line="260"/>
            </w:pPr>
            <w:r>
              <w:rPr>
                <w:rFonts w:ascii="Verdana" w:cs="Verdana" w:eastAsia="Verdana" w:hAnsi="Verdana"/>
                <w:sz w:val="20"/>
                <w:szCs w:val="20"/>
              </w:rPr>
              <w:t xml:space="preserve">Ramesh has turnover of Rs. 1.8 crore: Rs. 1.6 crore through UPI and bank, Rs. 20 lakh in cash.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 of digital receipts (1,60,00,000)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 of cash receipts (20,00,000)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Presumptive business income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11,20,000</w:t>
            </w:r>
          </w:p>
        </w:tc>
      </w:tr>
    </w:tbl>
    <w:p>
      <w:pPr>
        <w:spacing w:after="60"/>
      </w:pPr>
    </w:p>
    <w:p>
      <w:pPr>
        <w:spacing w:after="120" w:line="276"/>
        <w:jc w:val="both"/>
      </w:pPr>
      <w:r>
        <w:rPr>
          <w:rFonts w:ascii="Verdana" w:cs="Verdana" w:eastAsia="Verdana" w:hAnsi="Verdana"/>
        </w:rPr>
        <w:t xml:space="preserve">With no other income, total income is Rs. 11,20,000. The new regime tax of Rs. 52,000 is covered by the rebate under section 156. </w:t>
      </w:r>
      <w:r>
        <w:rPr>
          <w:rFonts w:ascii="Verdana" w:cs="Verdana" w:eastAsia="Verdana" w:hAnsi="Verdana"/>
          <w:b/>
          <w:bCs/>
        </w:rPr>
        <w:t xml:space="preserve">Tax payable: nil.</w:t>
      </w:r>
      <w:r>
        <w:rPr>
          <w:rFonts w:ascii="Verdana" w:cs="Verdana" w:eastAsia="Verdana" w:hAnsi="Verdana"/>
        </w:rPr>
        <w:t xml:space="preserve"> He must still file the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43: Doctor</w:t>
            </w:r>
          </w:p>
          <w:p>
            <w:pPr>
              <w:spacing w:after="60" w:line="260"/>
            </w:pPr>
            <w:r>
              <w:rPr>
                <w:rFonts w:ascii="Verdana" w:cs="Verdana" w:eastAsia="Verdana" w:hAnsi="Verdana"/>
                <w:sz w:val="20"/>
                <w:szCs w:val="20"/>
              </w:rPr>
              <w:t xml:space="preserve">Dr. Anjali has gross receipts of Rs. 60 lakh, of which Rs. 2 lakh (3.3%) is in cash, so her limit is Rs. 75 lakh. Deemed income = 50% = </w:t>
            </w:r>
            <w:r>
              <w:rPr>
                <w:rFonts w:ascii="Verdana" w:cs="Verdana" w:eastAsia="Verdana" w:hAnsi="Verdana"/>
                <w:b/>
                <w:bCs/>
                <w:sz w:val="20"/>
                <w:szCs w:val="20"/>
              </w:rPr>
              <w:t xml:space="preserve">Rs. 30,00,000</w:t>
            </w:r>
            <w:r>
              <w:rPr>
                <w:rFonts w:ascii="Verdana" w:cs="Verdana" w:eastAsia="Verdana" w:hAnsi="Verdana"/>
                <w:sz w:val="20"/>
                <w:szCs w:val="20"/>
              </w:rPr>
              <w:t xml:space="preserve">. New regime tax Rs. 4,80,000 plus cess Rs. 19,200 = </w:t>
            </w:r>
            <w:r>
              <w:rPr>
                <w:rFonts w:ascii="Verdana" w:cs="Verdana" w:eastAsia="Verdana" w:hAnsi="Verdana"/>
                <w:b/>
                <w:bCs/>
                <w:sz w:val="20"/>
                <w:szCs w:val="20"/>
              </w:rPr>
              <w:t xml:space="preserve">Rs. 4,99,200</w:t>
            </w:r>
            <w:r>
              <w:rPr>
                <w:rFonts w:ascii="Verdana" w:cs="Verdana" w:eastAsia="Verdana" w:hAnsi="Verdana"/>
                <w:sz w:val="20"/>
                <w:szCs w:val="20"/>
              </w:rPr>
              <w:t xml:space="preserve">, payable as advance tax in one instalment by 15 March 2027.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 person who opts out of the business scheme and declares lower profit cannot return to it for the next five years, and books and audit may apply.</w:t>
            </w:r>
          </w:p>
          <w:p>
            <w:pPr>
              <w:spacing w:after="60" w:line="260"/>
            </w:pPr>
            <w:r>
              <w:rPr>
                <w:rFonts w:ascii="Verdana" w:cs="Verdana" w:eastAsia="Verdana" w:hAnsi="Verdana"/>
                <w:sz w:val="20"/>
                <w:szCs w:val="20"/>
              </w:rPr>
              <w:t xml:space="preserve">Presumptive income is final: no separate deduction for depreciation, partner salary or interest.</w:t>
            </w:r>
          </w:p>
        </w:tc>
      </w:tr>
    </w:tbl>
    <w:p>
      <w:pPr>
        <w:spacing w:after="60"/>
      </w:pPr>
    </w:p>
    <w:p>
      <w:pPr>
        <w:pStyle w:val="Heading2"/>
        <w:keepNext/>
        <w:spacing w:after="120" w:before="240"/>
      </w:pPr>
      <w:r>
        <w:rPr>
          <w:rFonts w:ascii="Verdana" w:cs="Verdana" w:eastAsia="Verdana" w:hAnsi="Verdana"/>
        </w:rPr>
        <w:t xml:space="preserve">9.16 Books of account and tax audit (sections 62 and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Requirement</w:t>
            </w:r>
          </w:p>
        </w:tc>
        <w:tc>
          <w:tcPr>
            <w:tcW w:type="dxa" w:w="6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Threshold (broad)</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audit for business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above Rs. 1 crore. Rs. 10 crore if cash receipts and cash payments are each 5% or less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audit for profession</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receipts above Rs. 50 lakh; a professional who uses the presumptive scheme (receipts up to Rs. 75 lakh with cash of 5% or less) and declares at least 50% does not need an audit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cases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Audit if income declared is lower than the presumptive rate and total income exceeds the basic exemption limit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Audit report</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Single Form 26 replaces Forms 3CA, 3CB and 3CD; due one month before the return due date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Books for professionals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professionals must keep books if gross receipts exceed the prescribed limit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Before signing Form 26, reconcile every disallowance reported in the audit with the return. CPC can adjust the return during processing for any disallowance shown in the audit report but not offered in the return (section 270).</w:t>
            </w:r>
          </w:p>
        </w:tc>
      </w:tr>
    </w:tbl>
    <w:p>
      <w:pPr>
        <w:spacing w:after="60"/>
      </w:pPr>
    </w:p>
    <w:p>
      <w:pPr>
        <w:pStyle w:val="Heading2"/>
        <w:keepNext/>
        <w:spacing w:after="120" w:before="240"/>
      </w:pPr>
      <w:r>
        <w:rPr>
          <w:rFonts w:ascii="Verdana" w:cs="Verdana" w:eastAsia="Verdana" w:hAnsi="Verdana"/>
        </w:rPr>
        <w:t xml:space="preserve">9.17 Capital or revenue: the principles</w:t>
      </w:r>
    </w:p>
    <w:p>
      <w:pPr>
        <w:spacing w:after="120" w:line="276"/>
        <w:jc w:val="both"/>
      </w:pPr>
      <w:r>
        <w:rPr>
          <w:rFonts w:ascii="Verdana" w:cs="Verdana" w:eastAsia="Verdana" w:hAnsi="Verdana"/>
        </w:rPr>
        <w:t xml:space="preserve">The single most important question in business taxation is whether an item is capital or revenue. Revenue expenditure is deducted in the year incurred; capital expenditure is recovered only through depreciation (if the asset is depreciable) or through cost when the asset is sold. Receipts follow the same logic: revenue receipts are income, capital receipts are generally not, unless specifically taxed.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Test</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Points to revenue</w:t>
            </w:r>
          </w:p>
        </w:tc>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Points to capital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Enduring benefit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Benefit consumed within the year or a short period</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Benefit of a lasting nature in the capital field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Fixed or circulating capital</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Spent on stock, raw material, working expenses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Spent on acquiring or improving the profit making structure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Nature of the advantage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Facilitates running the business more efficiently</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Brings a new asset or right into existence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Recurring or one-time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Recurs in the ordinary course</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One-time outlay (though not conclusive)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Treatment in books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Relevant but not conclusive</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Relevant but not conclusive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Capital or revenue</w:t>
            </w:r>
          </w:p>
          <w:p>
            <w:pPr>
              <w:spacing w:after="60" w:line="260"/>
            </w:pPr>
            <w:r>
              <w:rPr>
                <w:rFonts w:ascii="Verdana" w:cs="Verdana" w:eastAsia="Verdana" w:hAnsi="Verdana"/>
                <w:b/>
                <w:bCs/>
                <w:sz w:val="20"/>
                <w:szCs w:val="20"/>
              </w:rPr>
              <w:t xml:space="preserve">Empire Jute Co. Ltd. v. CIT (Supreme Court, 1980):</w:t>
            </w:r>
            <w:r>
              <w:rPr>
                <w:rFonts w:ascii="Verdana" w:cs="Verdana" w:eastAsia="Verdana" w:hAnsi="Verdana"/>
                <w:sz w:val="20"/>
                <w:szCs w:val="20"/>
              </w:rPr>
              <w:t xml:space="preserve"> the enduring benefit test is not conclusive. Expenditure that gives an advantage for the more efficient running of the business, without touching the fixed capital, is revenue even if the benefit lasts for some time. Payment for purchasing loom hours was held revenue.</w:t>
            </w:r>
          </w:p>
          <w:p>
            <w:pPr>
              <w:spacing w:after="60" w:line="260"/>
            </w:pPr>
            <w:r>
              <w:rPr>
                <w:rFonts w:ascii="Verdana" w:cs="Verdana" w:eastAsia="Verdana" w:hAnsi="Verdana"/>
                <w:b/>
                <w:bCs/>
                <w:sz w:val="20"/>
                <w:szCs w:val="20"/>
              </w:rPr>
              <w:t xml:space="preserve">CIT v. Mahindra and Mahindra Ltd. (Supreme Court, 2018):</w:t>
            </w:r>
            <w:r>
              <w:rPr>
                <w:rFonts w:ascii="Verdana" w:cs="Verdana" w:eastAsia="Verdana" w:hAnsi="Verdana"/>
                <w:sz w:val="20"/>
                <w:szCs w:val="20"/>
              </w:rPr>
              <w:t xml:space="preserve"> waiver of a loan taken for purchase of capital assets is not taxable as a business benefit or as remission of a trading liability, since the loan was not a trading liability and the waiver was of cash, not a benefit in kind.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44: Software and website costs</w:t>
            </w:r>
          </w:p>
          <w:p>
            <w:pPr>
              <w:spacing w:after="60" w:line="260"/>
            </w:pPr>
            <w:r>
              <w:rPr>
                <w:rFonts w:ascii="Verdana" w:cs="Verdana" w:eastAsia="Verdana" w:hAnsi="Verdana"/>
                <w:sz w:val="20"/>
                <w:szCs w:val="20"/>
              </w:rPr>
              <w:t xml:space="preserve">A company pays Rs. 6 lakh for annual cloud software subscriptions, Rs. 20 lakh for a perpetual ERP licence with customisation, and Rs. 2 lakh for routine website maintenance. The subscriptions and maintenance are </w:t>
            </w:r>
            <w:r>
              <w:rPr>
                <w:rFonts w:ascii="Verdana" w:cs="Verdana" w:eastAsia="Verdana" w:hAnsi="Verdana"/>
                <w:b/>
                <w:bCs/>
                <w:sz w:val="20"/>
                <w:szCs w:val="20"/>
              </w:rPr>
              <w:t xml:space="preserve">revenue</w:t>
            </w:r>
            <w:r>
              <w:rPr>
                <w:rFonts w:ascii="Verdana" w:cs="Verdana" w:eastAsia="Verdana" w:hAnsi="Verdana"/>
                <w:sz w:val="20"/>
                <w:szCs w:val="20"/>
              </w:rPr>
              <w:t xml:space="preserve">. The perpetual ERP licence is </w:t>
            </w:r>
            <w:r>
              <w:rPr>
                <w:rFonts w:ascii="Verdana" w:cs="Verdana" w:eastAsia="Verdana" w:hAnsi="Verdana"/>
                <w:b/>
                <w:bCs/>
                <w:sz w:val="20"/>
                <w:szCs w:val="20"/>
              </w:rPr>
              <w:t xml:space="preserve">capital</w:t>
            </w:r>
            <w:r>
              <w:rPr>
                <w:rFonts w:ascii="Verdana" w:cs="Verdana" w:eastAsia="Verdana" w:hAnsi="Verdana"/>
                <w:sz w:val="20"/>
                <w:szCs w:val="20"/>
              </w:rPr>
              <w:t xml:space="preserve">, eligible for depreciation as an intangible or as computer software at 40%.</w:t>
            </w:r>
          </w:p>
        </w:tc>
      </w:tr>
    </w:tbl>
    <w:p>
      <w:pPr>
        <w:spacing w:after="60"/>
      </w:pPr>
    </w:p>
    <w:p>
      <w:pPr>
        <w:pStyle w:val="Heading2"/>
        <w:keepNext/>
        <w:spacing w:after="120" w:before="240"/>
      </w:pPr>
      <w:r>
        <w:rPr>
          <w:rFonts w:ascii="Verdana" w:cs="Verdana" w:eastAsia="Verdana" w:hAnsi="Verdana"/>
        </w:rPr>
        <w:t xml:space="preserve">9.18 Interest on borrowed capital (section 32)</w:t>
      </w:r>
    </w:p>
    <w:p>
      <w:pPr>
        <w:spacing w:after="120" w:line="276"/>
        <w:jc w:val="both"/>
      </w:pPr>
      <w:r>
        <w:rPr>
          <w:rFonts w:ascii="Verdana" w:cs="Verdana" w:eastAsia="Verdana" w:hAnsi="Verdana"/>
        </w:rPr>
        <w:t xml:space="preserve">Interest on money borrowed for the purpose of business is deductible. Two conditions matter: the money must be borrowed, and it must be used for the business. It does not matter whether the loan is used for a revenue or a capital purpose, except that interest for acquiring an asset for </w:t>
      </w:r>
      <w:r>
        <w:rPr>
          <w:rFonts w:ascii="Verdana" w:cs="Verdana" w:eastAsia="Verdana" w:hAnsi="Verdana"/>
          <w:b/>
          <w:bCs/>
        </w:rPr>
        <w:t xml:space="preserve">extension</w:t>
      </w:r>
      <w:r>
        <w:rPr>
          <w:rFonts w:ascii="Verdana" w:cs="Verdana" w:eastAsia="Verdana" w:hAnsi="Verdana"/>
        </w:rPr>
        <w:t xml:space="preserve"> of an existing business, relating to the period up to the date the asset is first put to use, must be capitalised as part of the cost of the asset.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45: Capitalisation of interest</w:t>
            </w:r>
          </w:p>
          <w:p>
            <w:pPr>
              <w:spacing w:after="60" w:line="260"/>
            </w:pPr>
            <w:r>
              <w:rPr>
                <w:rFonts w:ascii="Verdana" w:cs="Verdana" w:eastAsia="Verdana" w:hAnsi="Verdana"/>
                <w:sz w:val="20"/>
                <w:szCs w:val="20"/>
              </w:rPr>
              <w:t xml:space="preserve">A manufacturer borrows Rs. 5 crore on 1 April 2026 at 10% to set up a new production line (an extension of its business). The line is first put to use on 1 October 2026. Interest for April to September, Rs. 25 lakh, is added to the cost of the line and depreciated. Interest from October to March, Rs. 25 lakh, is deductible as revenue expenditure in Tax Year 2026-27.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Timing of interest deduction</w:t>
            </w:r>
          </w:p>
          <w:p>
            <w:pPr>
              <w:spacing w:after="60" w:line="260"/>
            </w:pPr>
            <w:r>
              <w:rPr>
                <w:rFonts w:ascii="Verdana" w:cs="Verdana" w:eastAsia="Verdana" w:hAnsi="Verdana"/>
                <w:b/>
                <w:bCs/>
                <w:sz w:val="20"/>
                <w:szCs w:val="20"/>
              </w:rPr>
              <w:t xml:space="preserve">Taparia Tools Ltd. v. JCIT (Supreme Court, 2015):</w:t>
            </w:r>
            <w:r>
              <w:rPr>
                <w:rFonts w:ascii="Verdana" w:cs="Verdana" w:eastAsia="Verdana" w:hAnsi="Verdana"/>
                <w:sz w:val="20"/>
                <w:szCs w:val="20"/>
              </w:rPr>
              <w:t xml:space="preserve"> where a company paid interest upfront on debentures and claimed it fully in the year of payment, the claim was allowed, even though the books spread it over five years. The deduction follows the Act, not the accounting treatment, unless the Act says otherwise.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Interest-free advances to sister concerns</w:t>
            </w:r>
          </w:p>
          <w:p>
            <w:pPr>
              <w:spacing w:after="60" w:line="260"/>
            </w:pPr>
            <w:r>
              <w:rPr>
                <w:rFonts w:ascii="Verdana" w:cs="Verdana" w:eastAsia="Verdana" w:hAnsi="Verdana"/>
                <w:b/>
                <w:bCs/>
                <w:sz w:val="20"/>
                <w:szCs w:val="20"/>
              </w:rPr>
              <w:t xml:space="preserve">S.A. Builders Ltd. v. CIT (Supreme Court, 2006):</w:t>
            </w:r>
            <w:r>
              <w:rPr>
                <w:rFonts w:ascii="Verdana" w:cs="Verdana" w:eastAsia="Verdana" w:hAnsi="Verdana"/>
                <w:sz w:val="20"/>
                <w:szCs w:val="20"/>
              </w:rPr>
              <w:t xml:space="preserve"> where borrowed funds are advanced interest-free to a subsidiary or sister concern for reasons of commercial expediency, interest on the borrowing is still deductible. The test is whether the advance serves the business interest of the assessee, judged from the viewpoint of a prudent businessman.</w:t>
            </w:r>
          </w:p>
        </w:tc>
      </w:tr>
    </w:tbl>
    <w:p>
      <w:pPr>
        <w:spacing w:after="60"/>
      </w:pPr>
    </w:p>
    <w:p>
      <w:pPr>
        <w:pStyle w:val="Heading2"/>
        <w:keepNext/>
        <w:spacing w:after="120" w:before="240"/>
      </w:pPr>
      <w:r>
        <w:rPr>
          <w:rFonts w:ascii="Verdana" w:cs="Verdana" w:eastAsia="Verdana" w:hAnsi="Verdana"/>
        </w:rPr>
        <w:t xml:space="preserve">9.19 More on disallowances under section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5000"/>
      </w:tblGrid>
      <w:tr>
        <w:trPr>
          <w:cantSplit/>
          <w:tblHeader/>
        </w:trPr>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 disallowed</w:t>
            </w:r>
          </w:p>
        </w:tc>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Explanation</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royalty, FTS or other sums payable to a non-resident without TDS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disallowed until TDS is deducted and paid</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Sums payable to a resident without TDS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disallowed until TDS is paid</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tax, including surcharge and cess, and taxes on profits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deductible, whether paid in India or outside (foreign tax is handled through tax credit)</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payable outside India to a non-resident without TDS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Disallowed</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Partner remuneration and interest beyond limits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Excess disallowed (explained earlier)</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Payments to provident or other funds for employees, unless effective arrangements for TDS on payments from the fund</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Disallowed</w:t>
            </w:r>
          </w:p>
        </w:tc>
      </w:tr>
    </w:tbl>
    <w:p>
      <w:pPr>
        <w:spacing w:after="60"/>
      </w:pPr>
    </w:p>
    <w:p>
      <w:pPr>
        <w:spacing w:after="120" w:line="276"/>
        <w:jc w:val="both"/>
      </w:pPr>
      <w:r>
        <w:rPr>
          <w:rFonts w:ascii="Verdana" w:cs="Verdana" w:eastAsia="Verdana" w:hAnsi="Verdana"/>
        </w:rPr>
        <w:t xml:space="preserve">Securities transaction tax paid on transactions whose income is taxed as business income is deductible, while wealth tax and similar taxes are not.</w:t>
      </w:r>
    </w:p>
    <w:p>
      <w:pPr>
        <w:pStyle w:val="Heading2"/>
        <w:keepNext/>
        <w:spacing w:after="120" w:before="240"/>
      </w:pPr>
      <w:r>
        <w:rPr>
          <w:rFonts w:ascii="Verdana" w:cs="Verdana" w:eastAsia="Verdana" w:hAnsi="Verdana"/>
        </w:rPr>
        <w:t xml:space="preserve">9.20 Related party payments (section 36) in detail</w:t>
      </w:r>
    </w:p>
    <w:p>
      <w:pPr>
        <w:spacing w:after="120" w:line="276"/>
        <w:jc w:val="both"/>
      </w:pPr>
      <w:r>
        <w:rPr>
          <w:rFonts w:ascii="Verdana" w:cs="Verdana" w:eastAsia="Verdana" w:hAnsi="Verdana"/>
        </w:rPr>
        <w:t xml:space="preserve">Where a payment is made to a related person (a relative of the individual, a director or partner or their relatives, a person with substantial interest of 20% or more, and certain connected entities), the Assessing Officer can disallow the part that is excessive or unreasonable having regard to the fair market value of the goods, services or facilities, or the legitimate needs of the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46: Salary to a relative</w:t>
            </w:r>
          </w:p>
          <w:p>
            <w:pPr>
              <w:spacing w:after="60" w:line="260"/>
            </w:pPr>
            <w:r>
              <w:rPr>
                <w:rFonts w:ascii="Verdana" w:cs="Verdana" w:eastAsia="Verdana" w:hAnsi="Verdana"/>
                <w:sz w:val="20"/>
                <w:szCs w:val="20"/>
              </w:rPr>
              <w:t xml:space="preserve">A proprietor pays his son Rs. 1,20,000 a month as "business development manager". The son is a fresh graduate with no experience; similar roles in the market pay about Rs. 60,000 a month. The Assessing Officer can disallow Rs. 60,000 a month, i.e. </w:t>
            </w:r>
            <w:r>
              <w:rPr>
                <w:rFonts w:ascii="Verdana" w:cs="Verdana" w:eastAsia="Verdana" w:hAnsi="Verdana"/>
                <w:b/>
                <w:bCs/>
                <w:sz w:val="20"/>
                <w:szCs w:val="20"/>
              </w:rPr>
              <w:t xml:space="preserve">Rs. 7,20,000</w:t>
            </w:r>
            <w:r>
              <w:rPr>
                <w:rFonts w:ascii="Verdana" w:cs="Verdana" w:eastAsia="Verdana" w:hAnsi="Verdana"/>
                <w:sz w:val="20"/>
                <w:szCs w:val="20"/>
              </w:rPr>
              <w:t xml:space="preserve"> for the year, as excessive. Keep evidence of qualifications, duties and market benchmarks to support such payments.</w:t>
            </w:r>
          </w:p>
        </w:tc>
      </w:tr>
    </w:tbl>
    <w:p>
      <w:pPr>
        <w:spacing w:after="60"/>
      </w:pPr>
    </w:p>
    <w:p>
      <w:pPr>
        <w:pStyle w:val="Heading2"/>
        <w:keepNext/>
        <w:spacing w:after="120" w:before="240"/>
      </w:pPr>
      <w:r>
        <w:rPr>
          <w:rFonts w:ascii="Verdana" w:cs="Verdana" w:eastAsia="Verdana" w:hAnsi="Verdana"/>
        </w:rPr>
        <w:t xml:space="preserve">9.21 Payment basis items (section 37) with timing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8"/>
        <w:gridCol w:w="4200"/>
      </w:tblGrid>
      <w:tr>
        <w:trPr>
          <w:cantSplit/>
          <w:tblHeader/>
        </w:trPr>
        <w:tc>
          <w:tcPr>
            <w:tcW w:type="dxa" w:w="5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4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Allowed in which year</w:t>
            </w:r>
          </w:p>
        </w:tc>
      </w:tr>
      <w:tr>
        <w:trPr>
          <w:cantSplit/>
        </w:trPr>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duty, cess or fee under any law (GST, customs, municipal tax)</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 of payment, or accrual year if paid by the return due date</w:t>
            </w:r>
          </w:p>
        </w:tc>
      </w:tr>
      <w:tr>
        <w:trPr>
          <w:cantSplit/>
        </w:trPr>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contribution to PF, superannuation, gratuity fund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w:t>
            </w:r>
          </w:p>
        </w:tc>
      </w:tr>
      <w:tr>
        <w:trPr>
          <w:cantSplit/>
        </w:trPr>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Bonus or commission to employees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w:t>
            </w:r>
          </w:p>
        </w:tc>
      </w:tr>
      <w:tr>
        <w:trPr>
          <w:cantSplit/>
        </w:trPr>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loans from banks, co-operative banks, NBFCs, financial institutions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converting interest into a new loan is not payment</w:t>
            </w:r>
          </w:p>
        </w:tc>
      </w:tr>
      <w:tr>
        <w:trPr>
          <w:cantSplit/>
        </w:trPr>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Leave encashment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w:t>
            </w:r>
          </w:p>
        </w:tc>
      </w:tr>
      <w:tr>
        <w:trPr>
          <w:cantSplit/>
        </w:trPr>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Payments to micro and small enterprises beyond MSMED time limit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Only in the year of actual payment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47: Bonus timing</w:t>
            </w:r>
          </w:p>
          <w:p>
            <w:pPr>
              <w:spacing w:after="60" w:line="260"/>
            </w:pPr>
            <w:r>
              <w:rPr>
                <w:rFonts w:ascii="Verdana" w:cs="Verdana" w:eastAsia="Verdana" w:hAnsi="Verdana"/>
                <w:sz w:val="20"/>
                <w:szCs w:val="20"/>
              </w:rPr>
              <w:t xml:space="preserve">A company provides bonus of Rs. 10 lakh for Tax Year 2026-27 in its books. It pays Rs. 6 lakh on 15 October 2027 and Rs. 4 lakh on 10 December 2027. The return due date is 31 October 2027. Rs. 6 lakh is allowed in Tax Year 2026-27. Rs. 4 lakh is allowed only in Tax Year 2027-28, the year of payment.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Employees' PF contribution</w:t>
            </w:r>
          </w:p>
          <w:p>
            <w:pPr>
              <w:spacing w:after="60" w:line="260"/>
            </w:pPr>
            <w:r>
              <w:rPr>
                <w:rFonts w:ascii="Verdana" w:cs="Verdana" w:eastAsia="Verdana" w:hAnsi="Verdana"/>
                <w:b/>
                <w:bCs/>
                <w:sz w:val="20"/>
                <w:szCs w:val="20"/>
              </w:rPr>
              <w:t xml:space="preserve">Checkmate Services (P) Ltd. v. CIT (Supreme Court, 2022):</w:t>
            </w:r>
            <w:r>
              <w:rPr>
                <w:rFonts w:ascii="Verdana" w:cs="Verdana" w:eastAsia="Verdana" w:hAnsi="Verdana"/>
                <w:sz w:val="20"/>
                <w:szCs w:val="20"/>
              </w:rPr>
              <w:t xml:space="preserve"> employees' contributions deducted from salary are income of the employer (held in trust) and are deductible only if deposited by the due date under the PF or ESI law. The relaxation of paying by the return due date applies only to the employer's own contribution, not to the employees' share.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Employer's contribution paid before the return due date</w:t>
            </w:r>
          </w:p>
          <w:p>
            <w:pPr>
              <w:spacing w:after="60" w:line="260"/>
            </w:pPr>
            <w:r>
              <w:rPr>
                <w:rFonts w:ascii="Verdana" w:cs="Verdana" w:eastAsia="Verdana" w:hAnsi="Verdana"/>
                <w:b/>
                <w:bCs/>
                <w:sz w:val="20"/>
                <w:szCs w:val="20"/>
              </w:rPr>
              <w:t xml:space="preserve">CIT v. Alom Extrusions Ltd. (Supreme Court, 2009):</w:t>
            </w:r>
            <w:r>
              <w:rPr>
                <w:rFonts w:ascii="Verdana" w:cs="Verdana" w:eastAsia="Verdana" w:hAnsi="Verdana"/>
                <w:sz w:val="20"/>
                <w:szCs w:val="20"/>
              </w:rPr>
              <w:t xml:space="preserve"> the amendment allowing the employer's contribution to PF and similar funds on payment by the return due date is curative and applies retrospectively. This principle continues under section 37 for the employer's own contribution.</w:t>
            </w:r>
          </w:p>
        </w:tc>
      </w:tr>
    </w:tbl>
    <w:p>
      <w:pPr>
        <w:spacing w:after="60"/>
      </w:pPr>
    </w:p>
    <w:p>
      <w:pPr>
        <w:pStyle w:val="Heading2"/>
        <w:keepNext/>
        <w:spacing w:after="120" w:before="240"/>
      </w:pPr>
      <w:r>
        <w:rPr>
          <w:rFonts w:ascii="Verdana" w:cs="Verdana" w:eastAsia="Verdana" w:hAnsi="Verdana"/>
        </w:rPr>
        <w:t xml:space="preserve">9.22 Depreciation: special situations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58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5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Treatment</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 used partly for personal purposes</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 allowed only for the business proportion</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assets of a block sold</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depreciation for the year; difference between sale value and WDV plus additions is short-term capital gain or loss</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value exceeds WDV plus additions</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Excess is short-term capital gain, even if assets were held for years (section 74)</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 acquired but not put to use in the year</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depreciation that year</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 acquired from a related person or in a scheme</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cost as per section 39 rules (for example, WDV of the transferor)</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Subsidy or grant for the asset</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Reduces actual cost</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payment above Rs. 10,000 for acquisition</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That payment is excluded from actual cost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48: Block of computers</w:t>
            </w:r>
          </w:p>
          <w:p>
            <w:pPr>
              <w:spacing w:after="60" w:line="260"/>
            </w:pPr>
            <w:r>
              <w:rPr>
                <w:rFonts w:ascii="Verdana" w:cs="Verdana" w:eastAsia="Verdana" w:hAnsi="Verdana"/>
                <w:sz w:val="20"/>
                <w:szCs w:val="20"/>
              </w:rPr>
              <w:t xml:space="preserve">Opening WDV of the computers block is Rs. 3,00,000. No additions. During the year all computers are sold for Rs. 4,00,000.</w:t>
            </w:r>
          </w:p>
          <w:p>
            <w:pPr>
              <w:spacing w:after="60" w:line="260"/>
            </w:pPr>
            <w:r>
              <w:rPr>
                <w:rFonts w:ascii="Verdana" w:cs="Verdana" w:eastAsia="Verdana" w:hAnsi="Verdana"/>
                <w:sz w:val="20"/>
                <w:szCs w:val="20"/>
              </w:rPr>
              <w:t xml:space="preserve">The block ceases to exist. No depreciation. </w:t>
            </w:r>
            <w:r>
              <w:rPr>
                <w:rFonts w:ascii="Verdana" w:cs="Verdana" w:eastAsia="Verdana" w:hAnsi="Verdana"/>
                <w:b/>
                <w:bCs/>
                <w:sz w:val="20"/>
                <w:szCs w:val="20"/>
              </w:rPr>
              <w:t xml:space="preserve">Short-term capital gain = Rs. 1,00,000</w:t>
            </w:r>
            <w:r>
              <w:rPr>
                <w:rFonts w:ascii="Verdana" w:cs="Verdana" w:eastAsia="Verdana" w:hAnsi="Verdana"/>
                <w:sz w:val="20"/>
                <w:szCs w:val="20"/>
              </w:rPr>
              <w:t xml:space="preserve"> (4,00,000 less 3,00,000), taxed at normal rates.</w:t>
            </w:r>
          </w:p>
          <w:p>
            <w:pPr>
              <w:spacing w:after="60" w:line="260"/>
            </w:pPr>
            <w:r>
              <w:rPr>
                <w:rFonts w:ascii="Verdana" w:cs="Verdana" w:eastAsia="Verdana" w:hAnsi="Verdana"/>
                <w:sz w:val="20"/>
                <w:szCs w:val="20"/>
              </w:rPr>
              <w:t xml:space="preserve">If instead only some computers were sold for Rs. 2,00,000, the block would continue with WDV Rs. 1,00,000 and depreciation at 40% = Rs. 40,000.</w:t>
            </w:r>
          </w:p>
        </w:tc>
      </w:tr>
    </w:tbl>
    <w:p>
      <w:pPr>
        <w:spacing w:after="60"/>
      </w:pPr>
    </w:p>
    <w:p>
      <w:pPr>
        <w:spacing w:after="120" w:line="276"/>
        <w:jc w:val="both"/>
      </w:pPr>
      <w:r>
        <w:rPr>
          <w:rFonts w:ascii="Verdana" w:cs="Verdana" w:eastAsia="Verdana" w:hAnsi="Verdana"/>
          <w:b/>
          <w:bCs/>
        </w:rPr>
        <w:t xml:space="preserve">Unabsorbed depreciation:</w:t>
      </w:r>
      <w:r>
        <w:rPr>
          <w:rFonts w:ascii="Verdana" w:cs="Verdana" w:eastAsia="Verdana" w:hAnsi="Verdana"/>
        </w:rPr>
        <w:t xml:space="preserve"> if depreciation cannot be fully absorbed because profits are inadequate, the balance is added to the next year's depreciation and carried forward without time limit. Order of set off each year: current depreciation, then brought forward business loss, then unabsorbed depreciation.</w:t>
      </w:r>
    </w:p>
    <w:p>
      <w:pPr>
        <w:pStyle w:val="Heading2"/>
        <w:keepNext/>
        <w:spacing w:after="120" w:before="240"/>
      </w:pPr>
      <w:r>
        <w:rPr>
          <w:rFonts w:ascii="Verdana" w:cs="Verdana" w:eastAsia="Verdana" w:hAnsi="Verdana"/>
        </w:rPr>
        <w:t xml:space="preserve">9.23 Presumptive schemes: more practical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49: Opting out of the business scheme</w:t>
            </w:r>
          </w:p>
          <w:p>
            <w:pPr>
              <w:spacing w:after="60" w:line="260"/>
            </w:pPr>
            <w:r>
              <w:rPr>
                <w:rFonts w:ascii="Verdana" w:cs="Verdana" w:eastAsia="Verdana" w:hAnsi="Verdana"/>
                <w:sz w:val="20"/>
                <w:szCs w:val="20"/>
              </w:rPr>
              <w:t xml:space="preserve">Nisha, a trader, declared 8% profit under section 58 for Tax Year 2025-26 (then 44AD). For Tax Year 2026-27, her actual profit is lower, so she declares 4% of turnover and keeps books. She cannot use the business presumptive scheme for the next five tax years (2027-28 to 2031-32). Since her income is above the basic exemption limit and she has declared lower profit, she must also get her accounts audited.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50: Goods carriages</w:t>
            </w:r>
          </w:p>
          <w:p>
            <w:pPr>
              <w:spacing w:after="60" w:line="260"/>
            </w:pPr>
            <w:r>
              <w:rPr>
                <w:rFonts w:ascii="Verdana" w:cs="Verdana" w:eastAsia="Verdana" w:hAnsi="Verdana"/>
                <w:sz w:val="20"/>
                <w:szCs w:val="20"/>
              </w:rPr>
              <w:t xml:space="preserve">Pawan owns 3 heavy goods vehicles of 12 tons gross weight each and 2 light goods vehicles, all held throughout Tax Year 2026-27. Presumptive income = (3 x 12 x 1,000 x 12) + (2 x 7,500 x 12) = 4,32,000 + 1,80,000 = </w:t>
            </w:r>
            <w:r>
              <w:rPr>
                <w:rFonts w:ascii="Verdana" w:cs="Verdana" w:eastAsia="Verdana" w:hAnsi="Verdana"/>
                <w:b/>
                <w:bCs/>
                <w:sz w:val="20"/>
                <w:szCs w:val="20"/>
              </w:rPr>
              <w:t xml:space="preserve">Rs. 6,12,000</w:t>
            </w:r>
            <w:r>
              <w:rPr>
                <w:rFonts w:ascii="Verdana" w:cs="Verdana" w:eastAsia="Verdana" w:hAnsi="Verdana"/>
                <w:sz w:val="20"/>
                <w:szCs w:val="20"/>
              </w:rPr>
              <w:t xml:space="preserve">. He may declare higher income if actual is higher.</w:t>
            </w:r>
          </w:p>
        </w:tc>
      </w:tr>
    </w:tbl>
    <w:p>
      <w:pPr>
        <w:spacing w:after="60"/>
      </w:pPr>
    </w:p>
    <w:p>
      <w:pPr>
        <w:pStyle w:val="Heading2"/>
        <w:keepNext/>
        <w:spacing w:after="120" w:before="240"/>
      </w:pPr>
      <w:r>
        <w:rPr>
          <w:rFonts w:ascii="Verdana" w:cs="Verdana" w:eastAsia="Verdana" w:hAnsi="Verdana"/>
        </w:rPr>
        <w:t xml:space="preserve">9.24 Income Computation and Disclosure Standards</w:t>
      </w:r>
    </w:p>
    <w:p>
      <w:pPr>
        <w:spacing w:after="120" w:line="276"/>
        <w:jc w:val="both"/>
      </w:pPr>
      <w:r>
        <w:rPr>
          <w:rFonts w:ascii="Verdana" w:cs="Verdana" w:eastAsia="Verdana" w:hAnsi="Verdana"/>
        </w:rPr>
        <w:t xml:space="preserve">The ten ICDS apply to all assessees following the mercantile system for computing business income and income from other sources (individuals and HUFs not requiring tax audit are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ICDS</w:t>
            </w:r>
          </w:p>
        </w:tc>
        <w:tc>
          <w:tcPr>
            <w:tcW w:type="dxa" w:w="7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Key tax difference from accounting standards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 Accounting policies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Prudence cannot be used to recognise expected losses unless another ICDS allows it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II: Valuation of inventories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or NRV; opening stock of a year = closing stock of the previous year</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III: Construction contracts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Percentage of completion; retention money recognised; early stage threshold 25%</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IV: Revenue recognition</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recognised by percentage of completion; interest accrues on time basis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 Tangible fixed assets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components; tax depreciation still under the Act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 Foreign exchange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Monetary items restated at year-end rates; MTM gains and losses on certain contracts allowed</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VII: Government grants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Cannot be postponed beyond the year of actual receipt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VIII: Securities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Held as stock-in-trade: lower of cost or NRV, category-wise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IX: Borrowing costs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Capitalisation rules, including general borrowings by formula</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 Provisions and contingencies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 only when reasonably certain (higher than "probable" under accounting)</w:t>
            </w:r>
          </w:p>
        </w:tc>
      </w:tr>
    </w:tbl>
    <w:p>
      <w:pPr>
        <w:spacing w:after="60"/>
      </w:pPr>
    </w:p>
    <w:p>
      <w:pPr>
        <w:pStyle w:val="Heading2"/>
        <w:keepNext/>
        <w:spacing w:after="120" w:before="240"/>
      </w:pPr>
      <w:r>
        <w:rPr>
          <w:rFonts w:ascii="Verdana" w:cs="Verdana" w:eastAsia="Verdana" w:hAnsi="Verdana"/>
        </w:rPr>
        <w:t xml:space="preserve">9.25 Books of account and records (section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5000"/>
      </w:tblGrid>
      <w:tr>
        <w:trPr>
          <w:cantSplit/>
          <w:tblHeader/>
        </w:trPr>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Person</w:t>
            </w:r>
          </w:p>
        </w:tc>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When books must be kept</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professionals (legal, medical, engineering, architecture, accountancy, technical consultancy, interior decoration, film artists, company secretaries, IT professionals, authorised representatives)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receipts above Rs. 1.5 lakh in all three preceding years: prescribed books (cash book, journal, ledger, bills, receipts). New profession: if receipts likely to exceed Rs. 1.5 lakh</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business or profession (individual or HUF)</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above Rs. 2.5 lakh or turnover above Rs. 25 lakh in any of the three preceding years</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cases declaring lower profit</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Books required</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Retention</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Generally 6 years from the end of the relevant year, longer if proceedings are pending</w:t>
            </w:r>
          </w:p>
        </w:tc>
      </w:tr>
    </w:tbl>
    <w:p>
      <w:pPr>
        <w:spacing w:after="60"/>
      </w:pPr>
    </w:p>
    <w:p>
      <w:pPr>
        <w:pStyle w:val="Heading2"/>
        <w:keepNext/>
        <w:spacing w:after="120" w:before="240"/>
      </w:pPr>
      <w:r>
        <w:rPr>
          <w:rFonts w:ascii="Verdana" w:cs="Verdana" w:eastAsia="Verdana" w:hAnsi="Verdana"/>
        </w:rPr>
        <w:t xml:space="preserve">9.26 Tax audit: what the auditor reports in Form 26</w:t>
      </w:r>
    </w:p>
    <w:p>
      <w:pPr>
        <w:pStyle w:val="ListParagraph"/>
        <w:numPr>
          <w:ilvl w:val="0"/>
          <w:numId w:val="2"/>
        </w:numPr>
        <w:spacing w:after="60" w:line="264"/>
      </w:pPr>
      <w:r>
        <w:rPr>
          <w:rFonts w:ascii="Verdana" w:cs="Verdana" w:eastAsia="Verdana" w:hAnsi="Verdana"/>
        </w:rPr>
        <w:t xml:space="preserve">Nature of business, books maintained, method of accounting and ICDS adjustments.</w:t>
      </w:r>
    </w:p>
    <w:p>
      <w:pPr>
        <w:pStyle w:val="ListParagraph"/>
        <w:numPr>
          <w:ilvl w:val="0"/>
          <w:numId w:val="2"/>
        </w:numPr>
        <w:spacing w:after="60" w:line="264"/>
      </w:pPr>
      <w:r>
        <w:rPr>
          <w:rFonts w:ascii="Verdana" w:cs="Verdana" w:eastAsia="Verdana" w:hAnsi="Verdana"/>
        </w:rPr>
        <w:t xml:space="preserve">Depreciation computed as per the Act, with additions and disposals.</w:t>
      </w:r>
    </w:p>
    <w:p>
      <w:pPr>
        <w:pStyle w:val="ListParagraph"/>
        <w:numPr>
          <w:ilvl w:val="0"/>
          <w:numId w:val="2"/>
        </w:numPr>
        <w:spacing w:after="60" w:line="264"/>
      </w:pPr>
      <w:r>
        <w:rPr>
          <w:rFonts w:ascii="Verdana" w:cs="Verdana" w:eastAsia="Verdana" w:hAnsi="Verdana"/>
        </w:rPr>
        <w:t xml:space="preserve">Amounts inadmissible under sections 35, 36 and 37, including TDS defaults, cash payments and MSME dues.</w:t>
      </w:r>
    </w:p>
    <w:p>
      <w:pPr>
        <w:pStyle w:val="ListParagraph"/>
        <w:numPr>
          <w:ilvl w:val="0"/>
          <w:numId w:val="2"/>
        </w:numPr>
        <w:spacing w:after="60" w:line="264"/>
      </w:pPr>
      <w:r>
        <w:rPr>
          <w:rFonts w:ascii="Verdana" w:cs="Verdana" w:eastAsia="Verdana" w:hAnsi="Verdana"/>
        </w:rPr>
        <w:t xml:space="preserve">Payments to related persons, loans and deposits accepted or repaid in cash, and quantitative details of goods.</w:t>
      </w:r>
    </w:p>
    <w:p>
      <w:pPr>
        <w:pStyle w:val="ListParagraph"/>
        <w:numPr>
          <w:ilvl w:val="0"/>
          <w:numId w:val="2"/>
        </w:numPr>
        <w:spacing w:after="60" w:line="264"/>
      </w:pPr>
      <w:r>
        <w:rPr>
          <w:rFonts w:ascii="Verdana" w:cs="Verdana" w:eastAsia="Verdana" w:hAnsi="Verdana"/>
        </w:rPr>
        <w:t xml:space="preserve">TDS and TCS compliance, including delays and short deductions.</w:t>
      </w:r>
    </w:p>
    <w:p>
      <w:pPr>
        <w:pStyle w:val="ListParagraph"/>
        <w:numPr>
          <w:ilvl w:val="0"/>
          <w:numId w:val="2"/>
        </w:numPr>
        <w:spacing w:after="60" w:line="264"/>
      </w:pPr>
      <w:r>
        <w:rPr>
          <w:rFonts w:ascii="Verdana" w:cs="Verdana" w:eastAsia="Verdana" w:hAnsi="Verdana"/>
        </w:rPr>
        <w:t xml:space="preserve">Brought forward losses, change in shareholding for section 119, and deemed dividends.</w:t>
      </w:r>
    </w:p>
    <w:p>
      <w:pPr>
        <w:pStyle w:val="ListParagraph"/>
        <w:numPr>
          <w:ilvl w:val="0"/>
          <w:numId w:val="2"/>
        </w:numPr>
        <w:spacing w:after="60" w:line="264"/>
      </w:pPr>
      <w:r>
        <w:rPr>
          <w:rFonts w:ascii="Verdana" w:cs="Verdana" w:eastAsia="Verdana" w:hAnsi="Verdana"/>
        </w:rPr>
        <w:t xml:space="preserve">GST turnover reconciliation and key financial ratios.</w:t>
      </w:r>
    </w:p>
    <w:p>
      <w:pPr>
        <w:pStyle w:val="Heading2"/>
        <w:keepNext/>
        <w:spacing w:after="120" w:before="240"/>
      </w:pPr>
      <w:r>
        <w:rPr>
          <w:rFonts w:ascii="Verdana" w:cs="Verdana" w:eastAsia="Verdana" w:hAnsi="Verdana"/>
        </w:rPr>
        <w:t xml:space="preserve">9.27 Speculation, derivatives and virtual digital assets</w:t>
      </w:r>
    </w:p>
    <w:p>
      <w:pPr>
        <w:spacing w:after="120" w:line="276"/>
        <w:jc w:val="both"/>
      </w:pPr>
      <w:r>
        <w:rPr>
          <w:rFonts w:ascii="Verdana" w:cs="Verdana" w:eastAsia="Verdana" w:hAnsi="Verdana"/>
        </w:rPr>
        <w:t xml:space="preserve">A </w:t>
      </w:r>
      <w:r>
        <w:rPr>
          <w:rFonts w:ascii="Verdana" w:cs="Verdana" w:eastAsia="Verdana" w:hAnsi="Verdana"/>
          <w:b/>
          <w:bCs/>
        </w:rPr>
        <w:t xml:space="preserve">speculative transaction</w:t>
      </w:r>
      <w:r>
        <w:rPr>
          <w:rFonts w:ascii="Verdana" w:cs="Verdana" w:eastAsia="Verdana" w:hAnsi="Verdana"/>
        </w:rPr>
        <w:t xml:space="preserve"> is a contract for purchase or sale of a commodity, including shares, settled otherwise than by actual delivery. The following are </w:t>
      </w:r>
      <w:r>
        <w:rPr>
          <w:rFonts w:ascii="Verdana" w:cs="Verdana" w:eastAsia="Verdana" w:hAnsi="Verdana"/>
          <w:b/>
          <w:bCs/>
        </w:rPr>
        <w:t xml:space="preserve">not</w:t>
      </w:r>
      <w:r>
        <w:rPr>
          <w:rFonts w:ascii="Verdana" w:cs="Verdana" w:eastAsia="Verdana" w:hAnsi="Verdana"/>
        </w:rPr>
        <w:t xml:space="preserve"> speculative: hedging contracts by manufacturers and merchants for raw materials or goods; hedging by dealers or investors in shares against price fluctuations; forward contracts by stock exchange members in jobbing or arbitrage; and eligible transactions in derivatives and commodity derivatives on recognised exchanges.</w:t>
      </w:r>
    </w:p>
    <w:p>
      <w:pPr>
        <w:spacing w:after="120" w:line="276"/>
        <w:jc w:val="both"/>
      </w:pPr>
      <w:r>
        <w:rPr>
          <w:rFonts w:ascii="Verdana" w:cs="Verdana" w:eastAsia="Verdana" w:hAnsi="Verdana"/>
          <w:b/>
          <w:bCs/>
        </w:rPr>
        <w:t xml:space="preserve">Virtual digital assets</w:t>
      </w:r>
      <w:r>
        <w:rPr>
          <w:rFonts w:ascii="Verdana" w:cs="Verdana" w:eastAsia="Verdana" w:hAnsi="Verdana"/>
        </w:rPr>
        <w:t xml:space="preserve"> (crypto assets, NFTs and similar notified assets) are taxed at a flat </w:t>
      </w:r>
      <w:r>
        <w:rPr>
          <w:rFonts w:ascii="Verdana" w:cs="Verdana" w:eastAsia="Verdana" w:hAnsi="Verdana"/>
          <w:b/>
          <w:bCs/>
        </w:rPr>
        <w:t xml:space="preserve">30%</w:t>
      </w:r>
      <w:r>
        <w:rPr>
          <w:rFonts w:ascii="Verdana" w:cs="Verdana" w:eastAsia="Verdana" w:hAnsi="Verdana"/>
        </w:rPr>
        <w:t xml:space="preserve"> on the gain, with no deduction other than cost of acquisition, no set off of losses against any income (not even other VDA gains), and no carry forward. TDS at 1% applies on transfer, and details must be reported in the return and by the exchanges.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51: VDA</w:t>
            </w:r>
          </w:p>
          <w:p>
            <w:pPr>
              <w:spacing w:after="60" w:line="260"/>
            </w:pPr>
            <w:r>
              <w:rPr>
                <w:rFonts w:ascii="Verdana" w:cs="Verdana" w:eastAsia="Verdana" w:hAnsi="Verdana"/>
                <w:sz w:val="20"/>
                <w:szCs w:val="20"/>
              </w:rPr>
              <w:t xml:space="preserve">Aman sells Bitcoin for a gain of Rs. 5,00,000 and incurs a loss of Rs. 2,00,000 on another token. Tax = 30% of Rs. 5,00,000 = </w:t>
            </w:r>
            <w:r>
              <w:rPr>
                <w:rFonts w:ascii="Verdana" w:cs="Verdana" w:eastAsia="Verdana" w:hAnsi="Verdana"/>
                <w:b/>
                <w:bCs/>
                <w:sz w:val="20"/>
                <w:szCs w:val="20"/>
              </w:rPr>
              <w:t xml:space="preserve">Rs. 1,50,000</w:t>
            </w:r>
            <w:r>
              <w:rPr>
                <w:rFonts w:ascii="Verdana" w:cs="Verdana" w:eastAsia="Verdana" w:hAnsi="Verdana"/>
                <w:sz w:val="20"/>
                <w:szCs w:val="20"/>
              </w:rPr>
              <w:t xml:space="preserve"> plus cess. The Rs. 2,00,000 loss is ignored. The 1% TDS deducted by the exchange on each sale is available as credit.</w:t>
            </w:r>
          </w:p>
        </w:tc>
      </w:tr>
    </w:tbl>
    <w:p>
      <w:pPr>
        <w:spacing w:after="60"/>
      </w:pPr>
    </w:p>
    <w:p>
      <w:pPr>
        <w:pStyle w:val="Heading2"/>
        <w:keepNext/>
        <w:spacing w:after="120" w:before="240"/>
      </w:pPr>
      <w:r>
        <w:rPr>
          <w:rFonts w:ascii="Verdana" w:cs="Verdana" w:eastAsia="Verdana" w:hAnsi="Verdana"/>
        </w:rPr>
        <w:t xml:space="preserve">9.28 Taxation of freelancers, creators and gig workers</w:t>
      </w:r>
    </w:p>
    <w:p>
      <w:pPr>
        <w:spacing w:after="120" w:line="276"/>
        <w:jc w:val="both"/>
      </w:pPr>
      <w:r>
        <w:rPr>
          <w:rFonts w:ascii="Verdana" w:cs="Verdana" w:eastAsia="Verdana" w:hAnsi="Verdana"/>
        </w:rPr>
        <w:t xml:space="preserve">Independent consultants, designers, developers, content creators and similar earners are taxed under business or profession. Key points:</w:t>
      </w:r>
    </w:p>
    <w:p>
      <w:pPr>
        <w:pStyle w:val="ListParagraph"/>
        <w:numPr>
          <w:ilvl w:val="0"/>
          <w:numId w:val="2"/>
        </w:numPr>
        <w:spacing w:after="60" w:line="264"/>
      </w:pPr>
      <w:r>
        <w:rPr>
          <w:rFonts w:ascii="Verdana" w:cs="Verdana" w:eastAsia="Verdana" w:hAnsi="Verdana"/>
        </w:rPr>
        <w:t xml:space="preserve">Those in notified professions (including IT professionals, interior decorators, film artists and technical consultants) can use the profession presumptive scheme (50%) if receipts are within Rs. 50 lakh (or Rs. 75 lakh with 5% or less cash).</w:t>
      </w:r>
    </w:p>
    <w:p>
      <w:pPr>
        <w:pStyle w:val="ListParagraph"/>
        <w:numPr>
          <w:ilvl w:val="0"/>
          <w:numId w:val="2"/>
        </w:numPr>
        <w:spacing w:after="60" w:line="264"/>
      </w:pPr>
      <w:r>
        <w:rPr>
          <w:rFonts w:ascii="Verdana" w:cs="Verdana" w:eastAsia="Verdana" w:hAnsi="Verdana"/>
        </w:rPr>
        <w:t xml:space="preserve">Content creators earning from platforms (ad revenue, brand deals) are generally in business, and can use the business scheme (6% or 8%) if turnover is within limits, or compute actual profits.</w:t>
      </w:r>
    </w:p>
    <w:p>
      <w:pPr>
        <w:pStyle w:val="ListParagraph"/>
        <w:numPr>
          <w:ilvl w:val="0"/>
          <w:numId w:val="2"/>
        </w:numPr>
        <w:spacing w:after="60" w:line="264"/>
      </w:pPr>
      <w:r>
        <w:rPr>
          <w:rFonts w:ascii="Verdana" w:cs="Verdana" w:eastAsia="Verdana" w:hAnsi="Verdana"/>
        </w:rPr>
        <w:t xml:space="preserve">Free products received from brands are taxable as benefits of business; the brand deducts TDS under section 393 (old 194R) if the value exceeds Rs. 20,000.</w:t>
      </w:r>
    </w:p>
    <w:p>
      <w:pPr>
        <w:pStyle w:val="ListParagraph"/>
        <w:numPr>
          <w:ilvl w:val="0"/>
          <w:numId w:val="2"/>
        </w:numPr>
        <w:spacing w:after="60" w:line="264"/>
      </w:pPr>
      <w:r>
        <w:rPr>
          <w:rFonts w:ascii="Verdana" w:cs="Verdana" w:eastAsia="Verdana" w:hAnsi="Verdana"/>
        </w:rPr>
        <w:t xml:space="preserve">Foreign income (for example, from overseas clients or platforms) is taxable in India for residents; GST and FEMA obligations also apply.</w:t>
      </w:r>
    </w:p>
    <w:p>
      <w:pPr>
        <w:pStyle w:val="ListParagraph"/>
        <w:numPr>
          <w:ilvl w:val="0"/>
          <w:numId w:val="2"/>
        </w:numPr>
        <w:spacing w:after="60" w:line="264"/>
      </w:pPr>
      <w:r>
        <w:rPr>
          <w:rFonts w:ascii="Verdana" w:cs="Verdana" w:eastAsia="Verdana" w:hAnsi="Verdana"/>
        </w:rPr>
        <w:t xml:space="preserve">Expenses such as equipment (depreciation), software subscriptions, internet, travel for work and a reasonable share of home office costs are deductible if books are maintained.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52: Content creator</w:t>
            </w:r>
          </w:p>
          <w:p>
            <w:pPr>
              <w:spacing w:after="60" w:line="260"/>
            </w:pPr>
            <w:r>
              <w:rPr>
                <w:rFonts w:ascii="Verdana" w:cs="Verdana" w:eastAsia="Verdana" w:hAnsi="Verdana"/>
                <w:sz w:val="20"/>
                <w:szCs w:val="20"/>
              </w:rPr>
              <w:t xml:space="preserve">Neha earns Rs. 38 lakh from a video platform and brand collaborations, all through banks, and receives products worth Rs. 2 lakh (a benefit of business, so part of her receipts). If she opts for the business presumptive scheme, income = 6% of Rs. 40 lakh = </w:t>
            </w:r>
            <w:r>
              <w:rPr>
                <w:rFonts w:ascii="Verdana" w:cs="Verdana" w:eastAsia="Verdana" w:hAnsi="Verdana"/>
                <w:b/>
                <w:bCs/>
                <w:sz w:val="20"/>
                <w:szCs w:val="20"/>
              </w:rPr>
              <w:t xml:space="preserve">Rs. 2,40,000</w:t>
            </w:r>
            <w:r>
              <w:rPr>
                <w:rFonts w:ascii="Verdana" w:cs="Verdana" w:eastAsia="Verdana" w:hAnsi="Verdana"/>
                <w:sz w:val="20"/>
                <w:szCs w:val="20"/>
              </w:rPr>
              <w:t xml:space="preserve">, below the Rs. 4 lakh exemption limit of the new regime, so no tax is payable. If her actual profit is higher, declaring the presumptive amount is still lawful as long as it meets the prescribed percentage. If she declares less, she must keep books and may need an audit.</w:t>
            </w:r>
          </w:p>
        </w:tc>
      </w:tr>
    </w:tbl>
    <w:p>
      <w:pPr>
        <w:spacing w:after="60"/>
      </w:pPr>
    </w:p>
    <w:p>
      <w:pPr>
        <w:pStyle w:val="Heading2"/>
        <w:keepNext/>
        <w:spacing w:after="120" w:before="240"/>
      </w:pPr>
      <w:r>
        <w:rPr>
          <w:rFonts w:ascii="Verdana" w:cs="Verdana" w:eastAsia="Verdana" w:hAnsi="Verdana"/>
        </w:rPr>
        <w:t xml:space="preserve">9.29 Specified businesses and capital expenditure (section 46)</w:t>
      </w:r>
    </w:p>
    <w:p>
      <w:pPr>
        <w:spacing w:after="120" w:line="276"/>
        <w:jc w:val="both"/>
      </w:pPr>
      <w:r>
        <w:rPr>
          <w:rFonts w:ascii="Verdana" w:cs="Verdana" w:eastAsia="Verdana" w:hAnsi="Verdana"/>
        </w:rPr>
        <w:t xml:space="preserve">Businesses such as cold chain facilities, warehousing for agricultural produce, hospitals with 100 or more beds, affordable housing projects, fertiliser plants, cross country pipelines and certain infrastructure get a deduction of 100% of capital expenditure (other than on land, goodwill and financial instruments) in the year incurred, instead of depreciation. Loss from such a business can be set off only against income from specified businesses and carried forward without limit. The benefit is not available to companies under section 200.</w:t>
      </w:r>
    </w:p>
    <w:p>
      <w:pPr>
        <w:pStyle w:val="Heading2"/>
        <w:keepNext/>
        <w:spacing w:after="120" w:before="240"/>
      </w:pPr>
      <w:r>
        <w:rPr>
          <w:rFonts w:ascii="Verdana" w:cs="Verdana" w:eastAsia="Verdana" w:hAnsi="Verdana"/>
        </w:rPr>
        <w:t xml:space="preserve">9.30 Construction contracts (section 57) and ICDS III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53: Percentage of completion</w:t>
            </w:r>
          </w:p>
          <w:p>
            <w:pPr>
              <w:spacing w:after="60" w:line="260"/>
            </w:pPr>
            <w:r>
              <w:rPr>
                <w:rFonts w:ascii="Verdana" w:cs="Verdana" w:eastAsia="Verdana" w:hAnsi="Verdana"/>
                <w:sz w:val="20"/>
                <w:szCs w:val="20"/>
              </w:rPr>
              <w:t xml:space="preserve">A contractor has a contract for Rs. 50 crore with estimated total cost of Rs. 40 crore. By 31 March 2027 costs incurred are Rs. 16 crore (40% complete). Revenue recognised for tax = 40% x 50 crore = </w:t>
            </w:r>
            <w:r>
              <w:rPr>
                <w:rFonts w:ascii="Verdana" w:cs="Verdana" w:eastAsia="Verdana" w:hAnsi="Verdana"/>
                <w:b/>
                <w:bCs/>
                <w:sz w:val="20"/>
                <w:szCs w:val="20"/>
              </w:rPr>
              <w:t xml:space="preserve">Rs. 20 crore</w:t>
            </w:r>
            <w:r>
              <w:rPr>
                <w:rFonts w:ascii="Verdana" w:cs="Verdana" w:eastAsia="Verdana" w:hAnsi="Verdana"/>
                <w:sz w:val="20"/>
                <w:szCs w:val="20"/>
              </w:rPr>
              <w:t xml:space="preserve">; profit = Rs. 4 crore, even if only Rs. 12 crore has been billed and Rs. 1 crore of that is retention money. Under ICDS III, retention money is part of revenue; expected losses are recognised only as incurred, not in advance.</w:t>
            </w:r>
          </w:p>
        </w:tc>
      </w:tr>
    </w:tbl>
    <w:p>
      <w:pPr>
        <w:spacing w:after="60"/>
      </w:pPr>
    </w:p>
    <w:p>
      <w:pPr>
        <w:pStyle w:val="Heading2"/>
        <w:keepNext/>
        <w:spacing w:after="120" w:before="240"/>
      </w:pPr>
      <w:r>
        <w:rPr>
          <w:rFonts w:ascii="Verdana" w:cs="Verdana" w:eastAsia="Verdana" w:hAnsi="Verdana"/>
        </w:rPr>
        <w:t xml:space="preserve">9.31 Banks and NBFCs</w:t>
      </w:r>
    </w:p>
    <w:p>
      <w:pPr>
        <w:pStyle w:val="ListParagraph"/>
        <w:numPr>
          <w:ilvl w:val="0"/>
          <w:numId w:val="2"/>
        </w:numPr>
        <w:spacing w:after="60" w:line="264"/>
      </w:pPr>
      <w:r>
        <w:rPr>
          <w:rFonts w:ascii="Verdana" w:cs="Verdana" w:eastAsia="Verdana" w:hAnsi="Verdana"/>
        </w:rPr>
        <w:t xml:space="preserve">Banks get a deduction for provision for bad and doubtful debts up to 8.5% of total income plus 10% of average rural advances; NBFCs up to 5% of total income. Actual write offs are allowed only to the extent they exceed the provision already allowed.</w:t>
      </w:r>
    </w:p>
    <w:p>
      <w:pPr>
        <w:pStyle w:val="ListParagraph"/>
        <w:numPr>
          <w:ilvl w:val="0"/>
          <w:numId w:val="2"/>
        </w:numPr>
        <w:spacing w:after="60" w:line="264"/>
      </w:pPr>
      <w:r>
        <w:rPr>
          <w:rFonts w:ascii="Verdana" w:cs="Verdana" w:eastAsia="Verdana" w:hAnsi="Verdana"/>
        </w:rPr>
        <w:t xml:space="preserve">Interest on non-performing assets of banks, NBFCs and specified institutions is taxed in the year of receipt or credit to the profit and loss account, whichever is earlier (section 56, old 43D).</w:t>
      </w:r>
    </w:p>
    <w:p>
      <w:pPr>
        <w:pStyle w:val="ListParagraph"/>
        <w:numPr>
          <w:ilvl w:val="0"/>
          <w:numId w:val="2"/>
        </w:numPr>
        <w:spacing w:after="60" w:line="264"/>
      </w:pPr>
      <w:r>
        <w:rPr>
          <w:rFonts w:ascii="Verdana" w:cs="Verdana" w:eastAsia="Verdana" w:hAnsi="Verdana"/>
        </w:rPr>
        <w:t xml:space="preserve">Thin capitalisation (section 177) does not apply to banks and specified NBFCs.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54: Interest on NPA</w:t>
            </w:r>
          </w:p>
          <w:p>
            <w:pPr>
              <w:spacing w:after="60" w:line="260"/>
            </w:pPr>
            <w:r>
              <w:rPr>
                <w:rFonts w:ascii="Verdana" w:cs="Verdana" w:eastAsia="Verdana" w:hAnsi="Verdana"/>
                <w:sz w:val="20"/>
                <w:szCs w:val="20"/>
              </w:rPr>
              <w:t xml:space="preserve">An NBFC has loans of Rs. 5 crore classified as NPA. Interest accrued but not received during Tax Year 2026-27 is Rs. 60 lakh; it recovers Rs. 20 lakh of old interest during the year. Taxable interest from these loans = </w:t>
            </w:r>
            <w:r>
              <w:rPr>
                <w:rFonts w:ascii="Verdana" w:cs="Verdana" w:eastAsia="Verdana" w:hAnsi="Verdana"/>
                <w:b/>
                <w:bCs/>
                <w:sz w:val="20"/>
                <w:szCs w:val="20"/>
              </w:rPr>
              <w:t xml:space="preserve">Rs. 20 lakh</w:t>
            </w:r>
            <w:r>
              <w:rPr>
                <w:rFonts w:ascii="Verdana" w:cs="Verdana" w:eastAsia="Verdana" w:hAnsi="Verdana"/>
                <w:sz w:val="20"/>
                <w:szCs w:val="20"/>
              </w:rPr>
              <w:t xml:space="preserve"> (received), not Rs. 60 lakh (accrued).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Start from book profit, add back disallowances, deduct allowances under the Act.</w:t>
            </w:r>
          </w:p>
          <w:p>
            <w:pPr>
              <w:spacing w:after="60" w:line="260"/>
            </w:pPr>
            <w:r>
              <w:rPr>
                <w:rFonts w:ascii="Verdana" w:cs="Verdana" w:eastAsia="Verdana" w:hAnsi="Verdana"/>
                <w:sz w:val="20"/>
                <w:szCs w:val="20"/>
              </w:rPr>
              <w:t xml:space="preserve">•  Key disallowances: TDS default (30% or 100%), cash above Rs. 10,000, excessive related party payments, CSR, penalties.</w:t>
            </w:r>
          </w:p>
          <w:p>
            <w:pPr>
              <w:spacing w:after="60" w:line="260"/>
            </w:pPr>
            <w:r>
              <w:rPr>
                <w:rFonts w:ascii="Verdana" w:cs="Verdana" w:eastAsia="Verdana" w:hAnsi="Verdana"/>
                <w:sz w:val="20"/>
                <w:szCs w:val="20"/>
              </w:rPr>
              <w:t xml:space="preserve">•  Payment basis items and MSME dues under section 37 affect timing of deductions.</w:t>
            </w:r>
          </w:p>
          <w:p>
            <w:pPr>
              <w:spacing w:after="60" w:line="260"/>
            </w:pPr>
            <w:r>
              <w:rPr>
                <w:rFonts w:ascii="Verdana" w:cs="Verdana" w:eastAsia="Verdana" w:hAnsi="Verdana"/>
                <w:sz w:val="20"/>
                <w:szCs w:val="20"/>
              </w:rPr>
              <w:t xml:space="preserve">•  Depreciation on WDV blocks; half rate for assets used under 180 days; goodwill not depreciable.</w:t>
            </w:r>
          </w:p>
          <w:p>
            <w:pPr>
              <w:spacing w:after="60" w:line="260"/>
            </w:pPr>
            <w:r>
              <w:rPr>
                <w:rFonts w:ascii="Verdana" w:cs="Verdana" w:eastAsia="Verdana" w:hAnsi="Verdana"/>
                <w:sz w:val="20"/>
                <w:szCs w:val="20"/>
              </w:rPr>
              <w:t xml:space="preserve">•  Presumptive schemes under section 58 for small businesses, professionals and transporters.</w:t>
            </w:r>
          </w:p>
          <w:p>
            <w:pPr>
              <w:spacing w:after="60" w:line="260"/>
            </w:pPr>
            <w:r>
              <w:rPr>
                <w:rFonts w:ascii="Verdana" w:cs="Verdana" w:eastAsia="Verdana" w:hAnsi="Verdana"/>
                <w:sz w:val="20"/>
                <w:szCs w:val="20"/>
              </w:rPr>
              <w:t xml:space="preserve">•  Books, ICDS and tax audit (Form 26) complete the compliance picture.</w:t>
            </w:r>
          </w:p>
        </w:tc>
      </w:tr>
    </w:tbl>
    <w:p>
      <w:pPr>
        <w:pStyle w:val="Heading1"/>
        <w:pageBreakBefore/>
        <w:spacing w:after="200" w:before="0"/>
      </w:pPr>
      <w:r>
        <w:rPr>
          <w:rFonts w:ascii="Verdana" w:cs="Verdana" w:eastAsia="Verdana" w:hAnsi="Verdana"/>
        </w:rPr>
        <w:t xml:space="preserve">10. Capital Gains (Sections 67 to 91, 196 to 198)</w:t>
      </w:r>
    </w:p>
    <w:p>
      <w:pPr>
        <w:pStyle w:val="Heading2"/>
        <w:keepNext/>
        <w:spacing w:after="120" w:before="240"/>
      </w:pPr>
      <w:r>
        <w:rPr>
          <w:rFonts w:ascii="Verdana" w:cs="Verdana" w:eastAsia="Verdana" w:hAnsi="Verdana"/>
        </w:rPr>
        <w:t xml:space="preserve">10.1 Short-term or long-term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Asset</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Long-term if held for more than</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Listed shares, listed securities, equity mutual fund units, units of business trusts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months</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other assets (land, building, unlisted shares, gold, debt funds bought before April 2023)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 months</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Undertaking transferred by slump sale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 months</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mutual funds (investing more than 65% in debt and money market instruments) bought on or after 1 April 2023, and market-linked debentures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Always short-term (section 76)</w:t>
            </w:r>
          </w:p>
        </w:tc>
      </w:tr>
    </w:tbl>
    <w:p>
      <w:pPr>
        <w:spacing w:after="60"/>
      </w:pPr>
    </w:p>
    <w:p>
      <w:pPr>
        <w:pStyle w:val="Heading2"/>
        <w:keepNext/>
        <w:spacing w:after="120" w:before="240"/>
      </w:pPr>
      <w:r>
        <w:rPr>
          <w:rFonts w:ascii="Verdana" w:cs="Verdana" w:eastAsia="Verdana" w:hAnsi="Verdana"/>
        </w:rPr>
        <w:t xml:space="preserve">10.2 Computation (section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 value of consideration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A</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expenses on transfer (brokerage, legal fees)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B</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cost of acquisition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C</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cost of improvement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D</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Capital gain (A less B, C and D)</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Result</w:t>
            </w:r>
          </w:p>
        </w:tc>
      </w:tr>
    </w:tbl>
    <w:p>
      <w:pPr>
        <w:spacing w:after="60"/>
      </w:pPr>
    </w:p>
    <w:p>
      <w:pPr>
        <w:spacing w:after="120" w:line="276"/>
        <w:jc w:val="both"/>
      </w:pPr>
      <w:r>
        <w:rPr>
          <w:rFonts w:ascii="Verdana" w:cs="Verdana" w:eastAsia="Verdana" w:hAnsi="Verdana"/>
        </w:rPr>
        <w:t xml:space="preserve">Cost of assets received by gift, will, inheritance, amalgamation or demerger is the cost to the previous owner, and the previous owner's holding period is included (section 73). For equity shares bought before 1 February 2018, cost is the higher of actual cost and the FMV on 31 January 2018 (capped at sale value).</w:t>
      </w:r>
    </w:p>
    <w:p>
      <w:pPr>
        <w:pStyle w:val="Heading2"/>
        <w:keepNext/>
        <w:spacing w:after="120" w:before="240"/>
      </w:pPr>
      <w:r>
        <w:rPr>
          <w:rFonts w:ascii="Verdana" w:cs="Verdana" w:eastAsia="Verdana" w:hAnsi="Verdana"/>
        </w:rPr>
        <w:t xml:space="preserve">10.3 Tax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100"/>
        <w:gridCol w:w="1200"/>
        <w:gridCol w:w="3100"/>
      </w:tblGrid>
      <w:tr>
        <w:trPr>
          <w:cantSplit/>
          <w:tblHeader/>
        </w:trPr>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Type</w:t>
            </w:r>
          </w:p>
        </w:tc>
        <w:tc>
          <w:tcPr>
            <w:tcW w:type="dxa" w:w="1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1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3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on listed equity, equity MF, business trust units (STT paid)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111A</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listed equity, equity MF, business trust units (STT paid)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112A</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on gains above Rs. 1,25,000 a year</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other assets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112</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without indexation</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land or building acquired before 23 July 2024 (resident individual or HUF)</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112</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Lower of 12.5% without indexation or 20% with indexation</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STCG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Normal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or normal rates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55: Share portfolio</w:t>
            </w:r>
          </w:p>
          <w:p>
            <w:pPr>
              <w:spacing w:after="60" w:line="260"/>
            </w:pPr>
            <w:r>
              <w:rPr>
                <w:rFonts w:ascii="Verdana" w:cs="Verdana" w:eastAsia="Verdana" w:hAnsi="Verdana"/>
                <w:sz w:val="20"/>
                <w:szCs w:val="20"/>
              </w:rPr>
              <w:t xml:space="preserve">Neha bought 1,000 listed shares at Rs. 400 on 10 January 2025 and sells 600 at Rs. 900 on 5 August 2026. She also has a gain of Rs. 80,000 on equity fund units held for six months.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shares: 600 x (900 less 400)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exemption under section 198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(1,25,000)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Taxable LTCG</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1,75,000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at 12.5% on 1,75,000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21,875</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on fund units: 20% on 80,000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 before cess</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37,875</w:t>
            </w:r>
          </w:p>
        </w:tc>
      </w:tr>
    </w:tbl>
    <w:p>
      <w:pPr>
        <w:spacing w:after="60"/>
      </w:pPr>
    </w:p>
    <w:p>
      <w:pPr>
        <w:spacing w:after="120" w:line="276"/>
        <w:jc w:val="both"/>
      </w:pPr>
      <w:r>
        <w:rPr>
          <w:rFonts w:ascii="Verdana" w:cs="Verdana" w:eastAsia="Verdana" w:hAnsi="Verdana"/>
        </w:rPr>
        <w:t xml:space="preserve">The rebate under section 156 is not available against tax on these gains, and deductions under sections 123 to 154 cannot be set off against them. A resident individual may, however, adjust any unused basic exemption limit against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56: Unlisted shares</w:t>
            </w:r>
          </w:p>
          <w:p>
            <w:pPr>
              <w:spacing w:after="60" w:line="260"/>
            </w:pPr>
            <w:r>
              <w:rPr>
                <w:rFonts w:ascii="Verdana" w:cs="Verdana" w:eastAsia="Verdana" w:hAnsi="Verdana"/>
                <w:sz w:val="20"/>
                <w:szCs w:val="20"/>
              </w:rPr>
              <w:t xml:space="preserve">Rakesh sells unlisted shares of a private company in December 2026 for Rs. 40 lakh, bought in 2019 for Rs. 15 lakh. Held more than 24 months, so LTCG = </w:t>
            </w:r>
            <w:r>
              <w:rPr>
                <w:rFonts w:ascii="Verdana" w:cs="Verdana" w:eastAsia="Verdana" w:hAnsi="Verdana"/>
                <w:b/>
                <w:bCs/>
                <w:sz w:val="20"/>
                <w:szCs w:val="20"/>
              </w:rPr>
              <w:t xml:space="preserve">Rs. 25 lakh</w:t>
            </w:r>
            <w:r>
              <w:rPr>
                <w:rFonts w:ascii="Verdana" w:cs="Verdana" w:eastAsia="Verdana" w:hAnsi="Verdana"/>
                <w:sz w:val="20"/>
                <w:szCs w:val="20"/>
              </w:rPr>
              <w:t xml:space="preserve">, taxed at 12.5% = Rs. 3,12,500 plus surcharge and cess. If the sale price is below the FMV computed under the Rules, the FMV is taken as sale value (section 79, old 50CA), and the buyer may be taxed on the shortfall under section 92.</w:t>
            </w:r>
          </w:p>
        </w:tc>
      </w:tr>
    </w:tbl>
    <w:p>
      <w:pPr>
        <w:spacing w:after="60"/>
      </w:pPr>
    </w:p>
    <w:p>
      <w:pPr>
        <w:pStyle w:val="Heading2"/>
        <w:keepNext/>
        <w:spacing w:after="120" w:before="240"/>
      </w:pPr>
      <w:r>
        <w:rPr>
          <w:rFonts w:ascii="Verdana" w:cs="Verdana" w:eastAsia="Verdana" w:hAnsi="Verdana"/>
        </w:rPr>
        <w:t xml:space="preserve">10.4 Stamp duty value rule (section 78, old 50C)</w:t>
      </w:r>
    </w:p>
    <w:p>
      <w:pPr>
        <w:spacing w:after="120" w:line="276"/>
        <w:jc w:val="both"/>
      </w:pPr>
      <w:r>
        <w:rPr>
          <w:rFonts w:ascii="Verdana" w:cs="Verdana" w:eastAsia="Verdana" w:hAnsi="Verdana"/>
        </w:rPr>
        <w:t xml:space="preserve">On transfer of land or building, if the stamp duty value is more than </w:t>
      </w:r>
      <w:r>
        <w:rPr>
          <w:rFonts w:ascii="Verdana" w:cs="Verdana" w:eastAsia="Verdana" w:hAnsi="Verdana"/>
          <w:b/>
          <w:bCs/>
        </w:rPr>
        <w:t xml:space="preserve">110%</w:t>
      </w:r>
      <w:r>
        <w:rPr>
          <w:rFonts w:ascii="Verdana" w:cs="Verdana" w:eastAsia="Verdana" w:hAnsi="Verdana"/>
        </w:rPr>
        <w:t xml:space="preserve"> of the actual consideration, the stamp duty value is taken as the sale price. The taxpayer can ask for a reference to the Valuation Officer (section 91) if he disputes it.</w:t>
      </w:r>
    </w:p>
    <w:p>
      <w:pPr>
        <w:pStyle w:val="Heading2"/>
        <w:keepNext/>
        <w:spacing w:after="120" w:before="240"/>
      </w:pPr>
      <w:r>
        <w:rPr>
          <w:rFonts w:ascii="Verdana" w:cs="Verdana" w:eastAsia="Verdana" w:hAnsi="Verdana"/>
        </w:rPr>
        <w:t xml:space="preserve">10.5 Exemptions for reinvestment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800"/>
        <w:gridCol w:w="900"/>
        <w:gridCol w:w="5100"/>
      </w:tblGrid>
      <w:tr>
        <w:trPr>
          <w:cantSplit/>
          <w:tblHeader/>
        </w:trPr>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Exemption</w:t>
            </w:r>
          </w:p>
        </w:tc>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w:t>
            </w:r>
          </w:p>
        </w:tc>
        <w:tc>
          <w:tcPr>
            <w:tcW w:type="dxa" w:w="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5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Key conditions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of residential house, buy another house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54</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 within 1 year before or 2 years after, or construct within 3 years. Maximum exemption Rs. 10 crore</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of agricultural land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54B</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 agricultural land within 2 years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Investment in specified bonds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54EC</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land or building. Invest within 6 months. Maximum Rs. 50 lakh. 5-year lock-in</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of any other long-term asset, buy a house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86</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54F</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Invest net sale consideration. Should not own more than one other house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57: Sale of flat with reinvestment</w:t>
            </w:r>
          </w:p>
          <w:p>
            <w:pPr>
              <w:spacing w:after="60" w:line="260"/>
            </w:pPr>
            <w:r>
              <w:rPr>
                <w:rFonts w:ascii="Verdana" w:cs="Verdana" w:eastAsia="Verdana" w:hAnsi="Verdana"/>
                <w:sz w:val="20"/>
                <w:szCs w:val="20"/>
              </w:rPr>
              <w:t xml:space="preserve">Mr. Shah, a resident individual, bought a flat in 2010 for Rs. 30 lakh and sells it on 15 October 2026 for Rs. 1.20 crore. Stamp duty value is Rs. 1.25 crore. Brokerage Rs. 1 lakh.</w:t>
            </w:r>
          </w:p>
          <w:p>
            <w:pPr>
              <w:spacing w:after="60" w:line="260"/>
            </w:pPr>
            <w:r>
              <w:rPr>
                <w:rFonts w:ascii="Verdana" w:cs="Verdana" w:eastAsia="Verdana" w:hAnsi="Verdana"/>
                <w:b/>
                <w:bCs/>
                <w:sz w:val="20"/>
                <w:szCs w:val="20"/>
              </w:rPr>
              <w:t xml:space="preserve">Section 78 check:</w:t>
            </w:r>
            <w:r>
              <w:rPr>
                <w:rFonts w:ascii="Verdana" w:cs="Verdana" w:eastAsia="Verdana" w:hAnsi="Verdana"/>
                <w:sz w:val="20"/>
                <w:szCs w:val="20"/>
              </w:rPr>
              <w:t xml:space="preserve"> 1.25 crore is 104% of 1.20 crore, within 110%, so the actual price is accepted.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consideration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brokerage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cost of acquisition (without indexation)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Long-term capital gain</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89,00,000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new house bought in March 2027 (section 82)</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Balance LTCG</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19,00,000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specified bonds bought in February 2027 (section 85)</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(19,00,000)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Taxable LTCG</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Nil</w:t>
            </w:r>
          </w:p>
        </w:tc>
      </w:tr>
    </w:tbl>
    <w:p>
      <w:pPr>
        <w:spacing w:after="60"/>
      </w:pPr>
    </w:p>
    <w:p>
      <w:pPr>
        <w:spacing w:after="120" w:line="276"/>
        <w:jc w:val="both"/>
      </w:pPr>
      <w:r>
        <w:rPr>
          <w:rFonts w:ascii="Verdana" w:cs="Verdana" w:eastAsia="Verdana" w:hAnsi="Verdana"/>
        </w:rPr>
        <w:t xml:space="preserve">Without reinvestment, tax at 12.5% would be Rs. 11,12,500 plus surcharge and cess. As the flat was bought before 23 July 2024, he may also compare with 20% after indexation.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If the new house is not bought before the return due date, deposit the unused amount in the Capital Gains Accounts Scheme before filing the return, or the exemption is lost.</w:t>
            </w:r>
          </w:p>
        </w:tc>
      </w:tr>
    </w:tbl>
    <w:p>
      <w:pPr>
        <w:spacing w:after="60"/>
      </w:pPr>
    </w:p>
    <w:p>
      <w:pPr>
        <w:pStyle w:val="Heading2"/>
        <w:keepNext/>
        <w:spacing w:after="120" w:before="240"/>
      </w:pPr>
      <w:r>
        <w:rPr>
          <w:rFonts w:ascii="Verdana" w:cs="Verdana" w:eastAsia="Verdana" w:hAnsi="Verdana"/>
        </w:rPr>
        <w:t xml:space="preserve">10.6 Share buyback from Tax Year 2026-27</w:t>
      </w:r>
    </w:p>
    <w:p>
      <w:pPr>
        <w:spacing w:after="120" w:line="276"/>
        <w:jc w:val="both"/>
      </w:pPr>
      <w:r>
        <w:rPr>
          <w:rFonts w:ascii="Verdana" w:cs="Verdana" w:eastAsia="Verdana" w:hAnsi="Verdana"/>
        </w:rPr>
        <w:t xml:space="preserve">The Finance Act 2026 changed the treatment of buyback. Consideration received on buyback is now taxed as </w:t>
      </w:r>
      <w:r>
        <w:rPr>
          <w:rFonts w:ascii="Verdana" w:cs="Verdana" w:eastAsia="Verdana" w:hAnsi="Verdana"/>
          <w:b/>
          <w:bCs/>
        </w:rPr>
        <w:t xml:space="preserve">capital gains</w:t>
      </w:r>
      <w:r>
        <w:rPr>
          <w:rFonts w:ascii="Verdana" w:cs="Verdana" w:eastAsia="Verdana" w:hAnsi="Verdana"/>
        </w:rPr>
        <w:t xml:space="preserve"> in the shareholder's hands (not as dividend, which was the position from 1 October 2024 to 31 March 2026). Promoters face an additional tax, taking the effective rate to about 30% for non-corporate promoters and 22% for corporate promoters.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58: Buyback</w:t>
            </w:r>
          </w:p>
          <w:p>
            <w:pPr>
              <w:spacing w:after="60" w:line="260"/>
            </w:pPr>
            <w:r>
              <w:rPr>
                <w:rFonts w:ascii="Verdana" w:cs="Verdana" w:eastAsia="Verdana" w:hAnsi="Verdana"/>
                <w:sz w:val="20"/>
                <w:szCs w:val="20"/>
              </w:rPr>
              <w:t xml:space="preserve">Kavita, a non-promoter, tenders 100 shares bought at Rs. 1,200 more than a year ago in a buyback at Rs. 1,500 in November 2026. Gain = Rs. 30,000, LTCG under section 198, within her Rs. 1,25,000 exemption. </w:t>
            </w:r>
            <w:r>
              <w:rPr>
                <w:rFonts w:ascii="Verdana" w:cs="Verdana" w:eastAsia="Verdana" w:hAnsi="Verdana"/>
                <w:b/>
                <w:bCs/>
                <w:sz w:val="20"/>
                <w:szCs w:val="20"/>
              </w:rPr>
              <w:t xml:space="preserve">Tax: nil.</w:t>
            </w:r>
          </w:p>
        </w:tc>
      </w:tr>
    </w:tbl>
    <w:p>
      <w:pPr>
        <w:spacing w:after="60"/>
      </w:pPr>
    </w:p>
    <w:p>
      <w:pPr>
        <w:pStyle w:val="Heading2"/>
        <w:keepNext/>
        <w:spacing w:after="120" w:before="240"/>
      </w:pPr>
      <w:r>
        <w:rPr>
          <w:rFonts w:ascii="Verdana" w:cs="Verdana" w:eastAsia="Verdana" w:hAnsi="Verdana"/>
        </w:rPr>
        <w:t xml:space="preserve">10.7 Transactions not regarded as transfer (section 70, old 47)</w:t>
      </w:r>
    </w:p>
    <w:p>
      <w:pPr>
        <w:spacing w:after="120" w:line="276"/>
        <w:jc w:val="both"/>
      </w:pPr>
      <w:r>
        <w:rPr>
          <w:rFonts w:ascii="Verdana" w:cs="Verdana" w:eastAsia="Verdana" w:hAnsi="Verdana"/>
        </w:rPr>
        <w:t xml:space="preserve">Section 70 lists transactions that do not give rise to capital gains. The important ones are: distribution on partition of an HUF; gifts, wills and irrevocable trusts; transfers between a holding company and its wholly owned Indian subsidiary; transfers in a scheme of amalgamation or demerger; conversion of bonds or debentures into shares; and conversion of a firm, private company or unlisted company into an LLP or company subject to conditions. These are covered in detail in the Mergers and Acquisitions part.</w:t>
      </w:r>
    </w:p>
    <w:p>
      <w:pPr>
        <w:pStyle w:val="Heading2"/>
        <w:keepNext/>
        <w:spacing w:after="120" w:before="240"/>
      </w:pPr>
      <w:r>
        <w:rPr>
          <w:rFonts w:ascii="Verdana" w:cs="Verdana" w:eastAsia="Verdana" w:hAnsi="Verdana"/>
        </w:rPr>
        <w:t xml:space="preserve">10.8 What is a capital asset?</w:t>
      </w:r>
    </w:p>
    <w:p>
      <w:pPr>
        <w:spacing w:after="120" w:line="276"/>
        <w:jc w:val="both"/>
      </w:pPr>
      <w:r>
        <w:rPr>
          <w:rFonts w:ascii="Verdana" w:cs="Verdana" w:eastAsia="Verdana" w:hAnsi="Verdana"/>
        </w:rPr>
        <w:t xml:space="preserve">A capital asset is property of any kind held by the taxpayer, whether or not connected with business. The definition excludes:</w:t>
      </w:r>
    </w:p>
    <w:p>
      <w:pPr>
        <w:pStyle w:val="ListParagraph"/>
        <w:numPr>
          <w:ilvl w:val="0"/>
          <w:numId w:val="2"/>
        </w:numPr>
        <w:spacing w:after="60" w:line="264"/>
      </w:pPr>
      <w:r>
        <w:rPr>
          <w:rFonts w:ascii="Verdana" w:cs="Verdana" w:eastAsia="Verdana" w:hAnsi="Verdana"/>
        </w:rPr>
        <w:t xml:space="preserve">Stock-in-trade, consumable stores and raw materials held for business.</w:t>
      </w:r>
    </w:p>
    <w:p>
      <w:pPr>
        <w:pStyle w:val="ListParagraph"/>
        <w:numPr>
          <w:ilvl w:val="0"/>
          <w:numId w:val="2"/>
        </w:numPr>
        <w:spacing w:after="60" w:line="264"/>
      </w:pPr>
      <w:r>
        <w:rPr>
          <w:rFonts w:ascii="Verdana" w:cs="Verdana" w:eastAsia="Verdana" w:hAnsi="Verdana"/>
        </w:rPr>
        <w:t xml:space="preserve">Personal effects (movable property for personal use), except jewellery, archaeological collections, drawings, paintings, sculptures and works of art.</w:t>
      </w:r>
    </w:p>
    <w:p>
      <w:pPr>
        <w:pStyle w:val="ListParagraph"/>
        <w:numPr>
          <w:ilvl w:val="0"/>
          <w:numId w:val="2"/>
        </w:numPr>
        <w:spacing w:after="60" w:line="264"/>
      </w:pPr>
      <w:r>
        <w:rPr>
          <w:rFonts w:ascii="Verdana" w:cs="Verdana" w:eastAsia="Verdana" w:hAnsi="Verdana"/>
        </w:rPr>
        <w:t xml:space="preserve">Rural agricultural land in India: land outside a municipality or cantonment board with a population of 10,000 or more, and beyond the prescribed distance from such limits (2 km for population up to 1 lakh, 6 km for up to 10 lakh, 8 km above that).</w:t>
      </w:r>
    </w:p>
    <w:p>
      <w:pPr>
        <w:pStyle w:val="ListParagraph"/>
        <w:numPr>
          <w:ilvl w:val="0"/>
          <w:numId w:val="2"/>
        </w:numPr>
        <w:spacing w:after="60" w:line="264"/>
      </w:pPr>
      <w:r>
        <w:rPr>
          <w:rFonts w:ascii="Verdana" w:cs="Verdana" w:eastAsia="Verdana" w:hAnsi="Verdana"/>
        </w:rPr>
        <w:t xml:space="preserve">Specified gold deposit bonds and certain gold monetisation instruments.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59: Agricultural land</w:t>
            </w:r>
          </w:p>
          <w:p>
            <w:pPr>
              <w:spacing w:after="60" w:line="260"/>
            </w:pPr>
            <w:r>
              <w:rPr>
                <w:rFonts w:ascii="Verdana" w:cs="Verdana" w:eastAsia="Verdana" w:hAnsi="Verdana"/>
                <w:sz w:val="20"/>
                <w:szCs w:val="20"/>
              </w:rPr>
              <w:t xml:space="preserve">Hitesh sells agricultural land located 5 km from the limits of a municipality with a population of 3 lakh. For a population between 1 lakh and 10 lakh, land within 6 km is urban. His land is therefore </w:t>
            </w:r>
            <w:r>
              <w:rPr>
                <w:rFonts w:ascii="Verdana" w:cs="Verdana" w:eastAsia="Verdana" w:hAnsi="Verdana"/>
                <w:b/>
                <w:bCs/>
                <w:sz w:val="20"/>
                <w:szCs w:val="20"/>
              </w:rPr>
              <w:t xml:space="preserve">urban agricultural land</w:t>
            </w:r>
            <w:r>
              <w:rPr>
                <w:rFonts w:ascii="Verdana" w:cs="Verdana" w:eastAsia="Verdana" w:hAnsi="Verdana"/>
                <w:sz w:val="20"/>
                <w:szCs w:val="20"/>
              </w:rPr>
              <w:t xml:space="preserve">, a capital asset, and the gain is taxable. Land 7 km away would have been rural and outside the definition.</w:t>
            </w:r>
          </w:p>
        </w:tc>
      </w:tr>
    </w:tbl>
    <w:p>
      <w:pPr>
        <w:spacing w:after="60"/>
      </w:pPr>
    </w:p>
    <w:p>
      <w:pPr>
        <w:pStyle w:val="Heading2"/>
        <w:keepNext/>
        <w:spacing w:after="120" w:before="240"/>
      </w:pPr>
      <w:r>
        <w:rPr>
          <w:rFonts w:ascii="Verdana" w:cs="Verdana" w:eastAsia="Verdana" w:hAnsi="Verdana"/>
        </w:rPr>
        <w:t xml:space="preserve">10.9 What is a transfer?</w:t>
      </w:r>
    </w:p>
    <w:p>
      <w:pPr>
        <w:spacing w:after="120" w:line="276"/>
        <w:jc w:val="both"/>
      </w:pPr>
      <w:r>
        <w:rPr>
          <w:rFonts w:ascii="Verdana" w:cs="Verdana" w:eastAsia="Verdana" w:hAnsi="Verdana"/>
        </w:rPr>
        <w:t xml:space="preserve">Transfer has a wide meaning. It includes sale, exchange, relinquishment of the asset, extinguishment of any right in it, compulsory acquisition, conversion of an asset into stock-in-trade, handing over possession under part performance of a contract, and transactions (such as acquiring shares in a company or a co-operative society) that give the enjoyment of immovable property. Section 70 then lists transactions that are not treated as transfers.</w:t>
      </w:r>
    </w:p>
    <w:p>
      <w:pPr>
        <w:pStyle w:val="Heading2"/>
        <w:keepNext/>
        <w:spacing w:after="120" w:before="240"/>
      </w:pPr>
      <w:r>
        <w:rPr>
          <w:rFonts w:ascii="Verdana" w:cs="Verdana" w:eastAsia="Verdana" w:hAnsi="Verdana"/>
        </w:rPr>
        <w:t xml:space="preserve">10.10 Special cases of chargeability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5400"/>
      </w:tblGrid>
      <w:tr>
        <w:trPr>
          <w:cantSplit/>
          <w:tblHeader/>
        </w:trPr>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5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Year of taxation and value</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 money received for destruction of a capital asset</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 of receipt; money or FMV of asset received is the consideration</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Conversion of capital asset into stock-in-trade</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Gain = FMV on conversion less cost; taxed in the year the stock is sold. Profit over FMV is business income</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asset brought into a firm as capital contribution</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 recorded in the firm's books is the sale value</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Compulsory acquisition</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 of receipt of compensation; enhanced compensation taxed in the year of receipt, with cost nil</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Joint development agreement (landowner, individual or HUF)</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 in which the completion certificate is issued; consideration = stamp value of share in the project plus cash</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Unit-linked insurance policies above premium limits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as capital gains on maturity or surrender</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Market-linked debentures, specified debt funds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Always short-term, taxed at slab or normal rates</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Sovereign gold bonds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Redemption on maturity by the original subscriber is exempt. From Tax Year 2026-27 buyers in the secondary market do not get this benefit</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Buyback of shares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in the hands of shareholders from Tax Year 2026-27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60: Joint development</w:t>
            </w:r>
          </w:p>
          <w:p>
            <w:pPr>
              <w:spacing w:after="60" w:line="260"/>
            </w:pPr>
            <w:r>
              <w:rPr>
                <w:rFonts w:ascii="Verdana" w:cs="Verdana" w:eastAsia="Verdana" w:hAnsi="Verdana"/>
                <w:sz w:val="20"/>
                <w:szCs w:val="20"/>
              </w:rPr>
              <w:t xml:space="preserve">Mr. Pillai enters into a joint development agreement in 2024 and gives land to a builder in exchange for 3 flats and Rs. 50 lakh cash. The completion certificate is issued in December 2026. Stamp duty value of the 3 flats on that date is Rs. 3 crore. Consideration = Rs. 3.5 crore, taxed in </w:t>
            </w:r>
            <w:r>
              <w:rPr>
                <w:rFonts w:ascii="Verdana" w:cs="Verdana" w:eastAsia="Verdana" w:hAnsi="Verdana"/>
                <w:b/>
                <w:bCs/>
                <w:sz w:val="20"/>
                <w:szCs w:val="20"/>
              </w:rPr>
              <w:t xml:space="preserve">Tax Year 2026-27</w:t>
            </w:r>
            <w:r>
              <w:rPr>
                <w:rFonts w:ascii="Verdana" w:cs="Verdana" w:eastAsia="Verdana" w:hAnsi="Verdana"/>
                <w:sz w:val="20"/>
                <w:szCs w:val="20"/>
              </w:rPr>
              <w:t xml:space="preserve"> as long-term capital gain after deducting the cost of land. The builder deducts TDS on the cash component.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Joint development and transfer</w:t>
            </w:r>
          </w:p>
          <w:p>
            <w:pPr>
              <w:spacing w:after="60" w:line="260"/>
            </w:pPr>
            <w:r>
              <w:rPr>
                <w:rFonts w:ascii="Verdana" w:cs="Verdana" w:eastAsia="Verdana" w:hAnsi="Verdana"/>
                <w:b/>
                <w:bCs/>
                <w:sz w:val="20"/>
                <w:szCs w:val="20"/>
              </w:rPr>
              <w:t xml:space="preserve">CIT v. Balbir Singh Maini (Supreme Court, 2017):</w:t>
            </w:r>
            <w:r>
              <w:rPr>
                <w:rFonts w:ascii="Verdana" w:cs="Verdana" w:eastAsia="Verdana" w:hAnsi="Verdana"/>
                <w:sz w:val="20"/>
                <w:szCs w:val="20"/>
              </w:rPr>
              <w:t xml:space="preserve"> where a joint development agreement could not be carried out because the required permissions were not obtained, there was no transfer and no capital gain. Possession under part performance counts as a transfer only if the agreement is registered, as required after the 2001 amendment to section 53A of the Transfer of Property Act.</w:t>
            </w:r>
          </w:p>
        </w:tc>
      </w:tr>
    </w:tbl>
    <w:p>
      <w:pPr>
        <w:spacing w:after="60"/>
      </w:pPr>
    </w:p>
    <w:p>
      <w:pPr>
        <w:pStyle w:val="Heading2"/>
        <w:keepNext/>
        <w:spacing w:after="120" w:before="240"/>
      </w:pPr>
      <w:r>
        <w:rPr>
          <w:rFonts w:ascii="Verdana" w:cs="Verdana" w:eastAsia="Verdana" w:hAnsi="Verdana"/>
        </w:rPr>
        <w:t xml:space="preserve">10.11 Cost of acquisition in special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5400"/>
      </w:tblGrid>
      <w:tr>
        <w:trPr>
          <w:cantSplit/>
          <w:tblHeader/>
        </w:trPr>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Asset</w:t>
            </w:r>
          </w:p>
        </w:tc>
        <w:tc>
          <w:tcPr>
            <w:tcW w:type="dxa" w:w="5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Cost</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Bonus shares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 (for bonus received before 1 April 2001, FMV on that date can be taken)</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Rights shares subscribed</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 paid</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Rights entitlement renounced</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 sale proceeds are short-term capital gain</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Shares after split or consolidation</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Original cost spread over the new number of shares</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 received by gift, will or inheritance</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to the previous owner, plus his improvements; holding period of previous owner included</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Self generated goodwill, trademark, route permit, loom hours</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 acquired before 1 April 2001</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Option to take FMV on 1 April 2001 (for land and building, not above stamp value on that date)</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Listed equity acquired before 1 February 2018</w:t>
            </w:r>
          </w:p>
        </w:tc>
        <w:tc>
          <w:tcPr>
            <w:tcW w:type="dxa" w:w="5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Higher of actual cost and lower of (FMV on 31 January 2018, sale value)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61: Grandfathering of listed shares</w:t>
            </w:r>
          </w:p>
          <w:p>
            <w:pPr>
              <w:spacing w:after="60" w:line="260"/>
            </w:pPr>
            <w:r>
              <w:rPr>
                <w:rFonts w:ascii="Verdana" w:cs="Verdana" w:eastAsia="Verdana" w:hAnsi="Verdana"/>
                <w:sz w:val="20"/>
                <w:szCs w:val="20"/>
              </w:rPr>
              <w:t xml:space="preserve">Sonal bought listed shares in 2016 at Rs. 100 each. The highest quoted price on 31 January 2018 was Rs. 250. She sells in November 2026 at Rs. 400.</w:t>
            </w:r>
          </w:p>
          <w:p>
            <w:pPr>
              <w:spacing w:after="60" w:line="260"/>
            </w:pPr>
            <w:r>
              <w:rPr>
                <w:rFonts w:ascii="Verdana" w:cs="Verdana" w:eastAsia="Verdana" w:hAnsi="Verdana"/>
                <w:sz w:val="20"/>
                <w:szCs w:val="20"/>
              </w:rPr>
              <w:t xml:space="preserve">Cost = higher of Rs. 100 and lower of (Rs. 250, Rs. 400) = </w:t>
            </w:r>
            <w:r>
              <w:rPr>
                <w:rFonts w:ascii="Verdana" w:cs="Verdana" w:eastAsia="Verdana" w:hAnsi="Verdana"/>
                <w:b/>
                <w:bCs/>
                <w:sz w:val="20"/>
                <w:szCs w:val="20"/>
              </w:rPr>
              <w:t xml:space="preserve">Rs. 250</w:t>
            </w:r>
            <w:r>
              <w:rPr>
                <w:rFonts w:ascii="Verdana" w:cs="Verdana" w:eastAsia="Verdana" w:hAnsi="Verdana"/>
                <w:sz w:val="20"/>
                <w:szCs w:val="20"/>
              </w:rPr>
              <w:t xml:space="preserve">. LTCG = Rs. 150 per share, taxable under section 198 above the Rs. 1,25,000 annual exemption.</w:t>
            </w:r>
          </w:p>
          <w:p>
            <w:pPr>
              <w:spacing w:after="60" w:line="260"/>
            </w:pPr>
            <w:r>
              <w:rPr>
                <w:rFonts w:ascii="Verdana" w:cs="Verdana" w:eastAsia="Verdana" w:hAnsi="Verdana"/>
                <w:sz w:val="20"/>
                <w:szCs w:val="20"/>
              </w:rPr>
              <w:t xml:space="preserve">If she had sold at Rs. 200, cost = higher of 100 and lower of (250, 200) = Rs. 200, so gain is nil, not a loss.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Cost that cannot be determined</w:t>
            </w:r>
          </w:p>
          <w:p>
            <w:pPr>
              <w:spacing w:after="60" w:line="260"/>
            </w:pPr>
            <w:r>
              <w:rPr>
                <w:rFonts w:ascii="Verdana" w:cs="Verdana" w:eastAsia="Verdana" w:hAnsi="Verdana"/>
                <w:b/>
                <w:bCs/>
                <w:sz w:val="20"/>
                <w:szCs w:val="20"/>
              </w:rPr>
              <w:t xml:space="preserve">CIT v. B.C. Srinivasa Setty (Supreme Court, 1981):</w:t>
            </w:r>
            <w:r>
              <w:rPr>
                <w:rFonts w:ascii="Verdana" w:cs="Verdana" w:eastAsia="Verdana" w:hAnsi="Verdana"/>
                <w:sz w:val="20"/>
                <w:szCs w:val="20"/>
              </w:rPr>
              <w:t xml:space="preserve"> where an asset has no conceivable cost (self generated goodwill), the computation provisions fail and so does the charge. The legislature responded by providing that the cost of such assets is nil, so that the entire consideration is now taxed.</w:t>
            </w:r>
          </w:p>
        </w:tc>
      </w:tr>
    </w:tbl>
    <w:p>
      <w:pPr>
        <w:spacing w:after="60"/>
      </w:pPr>
    </w:p>
    <w:p>
      <w:pPr>
        <w:pStyle w:val="Heading2"/>
        <w:keepNext/>
        <w:spacing w:after="120" w:before="240"/>
      </w:pPr>
      <w:r>
        <w:rPr>
          <w:rFonts w:ascii="Verdana" w:cs="Verdana" w:eastAsia="Verdana" w:hAnsi="Verdana"/>
        </w:rPr>
        <w:t xml:space="preserve">10.12 Indexation option for land and building</w:t>
      </w:r>
    </w:p>
    <w:p>
      <w:pPr>
        <w:spacing w:after="120" w:line="276"/>
        <w:jc w:val="both"/>
      </w:pPr>
      <w:r>
        <w:rPr>
          <w:rFonts w:ascii="Verdana" w:cs="Verdana" w:eastAsia="Verdana" w:hAnsi="Verdana"/>
        </w:rPr>
        <w:t xml:space="preserve">For land or building acquired before 23 July 2024 and transferred by a resident individual or HUF, the tax is the lower of (a) 12.5% of the gain without indexation, and (b) 20% of the gain computed with indexation using the Cost Inflation Index (CII). Loss computed with indexation cannot be carried forward if the non-indexed computation shows a 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62: Indexation comparison</w:t>
            </w:r>
          </w:p>
          <w:p>
            <w:pPr>
              <w:spacing w:after="60" w:line="260"/>
            </w:pPr>
            <w:r>
              <w:rPr>
                <w:rFonts w:ascii="Verdana" w:cs="Verdana" w:eastAsia="Verdana" w:hAnsi="Verdana"/>
                <w:sz w:val="20"/>
                <w:szCs w:val="20"/>
              </w:rPr>
              <w:t xml:space="preserve">Continuing Mr. Shah's case: net sale value Rs. 1,19,00,000 (after brokerage), cost Rs. 30,00,000 in 2010-11 (CII 167). Assume the notified CII for 2026-27 is 390 (use the actual notified figure in practice).</w:t>
            </w:r>
          </w:p>
          <w:p>
            <w:pPr>
              <w:spacing w:after="60" w:line="260"/>
            </w:pPr>
            <w:r>
              <w:rPr>
                <w:rFonts w:ascii="Verdana" w:cs="Verdana" w:eastAsia="Verdana" w:hAnsi="Verdana"/>
                <w:sz w:val="20"/>
                <w:szCs w:val="20"/>
              </w:rPr>
              <w:t xml:space="preserve">Indexed cost = 30,00,000 x 390 / 167 = Rs. 70,05,988. LTCG with indexation = Rs. 48,94,012. Tax at 20% = </w:t>
            </w:r>
            <w:r>
              <w:rPr>
                <w:rFonts w:ascii="Verdana" w:cs="Verdana" w:eastAsia="Verdana" w:hAnsi="Verdana"/>
                <w:b/>
                <w:bCs/>
                <w:sz w:val="20"/>
                <w:szCs w:val="20"/>
              </w:rPr>
              <w:t xml:space="preserve">Rs. 9,78,802</w:t>
            </w:r>
            <w:r>
              <w:rPr>
                <w:rFonts w:ascii="Verdana" w:cs="Verdana" w:eastAsia="Verdana" w:hAnsi="Verdana"/>
                <w:sz w:val="20"/>
                <w:szCs w:val="20"/>
              </w:rPr>
              <w:t xml:space="preserve">.</w:t>
            </w:r>
          </w:p>
          <w:p>
            <w:pPr>
              <w:spacing w:after="60" w:line="260"/>
            </w:pPr>
            <w:r>
              <w:rPr>
                <w:rFonts w:ascii="Verdana" w:cs="Verdana" w:eastAsia="Verdana" w:hAnsi="Verdana"/>
                <w:sz w:val="20"/>
                <w:szCs w:val="20"/>
              </w:rPr>
              <w:t xml:space="preserve">Without indexation: LTCG Rs. 89,00,000 x 12.5% = </w:t>
            </w:r>
            <w:r>
              <w:rPr>
                <w:rFonts w:ascii="Verdana" w:cs="Verdana" w:eastAsia="Verdana" w:hAnsi="Verdana"/>
                <w:b/>
                <w:bCs/>
                <w:sz w:val="20"/>
                <w:szCs w:val="20"/>
              </w:rPr>
              <w:t xml:space="preserve">Rs. 11,12,500</w:t>
            </w:r>
            <w:r>
              <w:rPr>
                <w:rFonts w:ascii="Verdana" w:cs="Verdana" w:eastAsia="Verdana" w:hAnsi="Verdana"/>
                <w:sz w:val="20"/>
                <w:szCs w:val="20"/>
              </w:rPr>
              <w:t xml:space="preserve">.</w:t>
            </w:r>
          </w:p>
          <w:p>
            <w:pPr>
              <w:spacing w:after="60" w:line="260"/>
            </w:pPr>
            <w:r>
              <w:rPr>
                <w:rFonts w:ascii="Verdana" w:cs="Verdana" w:eastAsia="Verdana" w:hAnsi="Verdana"/>
                <w:sz w:val="20"/>
                <w:szCs w:val="20"/>
              </w:rPr>
              <w:t xml:space="preserve">The indexation option gives lower tax, so Mr. Shah pays Rs. 9,78,802 (plus surcharge and cess) if he does not reinvest. Reinvestment exemptions are computed on the gain used for the chosen option.</w:t>
            </w:r>
          </w:p>
        </w:tc>
      </w:tr>
    </w:tbl>
    <w:p>
      <w:pPr>
        <w:spacing w:after="60"/>
      </w:pPr>
    </w:p>
    <w:p>
      <w:pPr>
        <w:pStyle w:val="Heading2"/>
        <w:keepNext/>
        <w:spacing w:after="120" w:before="240"/>
      </w:pPr>
      <w:r>
        <w:rPr>
          <w:rFonts w:ascii="Verdana" w:cs="Verdana" w:eastAsia="Verdana" w:hAnsi="Verdana"/>
        </w:rPr>
        <w:t xml:space="preserve">10.13 Section 82 (old 54) in full</w:t>
      </w:r>
    </w:p>
    <w:p>
      <w:pPr>
        <w:pStyle w:val="ListParagraph"/>
        <w:numPr>
          <w:ilvl w:val="0"/>
          <w:numId w:val="2"/>
        </w:numPr>
        <w:spacing w:after="60" w:line="264"/>
      </w:pPr>
      <w:r>
        <w:rPr>
          <w:rFonts w:ascii="Verdana" w:cs="Verdana" w:eastAsia="Verdana" w:hAnsi="Verdana"/>
        </w:rPr>
        <w:t xml:space="preserve">Available to an </w:t>
      </w:r>
      <w:r>
        <w:rPr>
          <w:rFonts w:ascii="Verdana" w:cs="Verdana" w:eastAsia="Verdana" w:hAnsi="Verdana"/>
          <w:b/>
          <w:bCs/>
        </w:rPr>
        <w:t xml:space="preserve">individual or HUF</w:t>
      </w:r>
      <w:r>
        <w:rPr>
          <w:rFonts w:ascii="Verdana" w:cs="Verdana" w:eastAsia="Verdana" w:hAnsi="Verdana"/>
        </w:rPr>
        <w:t xml:space="preserve"> on transfer of a long-term residential house (building or land appurtenant) whose income was chargeable as house property.</w:t>
      </w:r>
    </w:p>
    <w:p>
      <w:pPr>
        <w:pStyle w:val="ListParagraph"/>
        <w:numPr>
          <w:ilvl w:val="0"/>
          <w:numId w:val="2"/>
        </w:numPr>
        <w:spacing w:after="60" w:line="264"/>
      </w:pPr>
      <w:r>
        <w:rPr>
          <w:rFonts w:ascii="Verdana" w:cs="Verdana" w:eastAsia="Verdana" w:hAnsi="Verdana"/>
        </w:rPr>
        <w:t xml:space="preserve">New residential house in India must be </w:t>
      </w:r>
      <w:r>
        <w:rPr>
          <w:rFonts w:ascii="Verdana" w:cs="Verdana" w:eastAsia="Verdana" w:hAnsi="Verdana"/>
          <w:b/>
          <w:bCs/>
        </w:rPr>
        <w:t xml:space="preserve">purchased</w:t>
      </w:r>
      <w:r>
        <w:rPr>
          <w:rFonts w:ascii="Verdana" w:cs="Verdana" w:eastAsia="Verdana" w:hAnsi="Verdana"/>
        </w:rPr>
        <w:t xml:space="preserve"> within 1 year before or 2 years after the transfer, or </w:t>
      </w:r>
      <w:r>
        <w:rPr>
          <w:rFonts w:ascii="Verdana" w:cs="Verdana" w:eastAsia="Verdana" w:hAnsi="Verdana"/>
          <w:b/>
          <w:bCs/>
        </w:rPr>
        <w:t xml:space="preserve">constructed</w:t>
      </w:r>
      <w:r>
        <w:rPr>
          <w:rFonts w:ascii="Verdana" w:cs="Verdana" w:eastAsia="Verdana" w:hAnsi="Verdana"/>
        </w:rPr>
        <w:t xml:space="preserve"> within 3 years after the transfer.</w:t>
      </w:r>
    </w:p>
    <w:p>
      <w:pPr>
        <w:pStyle w:val="ListParagraph"/>
        <w:numPr>
          <w:ilvl w:val="0"/>
          <w:numId w:val="2"/>
        </w:numPr>
        <w:spacing w:after="60" w:line="264"/>
      </w:pPr>
      <w:r>
        <w:rPr>
          <w:rFonts w:ascii="Verdana" w:cs="Verdana" w:eastAsia="Verdana" w:hAnsi="Verdana"/>
        </w:rPr>
        <w:t xml:space="preserve">Exemption = amount of capital gain invested, up to the cost of the new house, and capped at </w:t>
      </w:r>
      <w:r>
        <w:rPr>
          <w:rFonts w:ascii="Verdana" w:cs="Verdana" w:eastAsia="Verdana" w:hAnsi="Verdana"/>
          <w:b/>
          <w:bCs/>
        </w:rPr>
        <w:t xml:space="preserve">Rs. 10 crore</w:t>
      </w:r>
      <w:r>
        <w:rPr>
          <w:rFonts w:ascii="Verdana" w:cs="Verdana" w:eastAsia="Verdana" w:hAnsi="Verdana"/>
        </w:rPr>
        <w:t xml:space="preserve">.</w:t>
      </w:r>
    </w:p>
    <w:p>
      <w:pPr>
        <w:pStyle w:val="ListParagraph"/>
        <w:numPr>
          <w:ilvl w:val="0"/>
          <w:numId w:val="2"/>
        </w:numPr>
        <w:spacing w:after="60" w:line="264"/>
      </w:pPr>
      <w:r>
        <w:rPr>
          <w:rFonts w:ascii="Verdana" w:cs="Verdana" w:eastAsia="Verdana" w:hAnsi="Verdana"/>
        </w:rPr>
        <w:t xml:space="preserve">Once in a lifetime, if the LTCG does not exceed </w:t>
      </w:r>
      <w:r>
        <w:rPr>
          <w:rFonts w:ascii="Verdana" w:cs="Verdana" w:eastAsia="Verdana" w:hAnsi="Verdana"/>
          <w:b/>
          <w:bCs/>
        </w:rPr>
        <w:t xml:space="preserve">Rs. 2 crore</w:t>
      </w:r>
      <w:r>
        <w:rPr>
          <w:rFonts w:ascii="Verdana" w:cs="Verdana" w:eastAsia="Verdana" w:hAnsi="Verdana"/>
        </w:rPr>
        <w:t xml:space="preserve">, the taxpayer may buy or construct </w:t>
      </w:r>
      <w:r>
        <w:rPr>
          <w:rFonts w:ascii="Verdana" w:cs="Verdana" w:eastAsia="Verdana" w:hAnsi="Verdana"/>
          <w:b/>
          <w:bCs/>
        </w:rPr>
        <w:t xml:space="preserve">two</w:t>
      </w:r>
      <w:r>
        <w:rPr>
          <w:rFonts w:ascii="Verdana" w:cs="Verdana" w:eastAsia="Verdana" w:hAnsi="Verdana"/>
        </w:rPr>
        <w:t xml:space="preserve"> houses and claim exemption for both.</w:t>
      </w:r>
    </w:p>
    <w:p>
      <w:pPr>
        <w:pStyle w:val="ListParagraph"/>
        <w:numPr>
          <w:ilvl w:val="0"/>
          <w:numId w:val="2"/>
        </w:numPr>
        <w:spacing w:after="60" w:line="264"/>
      </w:pPr>
      <w:r>
        <w:rPr>
          <w:rFonts w:ascii="Verdana" w:cs="Verdana" w:eastAsia="Verdana" w:hAnsi="Verdana"/>
        </w:rPr>
        <w:t xml:space="preserve">If the new house is sold within </w:t>
      </w:r>
      <w:r>
        <w:rPr>
          <w:rFonts w:ascii="Verdana" w:cs="Verdana" w:eastAsia="Verdana" w:hAnsi="Verdana"/>
          <w:b/>
          <w:bCs/>
        </w:rPr>
        <w:t xml:space="preserve">3 years</w:t>
      </w:r>
      <w:r>
        <w:rPr>
          <w:rFonts w:ascii="Verdana" w:cs="Verdana" w:eastAsia="Verdana" w:hAnsi="Verdana"/>
        </w:rPr>
        <w:t xml:space="preserve">, the exemption is withdrawn by reducing its cost by the exempted amount.</w:t>
      </w:r>
    </w:p>
    <w:p>
      <w:pPr>
        <w:pStyle w:val="ListParagraph"/>
        <w:numPr>
          <w:ilvl w:val="0"/>
          <w:numId w:val="2"/>
        </w:numPr>
        <w:spacing w:after="60" w:line="264"/>
      </w:pPr>
      <w:r>
        <w:rPr>
          <w:rFonts w:ascii="Verdana" w:cs="Verdana" w:eastAsia="Verdana" w:hAnsi="Verdana"/>
        </w:rPr>
        <w:t xml:space="preserve">Amount not invested by the return due date must be deposited in the </w:t>
      </w:r>
      <w:r>
        <w:rPr>
          <w:rFonts w:ascii="Verdana" w:cs="Verdana" w:eastAsia="Verdana" w:hAnsi="Verdana"/>
          <w:b/>
          <w:bCs/>
        </w:rPr>
        <w:t xml:space="preserve">Capital Gains Accounts Scheme</w:t>
      </w:r>
      <w:r>
        <w:rPr>
          <w:rFonts w:ascii="Verdana" w:cs="Verdana" w:eastAsia="Verdana" w:hAnsi="Verdana"/>
        </w:rPr>
        <w:t xml:space="preserve">; if not used within the time limit, it is taxed in the year the period expires.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Agreement to sell and time limits</w:t>
            </w:r>
          </w:p>
          <w:p>
            <w:pPr>
              <w:spacing w:after="60" w:line="260"/>
            </w:pPr>
            <w:r>
              <w:rPr>
                <w:rFonts w:ascii="Verdana" w:cs="Verdana" w:eastAsia="Verdana" w:hAnsi="Verdana"/>
                <w:b/>
                <w:bCs/>
                <w:sz w:val="20"/>
                <w:szCs w:val="20"/>
              </w:rPr>
              <w:t xml:space="preserve">Sanjeev Lal v. CIT (Supreme Court, 2014):</w:t>
            </w:r>
            <w:r>
              <w:rPr>
                <w:rFonts w:ascii="Verdana" w:cs="Verdana" w:eastAsia="Verdana" w:hAnsi="Verdana"/>
                <w:sz w:val="20"/>
                <w:szCs w:val="20"/>
              </w:rPr>
              <w:t xml:space="preserve"> where an agreement to sell was executed and advance received, and the sale deed was delayed due to litigation, the date of the agreement was relevant for computing the time limit for the new house, because rights in the property had been transferred under the agreement.</w:t>
            </w:r>
          </w:p>
        </w:tc>
      </w:tr>
    </w:tbl>
    <w:p>
      <w:pPr>
        <w:spacing w:after="60"/>
      </w:pPr>
    </w:p>
    <w:p>
      <w:pPr>
        <w:pStyle w:val="Heading2"/>
        <w:keepNext/>
        <w:spacing w:after="120" w:before="240"/>
      </w:pPr>
      <w:r>
        <w:rPr>
          <w:rFonts w:ascii="Verdana" w:cs="Verdana" w:eastAsia="Verdana" w:hAnsi="Verdana"/>
        </w:rPr>
        <w:t xml:space="preserve">10.14 Section 86 (old 54F): proportionate exemption</w:t>
      </w:r>
    </w:p>
    <w:p>
      <w:pPr>
        <w:spacing w:after="120" w:line="276"/>
        <w:jc w:val="both"/>
      </w:pPr>
      <w:r>
        <w:rPr>
          <w:rFonts w:ascii="Verdana" w:cs="Verdana" w:eastAsia="Verdana" w:hAnsi="Verdana"/>
        </w:rPr>
        <w:t xml:space="preserve">Where a long-term asset other than a residential house (shares, gold, land) is sold and a residential house is bought or constructed within the same time limits, the exemption is proportionate: </w:t>
      </w:r>
      <w:r>
        <w:rPr>
          <w:rFonts w:ascii="Verdana" w:cs="Verdana" w:eastAsia="Verdana" w:hAnsi="Verdana"/>
          <w:b/>
          <w:bCs/>
        </w:rPr>
        <w:t xml:space="preserve">LTCG x amount invested / net sale consideration</w:t>
      </w:r>
      <w:r>
        <w:rPr>
          <w:rFonts w:ascii="Verdana" w:cs="Verdana" w:eastAsia="Verdana" w:hAnsi="Verdana"/>
        </w:rPr>
        <w:t xml:space="preserve">. If the whole net consideration is invested, the entire gain is exempt. The taxpayer must not own more than one residential house (other than the new one) on the date of transfer, and must not buy another within 2 years or construct another within 3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63: Section 86</w:t>
            </w:r>
          </w:p>
          <w:p>
            <w:pPr>
              <w:spacing w:after="60" w:line="260"/>
            </w:pPr>
            <w:r>
              <w:rPr>
                <w:rFonts w:ascii="Verdana" w:cs="Verdana" w:eastAsia="Verdana" w:hAnsi="Verdana"/>
                <w:sz w:val="20"/>
                <w:szCs w:val="20"/>
              </w:rPr>
              <w:t xml:space="preserve">Rekha sells unlisted shares for a net consideration of Rs. 50 lakh; LTCG is Rs. 30 lakh. She buys a flat for Rs. 40 lakh. Exempt = 30 lakh x 40 / 50 = </w:t>
            </w:r>
            <w:r>
              <w:rPr>
                <w:rFonts w:ascii="Verdana" w:cs="Verdana" w:eastAsia="Verdana" w:hAnsi="Verdana"/>
                <w:b/>
                <w:bCs/>
                <w:sz w:val="20"/>
                <w:szCs w:val="20"/>
              </w:rPr>
              <w:t xml:space="preserve">Rs. 24 lakh</w:t>
            </w:r>
            <w:r>
              <w:rPr>
                <w:rFonts w:ascii="Verdana" w:cs="Verdana" w:eastAsia="Verdana" w:hAnsi="Verdana"/>
                <w:sz w:val="20"/>
                <w:szCs w:val="20"/>
              </w:rPr>
              <w:t xml:space="preserve">. Taxable LTCG = </w:t>
            </w:r>
            <w:r>
              <w:rPr>
                <w:rFonts w:ascii="Verdana" w:cs="Verdana" w:eastAsia="Verdana" w:hAnsi="Verdana"/>
                <w:b/>
                <w:bCs/>
                <w:sz w:val="20"/>
                <w:szCs w:val="20"/>
              </w:rPr>
              <w:t xml:space="preserve">Rs. 6 lakh</w:t>
            </w:r>
            <w:r>
              <w:rPr>
                <w:rFonts w:ascii="Verdana" w:cs="Verdana" w:eastAsia="Verdana" w:hAnsi="Verdana"/>
                <w:sz w:val="20"/>
                <w:szCs w:val="20"/>
              </w:rPr>
              <w:t xml:space="preserve"> at 12.5%.</w:t>
            </w:r>
          </w:p>
        </w:tc>
      </w:tr>
    </w:tbl>
    <w:p>
      <w:pPr>
        <w:spacing w:after="60"/>
      </w:pPr>
    </w:p>
    <w:p>
      <w:pPr>
        <w:pStyle w:val="Heading2"/>
        <w:keepNext/>
        <w:spacing w:after="120" w:before="240"/>
      </w:pPr>
      <w:r>
        <w:rPr>
          <w:rFonts w:ascii="Verdana" w:cs="Verdana" w:eastAsia="Verdana" w:hAnsi="Verdana"/>
        </w:rPr>
        <w:t xml:space="preserve">10.15 Section 85 (old 54EC) bonds</w:t>
      </w:r>
    </w:p>
    <w:p>
      <w:pPr>
        <w:spacing w:after="120" w:line="276"/>
        <w:jc w:val="both"/>
      </w:pPr>
      <w:r>
        <w:rPr>
          <w:rFonts w:ascii="Verdana" w:cs="Verdana" w:eastAsia="Verdana" w:hAnsi="Verdana"/>
        </w:rPr>
        <w:t xml:space="preserve">LTCG from land or building (not other assets) is exempt to the extent invested within </w:t>
      </w:r>
      <w:r>
        <w:rPr>
          <w:rFonts w:ascii="Verdana" w:cs="Verdana" w:eastAsia="Verdana" w:hAnsi="Verdana"/>
          <w:b/>
          <w:bCs/>
        </w:rPr>
        <w:t xml:space="preserve">6 months</w:t>
      </w:r>
      <w:r>
        <w:rPr>
          <w:rFonts w:ascii="Verdana" w:cs="Verdana" w:eastAsia="Verdana" w:hAnsi="Verdana"/>
        </w:rPr>
        <w:t xml:space="preserve"> in notified bonds (issued by NHAI, REC, PFC, IRFC and similar), up to </w:t>
      </w:r>
      <w:r>
        <w:rPr>
          <w:rFonts w:ascii="Verdana" w:cs="Verdana" w:eastAsia="Verdana" w:hAnsi="Verdana"/>
          <w:b/>
          <w:bCs/>
        </w:rPr>
        <w:t xml:space="preserve">Rs. 50 lakh</w:t>
      </w:r>
      <w:r>
        <w:rPr>
          <w:rFonts w:ascii="Verdana" w:cs="Verdana" w:eastAsia="Verdana" w:hAnsi="Verdana"/>
        </w:rPr>
        <w:t xml:space="preserve"> across the year of transfer and the next year. The bonds have a 5-year lock-in. Interest on them is taxable. If the bonds are transferred or pledged for a loan within 5 years, the exempted gain is taxed in that year.</w:t>
      </w:r>
    </w:p>
    <w:p>
      <w:pPr>
        <w:pStyle w:val="Heading2"/>
        <w:keepNext/>
        <w:spacing w:after="120" w:before="240"/>
      </w:pPr>
      <w:r>
        <w:rPr>
          <w:rFonts w:ascii="Verdana" w:cs="Verdana" w:eastAsia="Verdana" w:hAnsi="Verdana"/>
        </w:rPr>
        <w:t xml:space="preserve">10.16 Adjusting the basic exemption limit against special rate gains</w:t>
      </w:r>
    </w:p>
    <w:p>
      <w:pPr>
        <w:spacing w:after="120" w:line="276"/>
        <w:jc w:val="both"/>
      </w:pPr>
      <w:r>
        <w:rPr>
          <w:rFonts w:ascii="Verdana" w:cs="Verdana" w:eastAsia="Verdana" w:hAnsi="Verdana"/>
        </w:rPr>
        <w:t xml:space="preserve">A resident individual or HUF whose other income is below the basic exemption limit can use the unused limit against STCG under section 196 and LTCG under sections 197 and 198. Non-residents cannot.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64: Unused exemption</w:t>
            </w:r>
          </w:p>
          <w:p>
            <w:pPr>
              <w:spacing w:after="60" w:line="260"/>
            </w:pPr>
            <w:r>
              <w:rPr>
                <w:rFonts w:ascii="Verdana" w:cs="Verdana" w:eastAsia="Verdana" w:hAnsi="Verdana"/>
                <w:sz w:val="20"/>
                <w:szCs w:val="20"/>
              </w:rPr>
              <w:t xml:space="preserve">Asha, a resident with only Rs. 2,00,000 of interest income (new regime), has STCG of Rs. 5,00,000 on listed shares. Unused exemption = Rs. 4,00,000 less Rs. 2,00,000 = Rs. 2,00,000. Taxable STCG = Rs. 3,00,000 at 20% = </w:t>
            </w:r>
            <w:r>
              <w:rPr>
                <w:rFonts w:ascii="Verdana" w:cs="Verdana" w:eastAsia="Verdana" w:hAnsi="Verdana"/>
                <w:b/>
                <w:bCs/>
                <w:sz w:val="20"/>
                <w:szCs w:val="20"/>
              </w:rPr>
              <w:t xml:space="preserve">Rs. 60,000</w:t>
            </w:r>
            <w:r>
              <w:rPr>
                <w:rFonts w:ascii="Verdana" w:cs="Verdana" w:eastAsia="Verdana" w:hAnsi="Verdana"/>
                <w:sz w:val="20"/>
                <w:szCs w:val="20"/>
              </w:rPr>
              <w:t xml:space="preserve"> plus cess. The section 156 rebate cannot be used against this tax.</w:t>
            </w:r>
          </w:p>
        </w:tc>
      </w:tr>
    </w:tbl>
    <w:p>
      <w:pPr>
        <w:spacing w:after="60"/>
      </w:pPr>
    </w:p>
    <w:p>
      <w:pPr>
        <w:pStyle w:val="Heading2"/>
        <w:keepNext/>
        <w:spacing w:after="120" w:before="240"/>
      </w:pPr>
      <w:r>
        <w:rPr>
          <w:rFonts w:ascii="Verdana" w:cs="Verdana" w:eastAsia="Verdana" w:hAnsi="Verdana"/>
        </w:rPr>
        <w:t xml:space="preserve">10.17 Depreciable assets (section 74)</w:t>
      </w:r>
    </w:p>
    <w:p>
      <w:pPr>
        <w:spacing w:after="120" w:line="276"/>
        <w:jc w:val="both"/>
      </w:pPr>
      <w:r>
        <w:rPr>
          <w:rFonts w:ascii="Verdana" w:cs="Verdana" w:eastAsia="Verdana" w:hAnsi="Verdana"/>
        </w:rPr>
        <w:t xml:space="preserve">For assets on which depreciation has been allowed, the gain is always </w:t>
      </w:r>
      <w:r>
        <w:rPr>
          <w:rFonts w:ascii="Verdana" w:cs="Verdana" w:eastAsia="Verdana" w:hAnsi="Verdana"/>
          <w:b/>
          <w:bCs/>
        </w:rPr>
        <w:t xml:space="preserve">short-term</w:t>
      </w:r>
      <w:r>
        <w:rPr>
          <w:rFonts w:ascii="Verdana" w:cs="Verdana" w:eastAsia="Verdana" w:hAnsi="Verdana"/>
        </w:rPr>
        <w:t xml:space="preserve">, however long the asset was held, because the computation is done on the block. A business that sells an entire block (for example, its only building) for more than the WDV pays tax on the excess at normal rates, even if the building was owned for decades. The courts have held that this deeming fiction is limited to the computation of gains; for example, in CIT v. Ace Builders (P) Ltd. (Bombay High Court, 2005) a reinvestment exemption meant for long-term assets was allowed on a depreciable building held for many years. Examine the facts and current judicial position before relying on this.</w:t>
      </w:r>
    </w:p>
    <w:p>
      <w:pPr>
        <w:pStyle w:val="Heading2"/>
        <w:keepNext/>
        <w:spacing w:after="120" w:before="240"/>
      </w:pPr>
      <w:r>
        <w:rPr>
          <w:rFonts w:ascii="Verdana" w:cs="Verdana" w:eastAsia="Verdana" w:hAnsi="Verdana"/>
        </w:rPr>
        <w:t xml:space="preserve">10.18 Capital gains on common investment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2200"/>
        <w:gridCol w:w="2200"/>
        <w:gridCol w:w="1800"/>
      </w:tblGrid>
      <w:tr>
        <w:trPr>
          <w:cantSplit/>
          <w:tblHeader/>
        </w:trPr>
        <w:tc>
          <w:tcPr>
            <w:tcW w:type="dxa" w:w="3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Product</w:t>
            </w:r>
          </w:p>
        </w:tc>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Holding for long-term</w:t>
            </w:r>
          </w:p>
        </w:tc>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LTCG rate</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STCG rate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Listed equity shares, equity mutual funds (65% or more in Indian equity)</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months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above Rs. 1.25 lakh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Debt mutual funds bought on or after 1 April 2023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Always short-term</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applicable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rate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Hybrid funds with 35% to 65% equity (not specified funds)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 months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rate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Gold, silver, gold ETFs and funds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months if listed (ETF), otherwise 24 months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rate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Listed bonds and debentures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months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rate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Unlisted bonds and debentures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Always short-term</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applicable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rate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REIT and InvIT units (listed)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months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above Rs. 1.25 lakh (section 198)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shares and funds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 months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rate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Land and building</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 months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(or 20% with indexation for pre-23 July 2024 assets, residents)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rate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Unlisted shares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 months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Slab rate</w:t>
            </w:r>
          </w:p>
        </w:tc>
      </w:tr>
    </w:tbl>
    <w:p>
      <w:pPr>
        <w:spacing w:after="60"/>
      </w:pPr>
    </w:p>
    <w:p>
      <w:pPr>
        <w:pStyle w:val="Heading2"/>
        <w:keepNext/>
        <w:spacing w:after="120" w:before="240"/>
      </w:pPr>
      <w:r>
        <w:rPr>
          <w:rFonts w:ascii="Verdana" w:cs="Verdana" w:eastAsia="Verdana" w:hAnsi="Verdana"/>
        </w:rPr>
        <w:t xml:space="preserve">10.19 Inherited property: a complete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65: Sale of inherited house</w:t>
            </w:r>
          </w:p>
          <w:p>
            <w:pPr>
              <w:spacing w:after="60" w:line="260"/>
            </w:pPr>
            <w:r>
              <w:rPr>
                <w:rFonts w:ascii="Verdana" w:cs="Verdana" w:eastAsia="Verdana" w:hAnsi="Verdana"/>
                <w:sz w:val="20"/>
                <w:szCs w:val="20"/>
              </w:rPr>
              <w:t xml:space="preserve">Vandana inherited a house on her father's death in 2015. Her father had bought it in 1995 for Rs. 8 lakh. Its FMV on 1 April 2001 was Rs. 20 lakh (stamp value on that date Rs. 18 lakh). She sells it on 10 September 2026 for Rs. 1.1 crore.</w:t>
            </w:r>
          </w:p>
          <w:p>
            <w:pPr>
              <w:spacing w:after="60" w:line="260"/>
            </w:pPr>
            <w:r>
              <w:rPr>
                <w:rFonts w:ascii="Verdana" w:cs="Verdana" w:eastAsia="Verdana" w:hAnsi="Verdana"/>
                <w:b/>
                <w:bCs/>
                <w:sz w:val="20"/>
                <w:szCs w:val="20"/>
              </w:rPr>
              <w:t xml:space="preserve">Cost:</w:t>
            </w:r>
            <w:r>
              <w:rPr>
                <w:rFonts w:ascii="Verdana" w:cs="Verdana" w:eastAsia="Verdana" w:hAnsi="Verdana"/>
                <w:sz w:val="20"/>
                <w:szCs w:val="20"/>
              </w:rPr>
              <w:t xml:space="preserve"> she can take the FMV on 1 April 2001, but for land and building it cannot exceed the stamp value on that date, so cost = </w:t>
            </w:r>
            <w:r>
              <w:rPr>
                <w:rFonts w:ascii="Verdana" w:cs="Verdana" w:eastAsia="Verdana" w:hAnsi="Verdana"/>
                <w:b/>
                <w:bCs/>
                <w:sz w:val="20"/>
                <w:szCs w:val="20"/>
              </w:rPr>
              <w:t xml:space="preserve">Rs. 18 lakh</w:t>
            </w:r>
            <w:r>
              <w:rPr>
                <w:rFonts w:ascii="Verdana" w:cs="Verdana" w:eastAsia="Verdana" w:hAnsi="Verdana"/>
                <w:sz w:val="20"/>
                <w:szCs w:val="20"/>
              </w:rPr>
              <w:t xml:space="preserve">.</w:t>
            </w:r>
          </w:p>
          <w:p>
            <w:pPr>
              <w:spacing w:after="60" w:line="260"/>
            </w:pPr>
            <w:r>
              <w:rPr>
                <w:rFonts w:ascii="Verdana" w:cs="Verdana" w:eastAsia="Verdana" w:hAnsi="Verdana"/>
                <w:b/>
                <w:bCs/>
                <w:sz w:val="20"/>
                <w:szCs w:val="20"/>
              </w:rPr>
              <w:t xml:space="preserve">Holding period:</w:t>
            </w:r>
            <w:r>
              <w:rPr>
                <w:rFonts w:ascii="Verdana" w:cs="Verdana" w:eastAsia="Verdana" w:hAnsi="Verdana"/>
                <w:sz w:val="20"/>
                <w:szCs w:val="20"/>
              </w:rPr>
              <w:t xml:space="preserve"> includes her father's holding from 1995, so it is long-term.</w:t>
            </w:r>
          </w:p>
          <w:p>
            <w:pPr>
              <w:spacing w:after="60" w:line="260"/>
            </w:pPr>
            <w:r>
              <w:rPr>
                <w:rFonts w:ascii="Verdana" w:cs="Verdana" w:eastAsia="Verdana" w:hAnsi="Verdana"/>
                <w:b/>
                <w:bCs/>
                <w:sz w:val="20"/>
                <w:szCs w:val="20"/>
              </w:rPr>
              <w:t xml:space="preserve">Without indexation:</w:t>
            </w:r>
            <w:r>
              <w:rPr>
                <w:rFonts w:ascii="Verdana" w:cs="Verdana" w:eastAsia="Verdana" w:hAnsi="Verdana"/>
                <w:sz w:val="20"/>
                <w:szCs w:val="20"/>
              </w:rPr>
              <w:t xml:space="preserve"> LTCG = 1.1 crore less 18 lakh = Rs. 92 lakh, tax at 12.5% = Rs. 11.5 lakh.</w:t>
            </w:r>
          </w:p>
          <w:p>
            <w:pPr>
              <w:spacing w:after="60" w:line="260"/>
            </w:pPr>
            <w:r>
              <w:rPr>
                <w:rFonts w:ascii="Verdana" w:cs="Verdana" w:eastAsia="Verdana" w:hAnsi="Verdana"/>
                <w:b/>
                <w:bCs/>
                <w:sz w:val="20"/>
                <w:szCs w:val="20"/>
              </w:rPr>
              <w:t xml:space="preserve">With indexation (as it was acquired before 23 July 2024):</w:t>
            </w:r>
            <w:r>
              <w:rPr>
                <w:rFonts w:ascii="Verdana" w:cs="Verdana" w:eastAsia="Verdana" w:hAnsi="Verdana"/>
                <w:sz w:val="20"/>
                <w:szCs w:val="20"/>
              </w:rPr>
              <w:t xml:space="preserve"> indexed cost = 18 lakh x CII of 2026-27 / 100 (CII of 2001-02). Assuming CII of 390, indexed cost = Rs. 70.2 lakh; LTCG = Rs. 39.8 lakh; tax at 20% = </w:t>
            </w:r>
            <w:r>
              <w:rPr>
                <w:rFonts w:ascii="Verdana" w:cs="Verdana" w:eastAsia="Verdana" w:hAnsi="Verdana"/>
                <w:b/>
                <w:bCs/>
                <w:sz w:val="20"/>
                <w:szCs w:val="20"/>
              </w:rPr>
              <w:t xml:space="preserve">Rs. 7.96 lakh</w:t>
            </w:r>
            <w:r>
              <w:rPr>
                <w:rFonts w:ascii="Verdana" w:cs="Verdana" w:eastAsia="Verdana" w:hAnsi="Verdana"/>
                <w:sz w:val="20"/>
                <w:szCs w:val="20"/>
              </w:rPr>
              <w:t xml:space="preserve">. Indexation gives lower tax.</w:t>
            </w:r>
          </w:p>
          <w:p>
            <w:pPr>
              <w:spacing w:after="60" w:line="260"/>
            </w:pPr>
            <w:r>
              <w:rPr>
                <w:rFonts w:ascii="Verdana" w:cs="Verdana" w:eastAsia="Verdana" w:hAnsi="Verdana"/>
                <w:sz w:val="20"/>
                <w:szCs w:val="20"/>
              </w:rPr>
              <w:t xml:space="preserve">She can reduce this further by buying a house under section 82 or investing in section 85 bonds.</w:t>
            </w:r>
          </w:p>
        </w:tc>
      </w:tr>
    </w:tbl>
    <w:p>
      <w:pPr>
        <w:spacing w:after="60"/>
      </w:pPr>
    </w:p>
    <w:p>
      <w:pPr>
        <w:pStyle w:val="Heading2"/>
        <w:keepNext/>
        <w:spacing w:after="120" w:before="240"/>
      </w:pPr>
      <w:r>
        <w:rPr>
          <w:rFonts w:ascii="Verdana" w:cs="Verdana" w:eastAsia="Verdana" w:hAnsi="Verdana"/>
        </w:rPr>
        <w:t xml:space="preserve">10.20 Booking rights in an under construction flat</w:t>
      </w:r>
    </w:p>
    <w:p>
      <w:pPr>
        <w:spacing w:after="120" w:line="276"/>
        <w:jc w:val="both"/>
      </w:pPr>
      <w:r>
        <w:rPr>
          <w:rFonts w:ascii="Verdana" w:cs="Verdana" w:eastAsia="Verdana" w:hAnsi="Verdana"/>
        </w:rPr>
        <w:t xml:space="preserve">Where a buyer sells the right in a flat booked with a builder before possession, the right is a capital asset. The holding period is counted from the date of allotment. Gain on such a sale is capital gain, and if the flat is residential, section 82 may be available for reinvestment of the gain, because the right is treated as a house property right in many rulings; examine the facts.</w:t>
      </w:r>
    </w:p>
    <w:p>
      <w:pPr>
        <w:pStyle w:val="Heading2"/>
        <w:keepNext/>
        <w:spacing w:after="120" w:before="240"/>
      </w:pPr>
      <w:r>
        <w:rPr>
          <w:rFonts w:ascii="Verdana" w:cs="Verdana" w:eastAsia="Verdana" w:hAnsi="Verdana"/>
        </w:rPr>
        <w:t xml:space="preserve">10.21 Loss harvesting and gain harvesting</w:t>
      </w:r>
    </w:p>
    <w:p>
      <w:pPr>
        <w:spacing w:after="120" w:line="276"/>
        <w:jc w:val="both"/>
      </w:pPr>
      <w:r>
        <w:rPr>
          <w:rFonts w:ascii="Verdana" w:cs="Verdana" w:eastAsia="Verdana" w:hAnsi="Verdana"/>
        </w:rPr>
        <w:t xml:space="preserve">Because the section 198 exemption of Rs. 1,25,000 is available every year, investors often sell listed equity with long-term gains up to that amount and buy it back, resetting their cost. Similarly, they may realise losses to set off against gains. These are lawful uses of the provisions, though transactions that are only paper transactions (buying and selling on the same day in a pre-arranged way) may be questioned.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66: Harvesting gains</w:t>
            </w:r>
          </w:p>
          <w:p>
            <w:pPr>
              <w:spacing w:after="60" w:line="260"/>
            </w:pPr>
            <w:r>
              <w:rPr>
                <w:rFonts w:ascii="Verdana" w:cs="Verdana" w:eastAsia="Verdana" w:hAnsi="Verdana"/>
                <w:sz w:val="20"/>
                <w:szCs w:val="20"/>
              </w:rPr>
              <w:t xml:space="preserve">Rajan holds equity funds with an unrealised long-term gain of Rs. 3,00,000. In March 2027 he redeems units with a gain of Rs. 1,25,000 and reinvests the proceeds. Tax on the gain: </w:t>
            </w:r>
            <w:r>
              <w:rPr>
                <w:rFonts w:ascii="Verdana" w:cs="Verdana" w:eastAsia="Verdana" w:hAnsi="Verdana"/>
                <w:b/>
                <w:bCs/>
                <w:sz w:val="20"/>
                <w:szCs w:val="20"/>
              </w:rPr>
              <w:t xml:space="preserve">nil</w:t>
            </w:r>
            <w:r>
              <w:rPr>
                <w:rFonts w:ascii="Verdana" w:cs="Verdana" w:eastAsia="Verdana" w:hAnsi="Verdana"/>
                <w:sz w:val="20"/>
                <w:szCs w:val="20"/>
              </w:rPr>
              <w:t xml:space="preserve"> (within the exemption). His cost is reset higher, reducing future tax by Rs. 1,25,000 x 12.5% = Rs. 15,625 plus cess, when he eventually sells.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Holding period: 12 months for listed securities, 24 months for others, 36 months for slump sale.</w:t>
            </w:r>
          </w:p>
          <w:p>
            <w:pPr>
              <w:spacing w:after="60" w:line="260"/>
            </w:pPr>
            <w:r>
              <w:rPr>
                <w:rFonts w:ascii="Verdana" w:cs="Verdana" w:eastAsia="Verdana" w:hAnsi="Verdana"/>
                <w:sz w:val="20"/>
                <w:szCs w:val="20"/>
              </w:rPr>
              <w:t xml:space="preserve">•  Rates: STCG listed equity 20%; LTCG 12.5% (equity above Rs. 1.25 lakh); indexation option for older land and building.</w:t>
            </w:r>
          </w:p>
          <w:p>
            <w:pPr>
              <w:spacing w:after="60" w:line="260"/>
            </w:pPr>
            <w:r>
              <w:rPr>
                <w:rFonts w:ascii="Verdana" w:cs="Verdana" w:eastAsia="Verdana" w:hAnsi="Verdana"/>
                <w:sz w:val="20"/>
                <w:szCs w:val="20"/>
              </w:rPr>
              <w:t xml:space="preserve">•  Section 78 applies stamp value if it exceeds 110% of the price.</w:t>
            </w:r>
          </w:p>
          <w:p>
            <w:pPr>
              <w:spacing w:after="60" w:line="260"/>
            </w:pPr>
            <w:r>
              <w:rPr>
                <w:rFonts w:ascii="Verdana" w:cs="Verdana" w:eastAsia="Verdana" w:hAnsi="Verdana"/>
                <w:sz w:val="20"/>
                <w:szCs w:val="20"/>
              </w:rPr>
              <w:t xml:space="preserve">•  Reinvestment exemptions: sections 82, 83, 85 and 86 with strict time limits.</w:t>
            </w:r>
          </w:p>
          <w:p>
            <w:pPr>
              <w:spacing w:after="60" w:line="260"/>
            </w:pPr>
            <w:r>
              <w:rPr>
                <w:rFonts w:ascii="Verdana" w:cs="Verdana" w:eastAsia="Verdana" w:hAnsi="Verdana"/>
                <w:sz w:val="20"/>
                <w:szCs w:val="20"/>
              </w:rPr>
              <w:t xml:space="preserve">•  Buyback is taxed as capital gains from Tax Year 2026-27.</w:t>
            </w:r>
          </w:p>
        </w:tc>
      </w:tr>
    </w:tbl>
    <w:p>
      <w:pPr>
        <w:pStyle w:val="Heading1"/>
        <w:pageBreakBefore/>
        <w:spacing w:after="200" w:before="0"/>
      </w:pPr>
      <w:r>
        <w:rPr>
          <w:rFonts w:ascii="Verdana" w:cs="Verdana" w:eastAsia="Verdana" w:hAnsi="Verdana"/>
        </w:rPr>
        <w:t xml:space="preserve">11. Income from Other Sources (Sections 92 to 95)</w:t>
      </w:r>
    </w:p>
    <w:p>
      <w:pPr>
        <w:spacing w:after="120" w:line="276"/>
        <w:jc w:val="both"/>
      </w:pPr>
      <w:r>
        <w:rPr>
          <w:rFonts w:ascii="Verdana" w:cs="Verdana" w:eastAsia="Verdana" w:hAnsi="Verdana"/>
        </w:rPr>
        <w:t xml:space="preserve">This is the residual head. Any income that is not exempt and not taxable under the other four heads falls here. Section 92 lists specific items that are always taxed here, even if they could arguably fall elsewhere.</w:t>
      </w:r>
    </w:p>
    <w:p>
      <w:pPr>
        <w:pStyle w:val="Heading2"/>
        <w:keepNext/>
        <w:spacing w:after="120" w:before="240"/>
      </w:pPr>
      <w:r>
        <w:rPr>
          <w:rFonts w:ascii="Verdana" w:cs="Verdana" w:eastAsia="Verdana" w:hAnsi="Verdana"/>
        </w:rPr>
        <w:t xml:space="preserve">11.1 Items taxed under this 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6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Key points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at slab rates in the hands of shareholders. TDS at 10% above Rs. 10,000. Deemed dividends (loans to substantial shareholders by closely held companies) included</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savings accounts, FDs, bonds, NSC, loans given, and interest on income tax refund</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Family pension</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Received by legal heirs of a deceased employee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Winnings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Lottery, crossword, card games, gambling, betting, game shows and online games at a flat 30%</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Gifts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Money, immovable property or specified movable property received without or for inadequate consideration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of plant, machinery or furniture</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When not a business; also composite letting of building with machinery where they cannot be separated</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Keyman insurance</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Sums received, including bonus, if not taxable as salary or business income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compensation or enhanced compensation</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on receipt, with a 50% deduction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forfeited</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received and forfeited in negotiations for transfer of a capital asset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Compensation for termination of employment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Compensation received in connection with termination or modification of employment terms, if not salary</w:t>
            </w:r>
          </w:p>
        </w:tc>
      </w:tr>
    </w:tbl>
    <w:p>
      <w:pPr>
        <w:spacing w:after="60"/>
      </w:pPr>
    </w:p>
    <w:p>
      <w:pPr>
        <w:pStyle w:val="Heading2"/>
        <w:keepNext/>
        <w:spacing w:after="120" w:before="240"/>
      </w:pPr>
      <w:r>
        <w:rPr>
          <w:rFonts w:ascii="Verdana" w:cs="Verdana" w:eastAsia="Verdana" w:hAnsi="Verdana"/>
        </w:rPr>
        <w:t xml:space="preserve">11.2 Dividends and deemed dividends</w:t>
      </w:r>
    </w:p>
    <w:p>
      <w:pPr>
        <w:spacing w:after="120" w:line="276"/>
        <w:jc w:val="both"/>
      </w:pPr>
      <w:r>
        <w:rPr>
          <w:rFonts w:ascii="Verdana" w:cs="Verdana" w:eastAsia="Verdana" w:hAnsi="Verdana"/>
        </w:rPr>
        <w:t xml:space="preserve">Dividends are fully taxable in the hands of shareholders at their applicable rates. From Tax Year 2026-27, </w:t>
      </w:r>
      <w:r>
        <w:rPr>
          <w:rFonts w:ascii="Verdana" w:cs="Verdana" w:eastAsia="Verdana" w:hAnsi="Verdana"/>
          <w:b/>
          <w:bCs/>
        </w:rPr>
        <w:t xml:space="preserve">no deduction</w:t>
      </w:r>
      <w:r>
        <w:rPr>
          <w:rFonts w:ascii="Verdana" w:cs="Verdana" w:eastAsia="Verdana" w:hAnsi="Verdana"/>
        </w:rPr>
        <w:t xml:space="preserve"> is allowed for interest paid on money borrowed to invest in shares or mutual funds against dividend or fund income.</w:t>
      </w:r>
    </w:p>
    <w:p>
      <w:pPr>
        <w:spacing w:after="120" w:line="276"/>
        <w:jc w:val="both"/>
      </w:pPr>
      <w:r>
        <w:rPr>
          <w:rFonts w:ascii="Verdana" w:cs="Verdana" w:eastAsia="Verdana" w:hAnsi="Verdana"/>
        </w:rPr>
        <w:t xml:space="preserve">A loan or advance by a </w:t>
      </w:r>
      <w:r>
        <w:rPr>
          <w:rFonts w:ascii="Verdana" w:cs="Verdana" w:eastAsia="Verdana" w:hAnsi="Verdana"/>
          <w:b/>
          <w:bCs/>
        </w:rPr>
        <w:t xml:space="preserve">closely held company</w:t>
      </w:r>
      <w:r>
        <w:rPr>
          <w:rFonts w:ascii="Verdana" w:cs="Verdana" w:eastAsia="Verdana" w:hAnsi="Verdana"/>
        </w:rPr>
        <w:t xml:space="preserve"> to a shareholder holding 10% or more of the voting power, or to a concern in which such a shareholder has a substantial interest, is treated as dividend to the extent of the company's accumulated profits. Loans in the ordinary course of a money lending business are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67: Deemed dividend</w:t>
            </w:r>
          </w:p>
          <w:p>
            <w:pPr>
              <w:spacing w:after="60" w:line="260"/>
            </w:pPr>
            <w:r>
              <w:rPr>
                <w:rFonts w:ascii="Verdana" w:cs="Verdana" w:eastAsia="Verdana" w:hAnsi="Verdana"/>
                <w:sz w:val="20"/>
                <w:szCs w:val="20"/>
              </w:rPr>
              <w:t xml:space="preserve">A private company with accumulated profits of Rs. 50 lakh gives a loan of Rs. 20 lakh to Mr. Kapoor, who holds 15% of its shares. The </w:t>
            </w:r>
            <w:r>
              <w:rPr>
                <w:rFonts w:ascii="Verdana" w:cs="Verdana" w:eastAsia="Verdana" w:hAnsi="Verdana"/>
                <w:b/>
                <w:bCs/>
                <w:sz w:val="20"/>
                <w:szCs w:val="20"/>
              </w:rPr>
              <w:t xml:space="preserve">Rs. 20 lakh is deemed dividend</w:t>
            </w:r>
            <w:r>
              <w:rPr>
                <w:rFonts w:ascii="Verdana" w:cs="Verdana" w:eastAsia="Verdana" w:hAnsi="Verdana"/>
                <w:sz w:val="20"/>
                <w:szCs w:val="20"/>
              </w:rPr>
              <w:t xml:space="preserve"> in Mr. Kapoor's hands and taxed at his slab rate. The company must deduct TDS at 10%. When the loan is later repaid, there is no reversal of the tax.</w:t>
            </w:r>
          </w:p>
        </w:tc>
      </w:tr>
    </w:tbl>
    <w:p>
      <w:pPr>
        <w:spacing w:after="60"/>
      </w:pPr>
    </w:p>
    <w:p>
      <w:pPr>
        <w:pStyle w:val="Heading2"/>
        <w:keepNext/>
        <w:spacing w:after="120" w:before="240"/>
      </w:pPr>
      <w:r>
        <w:rPr>
          <w:rFonts w:ascii="Verdana" w:cs="Verdana" w:eastAsia="Verdana" w:hAnsi="Verdana"/>
        </w:rPr>
        <w:t xml:space="preserve">11.3 Gifts in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8"/>
        <w:gridCol w:w="3500"/>
      </w:tblGrid>
      <w:tr>
        <w:trPr>
          <w:cantSplit/>
          <w:tblHeader/>
        </w:trPr>
        <w:tc>
          <w:tcPr>
            <w:tcW w:type="dxa" w:w="61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is received</w:t>
            </w:r>
          </w:p>
        </w:tc>
        <w:tc>
          <w:tcPr>
            <w:tcW w:type="dxa" w:w="35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Taxable amount</w:t>
            </w:r>
          </w:p>
        </w:tc>
      </w:tr>
      <w:tr>
        <w:trPr>
          <w:cantSplit/>
        </w:trPr>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Money without consideration, aggregate above Rs. 50,000 in the year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Whole amount</w:t>
            </w:r>
          </w:p>
        </w:tc>
      </w:tr>
      <w:tr>
        <w:trPr>
          <w:cantSplit/>
        </w:trPr>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Immovable property without consideration, stamp duty value above Rs. 50,000</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Stamp duty value</w:t>
            </w:r>
          </w:p>
        </w:tc>
      </w:tr>
      <w:tr>
        <w:trPr>
          <w:cantSplit/>
        </w:trPr>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Immovable property for inadequate consideration, if difference exceeds higher of Rs. 50,000 and 10% of consideration</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Stamp duty value less consideration</w:t>
            </w:r>
          </w:p>
        </w:tc>
      </w:tr>
      <w:tr>
        <w:trPr>
          <w:cantSplit/>
        </w:trPr>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Movable property (shares, jewellery, art, bullion, drawings, sculptures, archaeological collections) without consideration, FMV above Rs. 50,000</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FMV</w:t>
            </w:r>
          </w:p>
        </w:tc>
      </w:tr>
      <w:tr>
        <w:trPr>
          <w:cantSplit/>
        </w:trPr>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Movable property for inadequate consideration, difference above Rs. 50,000</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FMV less consideration</w:t>
            </w:r>
          </w:p>
        </w:tc>
      </w:tr>
    </w:tbl>
    <w:p>
      <w:pPr>
        <w:spacing w:after="60"/>
      </w:pPr>
    </w:p>
    <w:p>
      <w:pPr>
        <w:spacing w:after="120" w:line="276"/>
        <w:jc w:val="both"/>
      </w:pPr>
      <w:r>
        <w:rPr>
          <w:rFonts w:ascii="Verdana" w:cs="Verdana" w:eastAsia="Verdana" w:hAnsi="Verdana"/>
          <w:b/>
          <w:bCs/>
        </w:rPr>
        <w:t xml:space="preserve">Exempt:</w:t>
      </w:r>
      <w:r>
        <w:rPr>
          <w:rFonts w:ascii="Verdana" w:cs="Verdana" w:eastAsia="Verdana" w:hAnsi="Verdana"/>
        </w:rPr>
        <w:t xml:space="preserve"> gifts from relatives (spouse, brother, sister, their spouses, siblings of either parent, lineal ascendants or descendants of self or spouse, and their spouses), on marriage, by will or inheritance, in contemplation of death, from local authorities, from registered trusts, and transfers not regarded as transfer under section 70 such as in amalgamation.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68: Gifts from friends</w:t>
            </w:r>
          </w:p>
          <w:p>
            <w:pPr>
              <w:spacing w:after="60" w:line="260"/>
            </w:pPr>
            <w:r>
              <w:rPr>
                <w:rFonts w:ascii="Verdana" w:cs="Verdana" w:eastAsia="Verdana" w:hAnsi="Verdana"/>
                <w:sz w:val="20"/>
                <w:szCs w:val="20"/>
              </w:rPr>
              <w:t xml:space="preserve">Karan receives Rs. 30,000 from a friend in June, Rs. 45,000 from another friend in October, Rs. 2,00,000 from his uncle, and Rs. 1,50,000 in cash gifts at his wedding.</w:t>
            </w:r>
          </w:p>
          <w:p>
            <w:pPr>
              <w:spacing w:after="60" w:line="260"/>
            </w:pPr>
            <w:r>
              <w:rPr>
                <w:rFonts w:ascii="Verdana" w:cs="Verdana" w:eastAsia="Verdana" w:hAnsi="Verdana"/>
                <w:sz w:val="20"/>
                <w:szCs w:val="20"/>
              </w:rPr>
              <w:t xml:space="preserve">Uncle is a relative and wedding gifts are exempt. Gifts from friends total Rs. 75,000, above Rs. 50,000, so </w:t>
            </w:r>
            <w:r>
              <w:rPr>
                <w:rFonts w:ascii="Verdana" w:cs="Verdana" w:eastAsia="Verdana" w:hAnsi="Verdana"/>
                <w:b/>
                <w:bCs/>
                <w:sz w:val="20"/>
                <w:szCs w:val="20"/>
              </w:rPr>
              <w:t xml:space="preserve">Rs. 75,000 is fully taxable</w:t>
            </w:r>
            <w:r>
              <w:rPr>
                <w:rFonts w:ascii="Verdana" w:cs="Verdana" w:eastAsia="Verdana" w:hAnsi="Verdana"/>
                <w:sz w:val="20"/>
                <w:szCs w:val="20"/>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69: Property bought below stamp value</w:t>
            </w:r>
          </w:p>
          <w:p>
            <w:pPr>
              <w:spacing w:after="60" w:line="260"/>
            </w:pPr>
            <w:r>
              <w:rPr>
                <w:rFonts w:ascii="Verdana" w:cs="Verdana" w:eastAsia="Verdana" w:hAnsi="Verdana"/>
                <w:sz w:val="20"/>
                <w:szCs w:val="20"/>
              </w:rPr>
              <w:t xml:space="preserve">Meera buys a plot for Rs. 60 lakh. Stamp duty value is Rs. 70 lakh. Difference Rs. 10 lakh. Tolerance is the higher of Rs. 50,000 and 10% of Rs. 60 lakh (Rs. 6 lakh). Rs. 10 lakh exceeds Rs. 6 lakh, so </w:t>
            </w:r>
            <w:r>
              <w:rPr>
                <w:rFonts w:ascii="Verdana" w:cs="Verdana" w:eastAsia="Verdana" w:hAnsi="Verdana"/>
                <w:b/>
                <w:bCs/>
                <w:sz w:val="20"/>
                <w:szCs w:val="20"/>
              </w:rPr>
              <w:t xml:space="preserve">Rs. 10 lakh is taxable</w:t>
            </w:r>
            <w:r>
              <w:rPr>
                <w:rFonts w:ascii="Verdana" w:cs="Verdana" w:eastAsia="Verdana" w:hAnsi="Verdana"/>
                <w:sz w:val="20"/>
                <w:szCs w:val="20"/>
              </w:rPr>
              <w:t xml:space="preserve"> in Meera's hands, and her cost for future capital gains becomes Rs. 70 lakh.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70: Shares received below FMV</w:t>
            </w:r>
          </w:p>
          <w:p>
            <w:pPr>
              <w:spacing w:after="60" w:line="260"/>
            </w:pPr>
            <w:r>
              <w:rPr>
                <w:rFonts w:ascii="Verdana" w:cs="Verdana" w:eastAsia="Verdana" w:hAnsi="Verdana"/>
                <w:sz w:val="20"/>
                <w:szCs w:val="20"/>
              </w:rPr>
              <w:t xml:space="preserve">A company transfers unlisted shares with FMV of Rs. 12 lakh to an employee who is not a relative, for Rs. 5 lakh (outside an ESOP scheme). Difference of Rs. 7 lakh exceeds Rs. 50,000, so </w:t>
            </w:r>
            <w:r>
              <w:rPr>
                <w:rFonts w:ascii="Verdana" w:cs="Verdana" w:eastAsia="Verdana" w:hAnsi="Verdana"/>
                <w:b/>
                <w:bCs/>
                <w:sz w:val="20"/>
                <w:szCs w:val="20"/>
              </w:rPr>
              <w:t xml:space="preserve">Rs. 7 lakh is taxable</w:t>
            </w:r>
            <w:r>
              <w:rPr>
                <w:rFonts w:ascii="Verdana" w:cs="Verdana" w:eastAsia="Verdana" w:hAnsi="Verdana"/>
                <w:sz w:val="20"/>
                <w:szCs w:val="20"/>
              </w:rPr>
              <w:t xml:space="preserve"> under this head.</w:t>
            </w:r>
          </w:p>
        </w:tc>
      </w:tr>
    </w:tbl>
    <w:p>
      <w:pPr>
        <w:spacing w:after="60"/>
      </w:pPr>
    </w:p>
    <w:p>
      <w:pPr>
        <w:pStyle w:val="Heading2"/>
        <w:keepNext/>
        <w:spacing w:after="120" w:before="240"/>
      </w:pPr>
      <w:r>
        <w:rPr>
          <w:rFonts w:ascii="Verdana" w:cs="Verdana" w:eastAsia="Verdana" w:hAnsi="Verdana"/>
        </w:rPr>
        <w:t xml:space="preserve">11.4 Deductions (section 93) and disallowances (section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48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Allowed (section 93)</w:t>
            </w:r>
          </w:p>
        </w:tc>
        <w:tc>
          <w:tcPr>
            <w:tcW w:type="dxa" w:w="4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Not allowed (section 94)</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 paid to a banker for realising dividend or interest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Personal expenses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 repairs and insurance on machinery or building let out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payable outside India without TDS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Family pension: one third or Rs. 25,000 (new regime) or Rs. 15,000 (old regime), lower</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expense against winnings from lottery, games and betting</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of interest on compensation or enhanced compensation</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borrowings for dividend or mutual fund income (from Tax Year 2026-27)</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other expense wholly and exclusively for earning the income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Wealth tax and similar payments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71: Interest on enhanced compensation</w:t>
            </w:r>
          </w:p>
          <w:p>
            <w:pPr>
              <w:spacing w:after="60" w:line="260"/>
            </w:pPr>
            <w:r>
              <w:rPr>
                <w:rFonts w:ascii="Verdana" w:cs="Verdana" w:eastAsia="Verdana" w:hAnsi="Verdana"/>
                <w:sz w:val="20"/>
                <w:szCs w:val="20"/>
              </w:rPr>
              <w:t xml:space="preserve">Govind receives Rs. 5,00,000 as interest on enhanced compensation for land acquired by the state. Deduction of 50% = Rs. 2,50,000. </w:t>
            </w:r>
            <w:r>
              <w:rPr>
                <w:rFonts w:ascii="Verdana" w:cs="Verdana" w:eastAsia="Verdana" w:hAnsi="Verdana"/>
                <w:b/>
                <w:bCs/>
                <w:sz w:val="20"/>
                <w:szCs w:val="20"/>
              </w:rPr>
              <w:t xml:space="preserve">Taxable: Rs. 2,50,000</w:t>
            </w:r>
            <w:r>
              <w:rPr>
                <w:rFonts w:ascii="Verdana" w:cs="Verdana" w:eastAsia="Verdana" w:hAnsi="Verdana"/>
                <w:sz w:val="20"/>
                <w:szCs w:val="20"/>
              </w:rPr>
              <w:t xml:space="preserve"> in the year of receipt.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72: Family pension</w:t>
            </w:r>
          </w:p>
          <w:p>
            <w:pPr>
              <w:spacing w:after="60" w:line="260"/>
            </w:pPr>
            <w:r>
              <w:rPr>
                <w:rFonts w:ascii="Verdana" w:cs="Verdana" w:eastAsia="Verdana" w:hAnsi="Verdana"/>
                <w:sz w:val="20"/>
                <w:szCs w:val="20"/>
              </w:rPr>
              <w:t xml:space="preserve">Mrs. Rao receives family pension of Rs. 3,00,000 in Tax Year 2026-27 and is in the new regime. Deduction = lower of one third (Rs. 1,00,000) and Rs. 25,000 = Rs. 25,000. </w:t>
            </w:r>
            <w:r>
              <w:rPr>
                <w:rFonts w:ascii="Verdana" w:cs="Verdana" w:eastAsia="Verdana" w:hAnsi="Verdana"/>
                <w:b/>
                <w:bCs/>
                <w:sz w:val="20"/>
                <w:szCs w:val="20"/>
              </w:rPr>
              <w:t xml:space="preserve">Taxable: Rs. 2,75,000.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73: Winnings</w:t>
            </w:r>
          </w:p>
          <w:p>
            <w:pPr>
              <w:spacing w:after="60" w:line="260"/>
            </w:pPr>
            <w:r>
              <w:rPr>
                <w:rFonts w:ascii="Verdana" w:cs="Verdana" w:eastAsia="Verdana" w:hAnsi="Verdana"/>
                <w:sz w:val="20"/>
                <w:szCs w:val="20"/>
              </w:rPr>
              <w:t xml:space="preserve">Ajay wins Rs. 5,00,000 in a television quiz show. He spent Rs. 20,000 on travel for the show. Taxable income = Rs. 5,00,000 (no deduction). Tax at 30% = Rs. 1,50,000 plus cess. The organiser deducts TDS at 30% under section 393(3). Basic exemption and the section 156 rebate cannot be used against this income.</w:t>
            </w:r>
          </w:p>
        </w:tc>
      </w:tr>
    </w:tbl>
    <w:p>
      <w:pPr>
        <w:spacing w:after="60"/>
      </w:pPr>
    </w:p>
    <w:p>
      <w:pPr>
        <w:pStyle w:val="Heading2"/>
        <w:keepNext/>
        <w:spacing w:after="120" w:before="240"/>
      </w:pPr>
      <w:r>
        <w:rPr>
          <w:rFonts w:ascii="Verdana" w:cs="Verdana" w:eastAsia="Verdana" w:hAnsi="Verdana"/>
        </w:rPr>
        <w:t xml:space="preserve">11.5 Method of accounting</w:t>
      </w:r>
    </w:p>
    <w:p>
      <w:pPr>
        <w:spacing w:after="120" w:line="276"/>
        <w:jc w:val="both"/>
      </w:pPr>
      <w:r>
        <w:rPr>
          <w:rFonts w:ascii="Verdana" w:cs="Verdana" w:eastAsia="Verdana" w:hAnsi="Verdana"/>
        </w:rPr>
        <w:t xml:space="preserve">Income under this head is computed as per the method of accounting regularly followed (cash or mercantile). A final dividend is taxed in the year in which it is declared, and an interim dividend in the year in which it is paid or made available; interest on enhanced compensation and keyman amounts are taxed on receipt.</w:t>
      </w:r>
    </w:p>
    <w:p>
      <w:pPr>
        <w:pStyle w:val="Heading2"/>
        <w:keepNext/>
        <w:spacing w:after="120" w:before="240"/>
      </w:pPr>
      <w:r>
        <w:rPr>
          <w:rFonts w:ascii="Verdana" w:cs="Verdana" w:eastAsia="Verdana" w:hAnsi="Verdana"/>
        </w:rPr>
        <w:t xml:space="preserve">11.6 More items and timing rules</w:t>
      </w:r>
    </w:p>
    <w:p>
      <w:pPr>
        <w:pStyle w:val="ListParagraph"/>
        <w:numPr>
          <w:ilvl w:val="0"/>
          <w:numId w:val="2"/>
        </w:numPr>
        <w:spacing w:after="60" w:line="264"/>
      </w:pPr>
      <w:r>
        <w:rPr>
          <w:rFonts w:ascii="Verdana" w:cs="Verdana" w:eastAsia="Verdana" w:hAnsi="Verdana"/>
          <w:b/>
          <w:bCs/>
        </w:rPr>
        <w:t xml:space="preserve">Interest on securities and bonds</w:t>
      </w:r>
      <w:r>
        <w:rPr>
          <w:rFonts w:ascii="Verdana" w:cs="Verdana" w:eastAsia="Verdana" w:hAnsi="Verdana"/>
        </w:rPr>
        <w:t xml:space="preserve"> is taxed on accrual for persons following the mercantile system, and on receipt for those on cash basis. Zero coupon bonds are taxed as capital gains on transfer or maturity.</w:t>
      </w:r>
    </w:p>
    <w:p>
      <w:pPr>
        <w:pStyle w:val="ListParagraph"/>
        <w:numPr>
          <w:ilvl w:val="0"/>
          <w:numId w:val="2"/>
        </w:numPr>
        <w:spacing w:after="60" w:line="264"/>
      </w:pPr>
      <w:r>
        <w:rPr>
          <w:rFonts w:ascii="Verdana" w:cs="Verdana" w:eastAsia="Verdana" w:hAnsi="Verdana"/>
          <w:b/>
          <w:bCs/>
        </w:rPr>
        <w:t xml:space="preserve">Interest on income tax refund</w:t>
      </w:r>
      <w:r>
        <w:rPr>
          <w:rFonts w:ascii="Verdana" w:cs="Verdana" w:eastAsia="Verdana" w:hAnsi="Verdana"/>
        </w:rPr>
        <w:t xml:space="preserve"> is taxed in the year of receipt.</w:t>
      </w:r>
    </w:p>
    <w:p>
      <w:pPr>
        <w:pStyle w:val="ListParagraph"/>
        <w:numPr>
          <w:ilvl w:val="0"/>
          <w:numId w:val="2"/>
        </w:numPr>
        <w:spacing w:after="60" w:line="264"/>
      </w:pPr>
      <w:r>
        <w:rPr>
          <w:rFonts w:ascii="Verdana" w:cs="Verdana" w:eastAsia="Verdana" w:hAnsi="Verdana"/>
          <w:b/>
          <w:bCs/>
        </w:rPr>
        <w:t xml:space="preserve">Winnings in kind</w:t>
      </w:r>
      <w:r>
        <w:rPr>
          <w:rFonts w:ascii="Verdana" w:cs="Verdana" w:eastAsia="Verdana" w:hAnsi="Verdana"/>
        </w:rPr>
        <w:t xml:space="preserve"> (a car won in a contest) are taxed at their value. The payer must ensure the 30% TDS is paid before releasing the prize; often the winner pays the TDS amount to the organiser.</w:t>
      </w:r>
    </w:p>
    <w:p>
      <w:pPr>
        <w:pStyle w:val="ListParagraph"/>
        <w:numPr>
          <w:ilvl w:val="0"/>
          <w:numId w:val="2"/>
        </w:numPr>
        <w:spacing w:after="60" w:line="264"/>
      </w:pPr>
      <w:r>
        <w:rPr>
          <w:rFonts w:ascii="Verdana" w:cs="Verdana" w:eastAsia="Verdana" w:hAnsi="Verdana"/>
          <w:b/>
          <w:bCs/>
        </w:rPr>
        <w:t xml:space="preserve">Casual income</w:t>
      </w:r>
      <w:r>
        <w:rPr>
          <w:rFonts w:ascii="Verdana" w:cs="Verdana" w:eastAsia="Verdana" w:hAnsi="Verdana"/>
        </w:rPr>
        <w:t xml:space="preserve"> such as a windfall is taxable unless it falls in an exemption (for example, gifts from relatives).</w:t>
      </w:r>
    </w:p>
    <w:p>
      <w:pPr>
        <w:pStyle w:val="ListParagraph"/>
        <w:numPr>
          <w:ilvl w:val="0"/>
          <w:numId w:val="2"/>
        </w:numPr>
        <w:spacing w:after="60" w:line="264"/>
      </w:pPr>
      <w:r>
        <w:rPr>
          <w:rFonts w:ascii="Verdana" w:cs="Verdana" w:eastAsia="Verdana" w:hAnsi="Verdana"/>
          <w:b/>
          <w:bCs/>
        </w:rPr>
        <w:t xml:space="preserve">Rent from sub-letting</w:t>
      </w:r>
      <w:r>
        <w:rPr>
          <w:rFonts w:ascii="Verdana" w:cs="Verdana" w:eastAsia="Verdana" w:hAnsi="Verdana"/>
        </w:rPr>
        <w:t xml:space="preserve"> a property taken on rent is taxed here (the sub-lessor is not the owner, so it is not house property income). Rent paid to the owner and maintenance costs are deductible.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74: Sub-letting</w:t>
            </w:r>
          </w:p>
          <w:p>
            <w:pPr>
              <w:spacing w:after="60" w:line="260"/>
            </w:pPr>
            <w:r>
              <w:rPr>
                <w:rFonts w:ascii="Verdana" w:cs="Verdana" w:eastAsia="Verdana" w:hAnsi="Verdana"/>
                <w:sz w:val="20"/>
                <w:szCs w:val="20"/>
              </w:rPr>
              <w:t xml:space="preserve">Rohan takes a shop on rent at Rs. 40,000 a month and sub-lets half of it at Rs. 30,000 a month. He is not the owner, so Rs. 3,60,000 a year is taxed as </w:t>
            </w:r>
            <w:r>
              <w:rPr>
                <w:rFonts w:ascii="Verdana" w:cs="Verdana" w:eastAsia="Verdana" w:hAnsi="Verdana"/>
                <w:b/>
                <w:bCs/>
                <w:sz w:val="20"/>
                <w:szCs w:val="20"/>
              </w:rPr>
              <w:t xml:space="preserve">income from other sources</w:t>
            </w:r>
            <w:r>
              <w:rPr>
                <w:rFonts w:ascii="Verdana" w:cs="Verdana" w:eastAsia="Verdana" w:hAnsi="Verdana"/>
                <w:sz w:val="20"/>
                <w:szCs w:val="20"/>
              </w:rPr>
              <w:t xml:space="preserve">. He can deduct the proportionate rent paid, Rs. 20,000 x 12 = Rs. 2,40,000. Taxable = </w:t>
            </w:r>
            <w:r>
              <w:rPr>
                <w:rFonts w:ascii="Verdana" w:cs="Verdana" w:eastAsia="Verdana" w:hAnsi="Verdana"/>
                <w:b/>
                <w:bCs/>
                <w:sz w:val="20"/>
                <w:szCs w:val="20"/>
              </w:rPr>
              <w:t xml:space="preserve">Rs. 1,20,000</w:t>
            </w:r>
            <w:r>
              <w:rPr>
                <w:rFonts w:ascii="Verdana" w:cs="Verdana" w:eastAsia="Verdana" w:hAnsi="Verdana"/>
                <w:sz w:val="20"/>
                <w:szCs w:val="20"/>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75: Car won in a contest</w:t>
            </w:r>
          </w:p>
          <w:p>
            <w:pPr>
              <w:spacing w:after="60" w:line="260"/>
            </w:pPr>
            <w:r>
              <w:rPr>
                <w:rFonts w:ascii="Verdana" w:cs="Verdana" w:eastAsia="Verdana" w:hAnsi="Verdana"/>
                <w:sz w:val="20"/>
                <w:szCs w:val="20"/>
              </w:rPr>
              <w:t xml:space="preserve">Priti wins a car worth Rs. 10,00,000 in a retail contest. TDS at 30% = Rs. 3,00,000. The organiser asks her to pay Rs. 3,00,000 before handing over the car, deposits it as TDS, and issues a certificate. Priti reports Rs. 10,00,000 as winnings, pays tax at 30% plus cess, and claims the Rs. 3,00,000 TDS credit.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Residual head covering dividends, interest, winnings, gifts and specified receipts.</w:t>
            </w:r>
          </w:p>
          <w:p>
            <w:pPr>
              <w:spacing w:after="60" w:line="260"/>
            </w:pPr>
            <w:r>
              <w:rPr>
                <w:rFonts w:ascii="Verdana" w:cs="Verdana" w:eastAsia="Verdana" w:hAnsi="Verdana"/>
                <w:sz w:val="20"/>
                <w:szCs w:val="20"/>
              </w:rPr>
              <w:t xml:space="preserve">•  Gifts from non-relatives above Rs. 50,000 are taxable, with stamp value and FMV rules for property.</w:t>
            </w:r>
          </w:p>
          <w:p>
            <w:pPr>
              <w:spacing w:after="60" w:line="260"/>
            </w:pPr>
            <w:r>
              <w:rPr>
                <w:rFonts w:ascii="Verdana" w:cs="Verdana" w:eastAsia="Verdana" w:hAnsi="Verdana"/>
                <w:sz w:val="20"/>
                <w:szCs w:val="20"/>
              </w:rPr>
              <w:t xml:space="preserve">•  Deemed dividends apply to loans by closely held companies to substantial shareholders.</w:t>
            </w:r>
          </w:p>
          <w:p>
            <w:pPr>
              <w:spacing w:after="60" w:line="260"/>
            </w:pPr>
            <w:r>
              <w:rPr>
                <w:rFonts w:ascii="Verdana" w:cs="Verdana" w:eastAsia="Verdana" w:hAnsi="Verdana"/>
                <w:sz w:val="20"/>
                <w:szCs w:val="20"/>
              </w:rPr>
              <w:t xml:space="preserve">•  Winnings are taxed at 30% with no deductions or exemption limit.</w:t>
            </w:r>
          </w:p>
          <w:p>
            <w:pPr>
              <w:spacing w:after="60" w:line="260"/>
            </w:pPr>
            <w:r>
              <w:rPr>
                <w:rFonts w:ascii="Verdana" w:cs="Verdana" w:eastAsia="Verdana" w:hAnsi="Verdana"/>
                <w:sz w:val="20"/>
                <w:szCs w:val="20"/>
              </w:rPr>
              <w:t xml:space="preserve">•  No deduction of interest against dividend or fund income from Tax Year 2026-27.</w:t>
            </w:r>
          </w:p>
        </w:tc>
      </w:tr>
    </w:tbl>
    <w:p>
      <w:pPr>
        <w:pStyle w:val="Heading1"/>
        <w:pageBreakBefore/>
        <w:spacing w:after="200" w:before="0"/>
      </w:pPr>
      <w:r>
        <w:rPr>
          <w:rFonts w:ascii="Verdana" w:cs="Verdana" w:eastAsia="Verdana" w:hAnsi="Verdana"/>
        </w:rPr>
        <w:t xml:space="preserve">12. Taxation of Investment Products</w:t>
      </w:r>
    </w:p>
    <w:p>
      <w:pPr>
        <w:spacing w:after="120" w:line="276"/>
        <w:jc w:val="both"/>
      </w:pPr>
      <w:r>
        <w:rPr>
          <w:rFonts w:ascii="Verdana" w:cs="Verdana" w:eastAsia="Verdana" w:hAnsi="Verdana"/>
        </w:rPr>
        <w:t xml:space="preserve">Individual investors hold a mix of products. This chapter explains how each is taxed in practice and highlights points that are often missed.</w:t>
      </w:r>
    </w:p>
    <w:p>
      <w:pPr>
        <w:pStyle w:val="Heading2"/>
        <w:keepNext/>
        <w:spacing w:after="120" w:before="240"/>
      </w:pPr>
      <w:r>
        <w:rPr>
          <w:rFonts w:ascii="Verdana" w:cs="Verdana" w:eastAsia="Verdana" w:hAnsi="Verdana"/>
        </w:rPr>
        <w:t xml:space="preserve">12.1 Mutual funds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6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treatment</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 (IDCW) option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Distributions taxable at slab rates; TDS at 10% above Rs. 10,000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Growth option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only on redemption as capital gains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Switch from one scheme to another, or from regular to direct plan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Treated as redemption and fresh purchase: capital gains arise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Systematic withdrawal plan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Each withdrawal redeems units on first-in, first-out basis; only the gain part is taxed</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Arbitrage funds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Treated as equity-oriented (65% or more in equity, including arbitrage positions)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International equity funds and funds of funds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Generally long-term after 24 months at 12.5%, unless they qualify as equity-oriented; check the fund's classification</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Bonus stripping</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 units are bought within 3 months before the record date for bonus and the original units are sold within 9 months after, the loss is ignored and added to the cost of bonus units (section 175)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76: SWP from an equity fund</w:t>
            </w:r>
          </w:p>
          <w:p>
            <w:pPr>
              <w:spacing w:after="60" w:line="260"/>
            </w:pPr>
            <w:r>
              <w:rPr>
                <w:rFonts w:ascii="Verdana" w:cs="Verdana" w:eastAsia="Verdana" w:hAnsi="Verdana"/>
                <w:sz w:val="20"/>
                <w:szCs w:val="20"/>
              </w:rPr>
              <w:t xml:space="preserve">Kamal invested Rs. 10 lakh in an equity fund in April 2024 at NAV Rs. 50 (20,000 units). In 2026-27 he withdraws Rs. 60,000 when NAV is Rs. 75, redeeming 800 units. Cost = 800 x 50 = Rs. 40,000. Gain = </w:t>
            </w:r>
            <w:r>
              <w:rPr>
                <w:rFonts w:ascii="Verdana" w:cs="Verdana" w:eastAsia="Verdana" w:hAnsi="Verdana"/>
                <w:b/>
                <w:bCs/>
                <w:sz w:val="20"/>
                <w:szCs w:val="20"/>
              </w:rPr>
              <w:t xml:space="preserve">Rs. 20,000</w:t>
            </w:r>
            <w:r>
              <w:rPr>
                <w:rFonts w:ascii="Verdana" w:cs="Verdana" w:eastAsia="Verdana" w:hAnsi="Verdana"/>
                <w:sz w:val="20"/>
                <w:szCs w:val="20"/>
              </w:rPr>
              <w:t xml:space="preserve">, long-term (held more than 12 months), covered by the Rs. 1,25,000 exemption. Only a third of each withdrawal is gain, which makes SWPs tax efficient.</w:t>
            </w:r>
          </w:p>
        </w:tc>
      </w:tr>
    </w:tbl>
    <w:p>
      <w:pPr>
        <w:spacing w:after="60"/>
      </w:pPr>
    </w:p>
    <w:p>
      <w:pPr>
        <w:pStyle w:val="Heading2"/>
        <w:keepNext/>
        <w:spacing w:after="120" w:before="240"/>
      </w:pPr>
      <w:r>
        <w:rPr>
          <w:rFonts w:ascii="Verdana" w:cs="Verdana" w:eastAsia="Verdana" w:hAnsi="Verdana"/>
        </w:rPr>
        <w:t xml:space="preserve">12.2 Bonds, deposits and small savings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Product</w:t>
            </w:r>
          </w:p>
        </w:tc>
        <w:tc>
          <w:tcPr>
            <w:tcW w:type="dxa" w:w="6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treatment</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 FDs and recurring deposits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taxable; banks report and deduct TDS on accrual for cumulative deposits, so report on accrual to match AIS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Tax-free bonds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exempt; capital gains on sale taxable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Listed taxable bonds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taxable; LTCG at 12.5% after 12 months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Unlisted bonds and market-linked debentures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Gains always short-term at slab rates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Senior Citizens Savings Scheme, NSC, post office deposits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taxable (NSC interest accrues yearly and is deemed reinvested); section 123 benefit for the principal in the old regime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PPF and Sukanya Samriddhi</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Fully exempt</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Sovereign gold bonds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taxable; redemption on maturity by original subscribers exempt; secondary buyers taxed on redemption from 2026-27</w:t>
            </w:r>
          </w:p>
        </w:tc>
      </w:tr>
    </w:tbl>
    <w:p>
      <w:pPr>
        <w:spacing w:after="60"/>
      </w:pPr>
    </w:p>
    <w:p>
      <w:pPr>
        <w:pStyle w:val="Heading2"/>
        <w:keepNext/>
        <w:spacing w:after="120" w:before="240"/>
      </w:pPr>
      <w:r>
        <w:rPr>
          <w:rFonts w:ascii="Verdana" w:cs="Verdana" w:eastAsia="Verdana" w:hAnsi="Verdana"/>
        </w:rPr>
        <w:t xml:space="preserve">12.3 Insurance</w:t>
      </w:r>
    </w:p>
    <w:p>
      <w:pPr>
        <w:pStyle w:val="ListParagraph"/>
        <w:numPr>
          <w:ilvl w:val="0"/>
          <w:numId w:val="2"/>
        </w:numPr>
        <w:spacing w:after="60" w:line="264"/>
      </w:pPr>
      <w:r>
        <w:rPr>
          <w:rFonts w:ascii="Verdana" w:cs="Verdana" w:eastAsia="Verdana" w:hAnsi="Verdana"/>
        </w:rPr>
        <w:t xml:space="preserve">Life insurance policies issued after 1 April 2023 with aggregate annual premium above Rs. 5 lakh (non-ULIP): maturity proceeds in excess of premiums are taxable as income from other sources.</w:t>
      </w:r>
    </w:p>
    <w:p>
      <w:pPr>
        <w:pStyle w:val="ListParagraph"/>
        <w:numPr>
          <w:ilvl w:val="0"/>
          <w:numId w:val="2"/>
        </w:numPr>
        <w:spacing w:after="60" w:line="264"/>
      </w:pPr>
      <w:r>
        <w:rPr>
          <w:rFonts w:ascii="Verdana" w:cs="Verdana" w:eastAsia="Verdana" w:hAnsi="Verdana"/>
        </w:rPr>
        <w:t xml:space="preserve">ULIPs with annual premium above Rs. 2.5 lakh: treated as capital assets; equity-oriented ULIPs taxed like equity funds.</w:t>
      </w:r>
    </w:p>
    <w:p>
      <w:pPr>
        <w:pStyle w:val="ListParagraph"/>
        <w:numPr>
          <w:ilvl w:val="0"/>
          <w:numId w:val="2"/>
        </w:numPr>
        <w:spacing w:after="60" w:line="264"/>
      </w:pPr>
      <w:r>
        <w:rPr>
          <w:rFonts w:ascii="Verdana" w:cs="Verdana" w:eastAsia="Verdana" w:hAnsi="Verdana"/>
        </w:rPr>
        <w:t xml:space="preserve">Death benefits are always exempt.</w:t>
      </w:r>
    </w:p>
    <w:p>
      <w:pPr>
        <w:pStyle w:val="Heading2"/>
        <w:keepNext/>
        <w:spacing w:after="120" w:before="240"/>
      </w:pPr>
      <w:r>
        <w:rPr>
          <w:rFonts w:ascii="Verdana" w:cs="Verdana" w:eastAsia="Verdana" w:hAnsi="Verdana"/>
        </w:rPr>
        <w:t xml:space="preserve">12.4 REITs and InvITs</w:t>
      </w:r>
    </w:p>
    <w:p>
      <w:pPr>
        <w:spacing w:after="120" w:line="276"/>
        <w:jc w:val="both"/>
      </w:pPr>
      <w:r>
        <w:rPr>
          <w:rFonts w:ascii="Verdana" w:cs="Verdana" w:eastAsia="Verdana" w:hAnsi="Verdana"/>
        </w:rPr>
        <w:t xml:space="preserve">Distributions by business trusts come in parts: interest, dividend, rental income and repayment of debt or capital. Interest and rental parts are taxable in the unit holder's hands; dividend is exempt only if the underlying company has not opted for the concessional regime; amounts distributed as repayment of debt are taxed as income to the extent they exceed the cost of units, as per recent amendments. The trust reports the break up each year; use it in the return.</w:t>
      </w:r>
    </w:p>
    <w:p>
      <w:pPr>
        <w:pStyle w:val="Heading2"/>
        <w:keepNext/>
        <w:spacing w:after="120" w:before="240"/>
      </w:pPr>
      <w:r>
        <w:rPr>
          <w:rFonts w:ascii="Verdana" w:cs="Verdana" w:eastAsia="Verdana" w:hAnsi="Verdana"/>
        </w:rPr>
        <w:t xml:space="preserve">12.5 Gold, real estate funds and alternatives</w:t>
      </w:r>
    </w:p>
    <w:p>
      <w:pPr>
        <w:pStyle w:val="ListParagraph"/>
        <w:numPr>
          <w:ilvl w:val="0"/>
          <w:numId w:val="2"/>
        </w:numPr>
        <w:spacing w:after="60" w:line="264"/>
      </w:pPr>
      <w:r>
        <w:rPr>
          <w:rFonts w:ascii="Verdana" w:cs="Verdana" w:eastAsia="Verdana" w:hAnsi="Verdana"/>
        </w:rPr>
        <w:t xml:space="preserve">Physical gold and jewellery: long-term after 24 months at 12.5%; gold ETFs are listed and long-term after 12 months.</w:t>
      </w:r>
    </w:p>
    <w:p>
      <w:pPr>
        <w:pStyle w:val="ListParagraph"/>
        <w:numPr>
          <w:ilvl w:val="0"/>
          <w:numId w:val="2"/>
        </w:numPr>
        <w:spacing w:after="60" w:line="264"/>
      </w:pPr>
      <w:r>
        <w:rPr>
          <w:rFonts w:ascii="Verdana" w:cs="Verdana" w:eastAsia="Verdana" w:hAnsi="Verdana"/>
        </w:rPr>
        <w:t xml:space="preserve">Peer to peer lending: interest is taxable; losses on defaults are generally not deductible for individuals not in the business of lending.</w:t>
      </w:r>
    </w:p>
    <w:p>
      <w:pPr>
        <w:pStyle w:val="ListParagraph"/>
        <w:numPr>
          <w:ilvl w:val="0"/>
          <w:numId w:val="2"/>
        </w:numPr>
        <w:spacing w:after="60" w:line="264"/>
      </w:pPr>
      <w:r>
        <w:rPr>
          <w:rFonts w:ascii="Verdana" w:cs="Verdana" w:eastAsia="Verdana" w:hAnsi="Verdana"/>
        </w:rPr>
        <w:t xml:space="preserve">Virtual digital assets: 30% flat, no set off of losses, 1% TDS.</w:t>
      </w:r>
    </w:p>
    <w:p>
      <w:pPr>
        <w:pStyle w:val="ListParagraph"/>
        <w:numPr>
          <w:ilvl w:val="0"/>
          <w:numId w:val="2"/>
        </w:numPr>
        <w:spacing w:after="60" w:line="264"/>
      </w:pPr>
      <w:r>
        <w:rPr>
          <w:rFonts w:ascii="Verdana" w:cs="Verdana" w:eastAsia="Verdana" w:hAnsi="Verdana"/>
        </w:rPr>
        <w:t xml:space="preserve">Foreign shares and funds: long-term after 24 months at 12.5%; report in Schedule FA; TCS on LRS remittances above Rs. 10 lakh at the applicable rate, creditable against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Always reconcile investment income with the AIS. Registrars and fund houses report every redemption; the gain computed in the return must match the transaction details, or a mismatch notice follows.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Mutual fund switches and SWPs are redemptions; only the gain part of each withdrawal is taxed.</w:t>
            </w:r>
          </w:p>
          <w:p>
            <w:pPr>
              <w:spacing w:after="60" w:line="260"/>
            </w:pPr>
            <w:r>
              <w:rPr>
                <w:rFonts w:ascii="Verdana" w:cs="Verdana" w:eastAsia="Verdana" w:hAnsi="Verdana"/>
                <w:sz w:val="20"/>
                <w:szCs w:val="20"/>
              </w:rPr>
              <w:t xml:space="preserve">•  Debt funds bought after 1 April 2023 are always short-term; listed bonds and gold ETFs are long-term after 12 months.</w:t>
            </w:r>
          </w:p>
          <w:p>
            <w:pPr>
              <w:spacing w:after="60" w:line="260"/>
            </w:pPr>
            <w:r>
              <w:rPr>
                <w:rFonts w:ascii="Verdana" w:cs="Verdana" w:eastAsia="Verdana" w:hAnsi="Verdana"/>
                <w:sz w:val="20"/>
                <w:szCs w:val="20"/>
              </w:rPr>
              <w:t xml:space="preserve">•  High premium insurance policies lose the maturity exemption.</w:t>
            </w:r>
          </w:p>
          <w:p>
            <w:pPr>
              <w:spacing w:after="60" w:line="260"/>
            </w:pPr>
            <w:r>
              <w:rPr>
                <w:rFonts w:ascii="Verdana" w:cs="Verdana" w:eastAsia="Verdana" w:hAnsi="Verdana"/>
                <w:sz w:val="20"/>
                <w:szCs w:val="20"/>
              </w:rPr>
              <w:t xml:space="preserve">•  Reconcile every investment transaction with the AIS.</w:t>
            </w:r>
          </w:p>
        </w:tc>
      </w:tr>
    </w:tbl>
    <w:p>
      <w:pPr>
        <w:pStyle w:val="Heading1"/>
        <w:pageBreakBefore/>
        <w:spacing w:after="200" w:before="0"/>
      </w:pPr>
      <w:r>
        <w:rPr>
          <w:rFonts w:ascii="Verdana" w:cs="Verdana" w:eastAsia="Verdana" w:hAnsi="Verdana"/>
        </w:rPr>
        <w:t xml:space="preserve">13. Property Transactions: A Practical Guide</w:t>
      </w:r>
    </w:p>
    <w:p>
      <w:pPr>
        <w:spacing w:after="120" w:line="276"/>
        <w:jc w:val="both"/>
      </w:pPr>
      <w:r>
        <w:rPr>
          <w:rFonts w:ascii="Verdana" w:cs="Verdana" w:eastAsia="Verdana" w:hAnsi="Verdana"/>
        </w:rPr>
        <w:t xml:space="preserve">Property transactions involve many provisions across the Act. This chapter puts them together for individuals who buy, sell, rent or develop residential property.</w:t>
      </w:r>
    </w:p>
    <w:p>
      <w:pPr>
        <w:pStyle w:val="Heading2"/>
        <w:keepNext/>
        <w:spacing w:after="120" w:before="240"/>
      </w:pPr>
      <w:r>
        <w:rPr>
          <w:rFonts w:ascii="Verdana" w:cs="Verdana" w:eastAsia="Verdana" w:hAnsi="Verdana"/>
        </w:rPr>
        <w:t xml:space="preserve">13.1 When buying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Point</w:t>
            </w:r>
          </w:p>
        </w:tc>
        <w:tc>
          <w:tcPr>
            <w:tcW w:type="dxa" w:w="7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Rule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on consideration (or stamp value if higher) of Rs. 50 lakh or more, through Form 141; for NRI sellers, TDS under section 393(2) at capital gains rates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Buying below stamp value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Difference above the higher of Rs. 50,000 and 10% of consideration taxable as other income (section 92); becomes part of cost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mode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receipts of Rs. 20,000 or more for property transactions attract penalty on the recipient; pay through banks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Home loan</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under section 22 (house property), principal under section 123 (old regime); self-occupied interest only in the old regime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Joint ownership</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Each owner claims deductions in proportion to share and actual contribution</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Reporting</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Registrar reports purchases of Rs. 30 lakh or more to the department; these appear in AIS</w:t>
            </w:r>
          </w:p>
        </w:tc>
      </w:tr>
    </w:tbl>
    <w:p>
      <w:pPr>
        <w:spacing w:after="60"/>
      </w:pPr>
    </w:p>
    <w:p>
      <w:pPr>
        <w:pStyle w:val="Heading2"/>
        <w:keepNext/>
        <w:spacing w:after="120" w:before="240"/>
      </w:pPr>
      <w:r>
        <w:rPr>
          <w:rFonts w:ascii="Verdana" w:cs="Verdana" w:eastAsia="Verdana" w:hAnsi="Verdana"/>
        </w:rPr>
        <w:t xml:space="preserve">13.2 When renting out</w:t>
      </w:r>
    </w:p>
    <w:p>
      <w:pPr>
        <w:pStyle w:val="ListParagraph"/>
        <w:numPr>
          <w:ilvl w:val="0"/>
          <w:numId w:val="2"/>
        </w:numPr>
        <w:spacing w:after="60" w:line="264"/>
      </w:pPr>
      <w:r>
        <w:rPr>
          <w:rFonts w:ascii="Verdana" w:cs="Verdana" w:eastAsia="Verdana" w:hAnsi="Verdana"/>
        </w:rPr>
        <w:t xml:space="preserve">Rent is taxed under house property with the 30% standard deduction and interest.</w:t>
      </w:r>
    </w:p>
    <w:p>
      <w:pPr>
        <w:pStyle w:val="ListParagraph"/>
        <w:numPr>
          <w:ilvl w:val="0"/>
          <w:numId w:val="2"/>
        </w:numPr>
        <w:spacing w:after="60" w:line="264"/>
      </w:pPr>
      <w:r>
        <w:rPr>
          <w:rFonts w:ascii="Verdana" w:cs="Verdana" w:eastAsia="Verdana" w:hAnsi="Verdana"/>
        </w:rPr>
        <w:t xml:space="preserve">Tenants paying more than Rs. 50,000 a month deduct TDS at 2% (individuals not under audit) or 10% (others).</w:t>
      </w:r>
    </w:p>
    <w:p>
      <w:pPr>
        <w:pStyle w:val="ListParagraph"/>
        <w:numPr>
          <w:ilvl w:val="0"/>
          <w:numId w:val="2"/>
        </w:numPr>
        <w:spacing w:after="60" w:line="264"/>
      </w:pPr>
      <w:r>
        <w:rPr>
          <w:rFonts w:ascii="Verdana" w:cs="Verdana" w:eastAsia="Verdana" w:hAnsi="Verdana"/>
        </w:rPr>
        <w:t xml:space="preserve">Advance rent and security deposit: advance rent is income when due or received as per method; refundable deposits are not income.</w:t>
      </w:r>
    </w:p>
    <w:p>
      <w:pPr>
        <w:pStyle w:val="ListParagraph"/>
        <w:numPr>
          <w:ilvl w:val="0"/>
          <w:numId w:val="2"/>
        </w:numPr>
        <w:spacing w:after="60" w:line="264"/>
      </w:pPr>
      <w:r>
        <w:rPr>
          <w:rFonts w:ascii="Verdana" w:cs="Verdana" w:eastAsia="Verdana" w:hAnsi="Verdana"/>
        </w:rPr>
        <w:t xml:space="preserve">Letting through a furnished or serviced arrangement may be business income; composite rent rules apply.</w:t>
      </w:r>
    </w:p>
    <w:p>
      <w:pPr>
        <w:pStyle w:val="Heading2"/>
        <w:keepNext/>
        <w:spacing w:after="120" w:before="240"/>
      </w:pPr>
      <w:r>
        <w:rPr>
          <w:rFonts w:ascii="Verdana" w:cs="Verdana" w:eastAsia="Verdana" w:hAnsi="Verdana"/>
        </w:rPr>
        <w:t xml:space="preserve">13.3 When selling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8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to do</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Determine holding period (24 months for long-term) and whether the property was inherited or gifted (previous owner's cost and period)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Compute sale value; compare stamp value with the 110% tolerance under section 78</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Compute cost, including improvements with proof, and FMV on 1 April 2001 if acquired earlier (capped at stamp value)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 pre-23 July 2024 acquisitions, compare 12.5% without indexation with 20% with indexation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Plan reinvestment under section 82 (house), 85 (bonds, within 6 months) or deposit in Capital Gains Accounts Scheme before the return due date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 NRI sellers, obtain a lower deduction certificate and arrange Forms 145 and 146 for repatriation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Report in the return (ITR-2 or ITR-3) with property details and exemptions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77: Selling and buying in the same year</w:t>
            </w:r>
          </w:p>
          <w:p>
            <w:pPr>
              <w:spacing w:after="60" w:line="260"/>
            </w:pPr>
            <w:r>
              <w:rPr>
                <w:rFonts w:ascii="Verdana" w:cs="Verdana" w:eastAsia="Verdana" w:hAnsi="Verdana"/>
                <w:sz w:val="20"/>
                <w:szCs w:val="20"/>
              </w:rPr>
              <w:t xml:space="preserve">Sudhir sells his flat (bought in 2019 for Rs. 60 lakh) for Rs. 1 crore in June 2026 and buys a bigger flat for Rs. 1.4 crore in October 2026, taking a loan of Rs. 50 lakh.</w:t>
            </w:r>
          </w:p>
          <w:p>
            <w:pPr>
              <w:spacing w:after="60" w:line="260"/>
            </w:pPr>
            <w:r>
              <w:rPr>
                <w:rFonts w:ascii="Verdana" w:cs="Verdana" w:eastAsia="Verdana" w:hAnsi="Verdana"/>
                <w:sz w:val="20"/>
                <w:szCs w:val="20"/>
              </w:rPr>
              <w:t xml:space="preserve">LTCG = Rs. 40 lakh (acquired after 2001 but before July 2024, so compare with indexation: with CII of 289 for 2019-20 and an assumed 390 for 2026-27, indexed cost = Rs. 80.97 lakh, LTCG = Rs. 19.03 lakh).</w:t>
            </w:r>
          </w:p>
          <w:p>
            <w:pPr>
              <w:spacing w:after="60" w:line="260"/>
            </w:pPr>
            <w:r>
              <w:rPr>
                <w:rFonts w:ascii="Verdana" w:cs="Verdana" w:eastAsia="Verdana" w:hAnsi="Verdana"/>
                <w:sz w:val="20"/>
                <w:szCs w:val="20"/>
              </w:rPr>
              <w:t xml:space="preserve">Under section 82, the new flat cost exceeds the gain under either method, so the </w:t>
            </w:r>
            <w:r>
              <w:rPr>
                <w:rFonts w:ascii="Verdana" w:cs="Verdana" w:eastAsia="Verdana" w:hAnsi="Verdana"/>
                <w:b/>
                <w:bCs/>
                <w:sz w:val="20"/>
                <w:szCs w:val="20"/>
              </w:rPr>
              <w:t xml:space="preserve">entire gain is exempt</w:t>
            </w:r>
            <w:r>
              <w:rPr>
                <w:rFonts w:ascii="Verdana" w:cs="Verdana" w:eastAsia="Verdana" w:hAnsi="Verdana"/>
                <w:sz w:val="20"/>
                <w:szCs w:val="20"/>
              </w:rPr>
              <w:t xml:space="preserve">. The loan does not matter, as the exemption depends on the investment in the new house, not the source of funds.</w:t>
            </w:r>
          </w:p>
          <w:p>
            <w:pPr>
              <w:spacing w:after="60" w:line="260"/>
            </w:pPr>
            <w:r>
              <w:rPr>
                <w:rFonts w:ascii="Verdana" w:cs="Verdana" w:eastAsia="Verdana" w:hAnsi="Verdana"/>
                <w:sz w:val="20"/>
                <w:szCs w:val="20"/>
              </w:rPr>
              <w:t xml:space="preserve">He must hold the new flat for 3 years. He can claim home loan interest on the new flat (old regime for self-occupied, or both regimes if let out).</w:t>
            </w:r>
          </w:p>
        </w:tc>
      </w:tr>
    </w:tbl>
    <w:p>
      <w:pPr>
        <w:spacing w:after="60"/>
      </w:pPr>
    </w:p>
    <w:p>
      <w:pPr>
        <w:pStyle w:val="Heading2"/>
        <w:keepNext/>
        <w:spacing w:after="120" w:before="240"/>
      </w:pPr>
      <w:r>
        <w:rPr>
          <w:rFonts w:ascii="Verdana" w:cs="Verdana" w:eastAsia="Verdana" w:hAnsi="Verdana"/>
        </w:rPr>
        <w:t xml:space="preserve">13.4 Joint development and redevelopment</w:t>
      </w:r>
    </w:p>
    <w:p>
      <w:pPr>
        <w:spacing w:after="120" w:line="276"/>
        <w:jc w:val="both"/>
      </w:pPr>
      <w:r>
        <w:rPr>
          <w:rFonts w:ascii="Verdana" w:cs="Verdana" w:eastAsia="Verdana" w:hAnsi="Verdana"/>
        </w:rPr>
        <w:t xml:space="preserve">Where a housing society building is redeveloped and members receive new flats (and sometimes cash) in exchange for their old flats, the transaction is often treated as a transfer. Courts and tribunals have held that the new flat can be treated as a reinvestment eligible under section 82, and that the holding period of the old flat may be relevant. Cash compensation for hardship or rent during construction has been treated differently in different rulings. Each redevelopment agreement must be read carefully; advise members to keep the agreement, allotment letters and possession letters.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Buyers: TDS, stamp value difference under section 92, bank payments.</w:t>
            </w:r>
          </w:p>
          <w:p>
            <w:pPr>
              <w:spacing w:after="60" w:line="260"/>
            </w:pPr>
            <w:r>
              <w:rPr>
                <w:rFonts w:ascii="Verdana" w:cs="Verdana" w:eastAsia="Verdana" w:hAnsi="Verdana"/>
                <w:sz w:val="20"/>
                <w:szCs w:val="20"/>
              </w:rPr>
              <w:t xml:space="preserve">•  Sellers: section 78, indexation option, reinvestment under sections 82 and 85, NRI withholding.</w:t>
            </w:r>
          </w:p>
          <w:p>
            <w:pPr>
              <w:spacing w:after="60" w:line="260"/>
            </w:pPr>
            <w:r>
              <w:rPr>
                <w:rFonts w:ascii="Verdana" w:cs="Verdana" w:eastAsia="Verdana" w:hAnsi="Verdana"/>
                <w:sz w:val="20"/>
                <w:szCs w:val="20"/>
              </w:rPr>
              <w:t xml:space="preserve">•  Redevelopment agreements need careful reading for exemption and timing.</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C: TOTAL INCOME, TAX LIABILITY AND SPECIAL ENTITIES</w:t>
      </w:r>
    </w:p>
    <w:p>
      <w:pPr>
        <w:shd w:fill="F6E8D2" w:color="auto" w:val="clear"/>
        <w:spacing w:after="200"/>
      </w:pPr>
      <w:r>
        <w:rPr>
          <w:rFonts w:ascii="Verdana" w:cs="Verdana" w:eastAsia="Verdana" w:hAnsi="Verdana"/>
          <w:i/>
          <w:iCs/>
          <w:color w:val="92400E"/>
          <w:sz w:val="20"/>
          <w:szCs w:val="20"/>
        </w:rPr>
        <w:t xml:space="preserve">  Clubbing, losses, deductions, rates, regimes, HUFs, firms and non-profit organisations</w:t>
      </w:r>
    </w:p>
    <w:p>
      <w:pPr>
        <w:spacing w:after="240" w:line="276"/>
        <w:jc w:val="both"/>
      </w:pPr>
      <w:r>
        <w:rPr>
          <w:rFonts w:ascii="Verdana" w:cs="Verdana" w:eastAsia="Verdana" w:hAnsi="Verdana"/>
          <w:i/>
          <w:iCs/>
          <w:color w:val="404040"/>
          <w:sz w:val="21"/>
          <w:szCs w:val="21"/>
        </w:rPr>
        <w:t xml:space="preserve">After computing income under each head, the next steps are clubbing, set off of losses, deductions and computation of tax. This part covers those steps, compares the old and new regimes in depth, discusses lawful tax planning, and then explains the taxation of HUFs, firms, AOPs, non-profit organisations and co-operative societies.</w:t>
      </w:r>
    </w:p>
    <w:p>
      <w:pPr>
        <w:pStyle w:val="Heading1"/>
        <w:spacing w:after="200" w:before="120"/>
      </w:pPr>
      <w:r>
        <w:rPr>
          <w:rFonts w:ascii="Verdana" w:cs="Verdana" w:eastAsia="Verdana" w:hAnsi="Verdana"/>
        </w:rPr>
        <w:t xml:space="preserve">14. Clubbing and Unexplained Income (Sections 96 to 106)</w:t>
      </w:r>
    </w:p>
    <w:p>
      <w:pPr>
        <w:pStyle w:val="Heading2"/>
        <w:keepNext/>
        <w:spacing w:after="120" w:before="240"/>
      </w:pPr>
      <w:r>
        <w:rPr>
          <w:rFonts w:ascii="Verdana" w:cs="Verdana" w:eastAsia="Verdana" w:hAnsi="Verdana"/>
        </w:rPr>
        <w:t xml:space="preserve">14.1 Clubbing (section 99, old 64)</w:t>
      </w:r>
    </w:p>
    <w:p>
      <w:pPr>
        <w:spacing w:after="120" w:line="276"/>
        <w:jc w:val="both"/>
      </w:pPr>
      <w:r>
        <w:rPr>
          <w:rFonts w:ascii="Verdana" w:cs="Verdana" w:eastAsia="Verdana" w:hAnsi="Verdana"/>
        </w:rPr>
        <w:t xml:space="preserve">Some income of another person is added to the taxpayer's income to prevent tax planning through family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cantSplit/>
          <w:tblHeader/>
        </w:trPr>
        <w:tc>
          <w:tcPr>
            <w:tcW w:type="dxa" w:w="5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4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Whose income?</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from asset transferred to spouse without adequate consideration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who transferred</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from asset transferred to son's wife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who transferred</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of a minor child (other than from own skill or work, or if disabled)</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Parent with higher income; exemption Rs. 1,500 per child</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to spouse from a concern where taxpayer has substantial interest, without qualification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Taxpayer</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Revocable transfer of assets (sections 96 to 98)</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Transferor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78: Gift to spouse</w:t>
            </w:r>
          </w:p>
          <w:p>
            <w:pPr>
              <w:spacing w:after="60" w:line="260"/>
            </w:pPr>
            <w:r>
              <w:rPr>
                <w:rFonts w:ascii="Verdana" w:cs="Verdana" w:eastAsia="Verdana" w:hAnsi="Verdana"/>
                <w:sz w:val="20"/>
                <w:szCs w:val="20"/>
              </w:rPr>
              <w:t xml:space="preserve">Vikram gifts Rs. 10 lakh to his wife, who puts it in an FD earning Rs. 70,000 interest. The Rs. 70,000 is clubbed with </w:t>
            </w:r>
            <w:r>
              <w:rPr>
                <w:rFonts w:ascii="Verdana" w:cs="Verdana" w:eastAsia="Verdana" w:hAnsi="Verdana"/>
                <w:b/>
                <w:bCs/>
                <w:sz w:val="20"/>
                <w:szCs w:val="20"/>
              </w:rPr>
              <w:t xml:space="preserve">Vikram's</w:t>
            </w:r>
            <w:r>
              <w:rPr>
                <w:rFonts w:ascii="Verdana" w:cs="Verdana" w:eastAsia="Verdana" w:hAnsi="Verdana"/>
                <w:sz w:val="20"/>
                <w:szCs w:val="20"/>
              </w:rPr>
              <w:t xml:space="preserve"> income. If she reinvests the Rs. 70,000 and earns further interest, that second level income is taxed in her hands.</w:t>
            </w:r>
          </w:p>
        </w:tc>
      </w:tr>
    </w:tbl>
    <w:p>
      <w:pPr>
        <w:spacing w:after="60"/>
      </w:pPr>
    </w:p>
    <w:p>
      <w:pPr>
        <w:pStyle w:val="Heading2"/>
        <w:keepNext/>
        <w:spacing w:after="120" w:before="240"/>
      </w:pPr>
      <w:r>
        <w:rPr>
          <w:rFonts w:ascii="Verdana" w:cs="Verdana" w:eastAsia="Verdana" w:hAnsi="Verdana"/>
        </w:rPr>
        <w:t xml:space="preserve">14.2 Unexplained credits and investments (sections 102 to 106)</w:t>
      </w:r>
    </w:p>
    <w:p>
      <w:pPr>
        <w:spacing w:after="120" w:line="276"/>
        <w:jc w:val="both"/>
      </w:pPr>
      <w:r>
        <w:rPr>
          <w:rFonts w:ascii="Verdana" w:cs="Verdana" w:eastAsia="Verdana" w:hAnsi="Verdana"/>
        </w:rPr>
        <w:t xml:space="preserve">If a taxpayer cannot explain the nature and source of a cash credit, investment, asset or expenditure, it is taxed at a flat </w:t>
      </w:r>
      <w:r>
        <w:rPr>
          <w:rFonts w:ascii="Verdana" w:cs="Verdana" w:eastAsia="Verdana" w:hAnsi="Verdana"/>
          <w:b/>
          <w:bCs/>
        </w:rPr>
        <w:t xml:space="preserve">60%</w:t>
      </w:r>
      <w:r>
        <w:rPr>
          <w:rFonts w:ascii="Verdana" w:cs="Verdana" w:eastAsia="Verdana" w:hAnsi="Verdana"/>
        </w:rPr>
        <w:t xml:space="preserve"> plus 25% surcharge and cess (effective 78%). No deduction, allowance or loss set off is allowed against it. For companies, share capital and premium credits must be explained with the source of the investor as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79: Cash deposit</w:t>
            </w:r>
          </w:p>
          <w:p>
            <w:pPr>
              <w:spacing w:after="60" w:line="260"/>
            </w:pPr>
            <w:r>
              <w:rPr>
                <w:rFonts w:ascii="Verdana" w:cs="Verdana" w:eastAsia="Verdana" w:hAnsi="Verdana"/>
                <w:sz w:val="20"/>
                <w:szCs w:val="20"/>
              </w:rPr>
              <w:t xml:space="preserve">A salaried person deposits Rs. 8 lakh in cash and cannot explain the source. It may be taxed under section 102 (old 68) at 78%, about </w:t>
            </w:r>
            <w:r>
              <w:rPr>
                <w:rFonts w:ascii="Verdana" w:cs="Verdana" w:eastAsia="Verdana" w:hAnsi="Verdana"/>
                <w:b/>
                <w:bCs/>
                <w:sz w:val="20"/>
                <w:szCs w:val="20"/>
              </w:rPr>
              <w:t xml:space="preserve">Rs. 6,24,000</w:t>
            </w:r>
            <w:r>
              <w:rPr>
                <w:rFonts w:ascii="Verdana" w:cs="Verdana" w:eastAsia="Verdana" w:hAnsi="Verdana"/>
                <w:sz w:val="20"/>
                <w:szCs w:val="20"/>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Share capital from doubtful investors</w:t>
            </w:r>
          </w:p>
          <w:p>
            <w:pPr>
              <w:spacing w:after="60" w:line="260"/>
            </w:pPr>
            <w:r>
              <w:rPr>
                <w:rFonts w:ascii="Verdana" w:cs="Verdana" w:eastAsia="Verdana" w:hAnsi="Verdana"/>
                <w:b/>
                <w:bCs/>
                <w:sz w:val="20"/>
                <w:szCs w:val="20"/>
              </w:rPr>
              <w:t xml:space="preserve">CIT v. Lovely Exports (P) Ltd. (Supreme Court, 2008):</w:t>
            </w:r>
            <w:r>
              <w:rPr>
                <w:rFonts w:ascii="Verdana" w:cs="Verdana" w:eastAsia="Verdana" w:hAnsi="Verdana"/>
                <w:sz w:val="20"/>
                <w:szCs w:val="20"/>
              </w:rPr>
              <w:t xml:space="preserve"> where a company gave the names of its share applicants, the department could proceed against those investors, but could not tax the money as the company's unexplained income. This view was overtaken by the 2012 amendment requiring closely held companies to explain the source of funds of their investors.</w:t>
            </w:r>
          </w:p>
          <w:p>
            <w:pPr>
              <w:spacing w:after="60" w:line="260"/>
            </w:pPr>
            <w:r>
              <w:rPr>
                <w:rFonts w:ascii="Verdana" w:cs="Verdana" w:eastAsia="Verdana" w:hAnsi="Verdana"/>
                <w:b/>
                <w:bCs/>
                <w:sz w:val="20"/>
                <w:szCs w:val="20"/>
              </w:rPr>
              <w:t xml:space="preserve">PCIT v. NRA Iron and Steel (P) Ltd. (Supreme Court, 2019):</w:t>
            </w:r>
            <w:r>
              <w:rPr>
                <w:rFonts w:ascii="Verdana" w:cs="Verdana" w:eastAsia="Verdana" w:hAnsi="Verdana"/>
                <w:sz w:val="20"/>
                <w:szCs w:val="20"/>
              </w:rPr>
              <w:t xml:space="preserve"> a company must prove the identity, creditworthiness and genuineness of its share subscribers; where the investors were shell entities without means, the addition as unexplained credit was upheld.</w:t>
            </w:r>
          </w:p>
        </w:tc>
      </w:tr>
    </w:tbl>
    <w:p>
      <w:pPr>
        <w:spacing w:after="60"/>
      </w:pPr>
    </w:p>
    <w:p>
      <w:pPr>
        <w:pStyle w:val="Heading2"/>
        <w:keepNext/>
        <w:spacing w:after="120" w:before="240"/>
      </w:pPr>
      <w:r>
        <w:rPr>
          <w:rFonts w:ascii="Verdana" w:cs="Verdana" w:eastAsia="Verdana" w:hAnsi="Verdana"/>
        </w:rPr>
        <w:t xml:space="preserve">14.3 Clubbing in detail</w:t>
      </w:r>
    </w:p>
    <w:p>
      <w:pPr>
        <w:pStyle w:val="Heading3"/>
        <w:keepNext/>
        <w:spacing w:after="80" w:before="160"/>
      </w:pPr>
      <w:r>
        <w:rPr>
          <w:rFonts w:ascii="Verdana" w:cs="Verdana" w:eastAsia="Verdana" w:hAnsi="Verdana"/>
        </w:rPr>
        <w:t xml:space="preserve">Transfer to spouse used in business</w:t>
      </w:r>
    </w:p>
    <w:p>
      <w:pPr>
        <w:spacing w:after="120" w:line="276"/>
        <w:jc w:val="both"/>
      </w:pPr>
      <w:r>
        <w:rPr>
          <w:rFonts w:ascii="Verdana" w:cs="Verdana" w:eastAsia="Verdana" w:hAnsi="Verdana"/>
        </w:rPr>
        <w:t xml:space="preserve">Where an individual gifts money to his spouse and she invests it in a business, the income clubbed is in the ratio of the gifted amount to the total investment in the business on the first day of the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80: Proportionate clubbing</w:t>
            </w:r>
          </w:p>
          <w:p>
            <w:pPr>
              <w:spacing w:after="60" w:line="260"/>
            </w:pPr>
            <w:r>
              <w:rPr>
                <w:rFonts w:ascii="Verdana" w:cs="Verdana" w:eastAsia="Verdana" w:hAnsi="Verdana"/>
                <w:sz w:val="20"/>
                <w:szCs w:val="20"/>
              </w:rPr>
              <w:t xml:space="preserve">Mahesh gifts Rs. 5,00,000 to his wife Rina, who starts a boutique with that amount plus Rs. 5,00,000 of her own savings. On 1 April 2026 the total investment is Rs. 10,00,000. Business income for Tax Year 2026-27 is Rs. 2,00,000. Clubbed in Mahesh's hands = 2,00,000 x 5/10 = </w:t>
            </w:r>
            <w:r>
              <w:rPr>
                <w:rFonts w:ascii="Verdana" w:cs="Verdana" w:eastAsia="Verdana" w:hAnsi="Verdana"/>
                <w:b/>
                <w:bCs/>
                <w:sz w:val="20"/>
                <w:szCs w:val="20"/>
              </w:rPr>
              <w:t xml:space="preserve">Rs. 1,00,000</w:t>
            </w:r>
            <w:r>
              <w:rPr>
                <w:rFonts w:ascii="Verdana" w:cs="Verdana" w:eastAsia="Verdana" w:hAnsi="Verdana"/>
                <w:sz w:val="20"/>
                <w:szCs w:val="20"/>
              </w:rPr>
              <w:t xml:space="preserve">. Rina is taxed on the balance Rs. 1,00,000.</w:t>
            </w:r>
          </w:p>
        </w:tc>
      </w:tr>
    </w:tbl>
    <w:p>
      <w:pPr>
        <w:spacing w:after="60"/>
      </w:pPr>
    </w:p>
    <w:p>
      <w:pPr>
        <w:pStyle w:val="Heading3"/>
        <w:keepNext/>
        <w:spacing w:after="80" w:before="160"/>
      </w:pPr>
      <w:r>
        <w:rPr>
          <w:rFonts w:ascii="Verdana" w:cs="Verdana" w:eastAsia="Verdana" w:hAnsi="Verdana"/>
        </w:rPr>
        <w:t xml:space="preserve">Remuneration of spouse</w:t>
      </w:r>
    </w:p>
    <w:p>
      <w:pPr>
        <w:spacing w:after="120" w:line="276"/>
        <w:jc w:val="both"/>
      </w:pPr>
      <w:r>
        <w:rPr>
          <w:rFonts w:ascii="Verdana" w:cs="Verdana" w:eastAsia="Verdana" w:hAnsi="Verdana"/>
        </w:rPr>
        <w:t xml:space="preserve">Salary, commission or fees received by a spouse from a concern in which the individual has a substantial interest (20% or more of shares or profits, alone or with relatives) is clubbed, unless the spouse has technical or professional qualifications and the income is attributable to them. If both spouses have substantial interest and both receive remuneration, the total is clubbed with the spouse having the higher total income before clubbing.</w:t>
      </w:r>
    </w:p>
    <w:p>
      <w:pPr>
        <w:pStyle w:val="Heading3"/>
        <w:keepNext/>
        <w:spacing w:after="80" w:before="160"/>
      </w:pPr>
      <w:r>
        <w:rPr>
          <w:rFonts w:ascii="Verdana" w:cs="Verdana" w:eastAsia="Verdana" w:hAnsi="Verdana"/>
        </w:rPr>
        <w:t xml:space="preserve">Minor child</w:t>
      </w:r>
    </w:p>
    <w:p>
      <w:pPr>
        <w:spacing w:after="120" w:line="276"/>
        <w:jc w:val="both"/>
      </w:pPr>
      <w:r>
        <w:rPr>
          <w:rFonts w:ascii="Verdana" w:cs="Verdana" w:eastAsia="Verdana" w:hAnsi="Verdana"/>
        </w:rPr>
        <w:t xml:space="preserve">All income of a minor child is clubbed with the parent whose total income is higher (or the parent maintaining the child if parents are separated), except income from the child's own manual work or skill, or if the child suffers from a specified disability. An exemption of Rs. 1,500 per child is available in the old regime. Once the child becomes a major, clubbing stops.</w:t>
      </w:r>
    </w:p>
    <w:p>
      <w:pPr>
        <w:pStyle w:val="Heading3"/>
        <w:keepNext/>
        <w:spacing w:after="80" w:before="160"/>
      </w:pPr>
      <w:r>
        <w:rPr>
          <w:rFonts w:ascii="Verdana" w:cs="Verdana" w:eastAsia="Verdana" w:hAnsi="Verdana"/>
        </w:rPr>
        <w:t xml:space="preserve">Cross transfers and indirect transfers</w:t>
      </w:r>
    </w:p>
    <w:p>
      <w:pPr>
        <w:spacing w:after="120" w:line="276"/>
        <w:jc w:val="both"/>
      </w:pPr>
      <w:r>
        <w:rPr>
          <w:rFonts w:ascii="Verdana" w:cs="Verdana" w:eastAsia="Verdana" w:hAnsi="Verdana"/>
        </w:rPr>
        <w:t xml:space="preserve">Where A gifts to B's wife and B gifts to A's wife, the courts treat this as indirect transfer, and each husband is taxed on the income of his own wife's asset. Clubbing also applies if assets are transferred to a person or AOP for the benefit of the spouse or son's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Cross transfers</w:t>
            </w:r>
          </w:p>
          <w:p>
            <w:pPr>
              <w:spacing w:after="60" w:line="260"/>
            </w:pPr>
            <w:r>
              <w:rPr>
                <w:rFonts w:ascii="Verdana" w:cs="Verdana" w:eastAsia="Verdana" w:hAnsi="Verdana"/>
                <w:b/>
                <w:bCs/>
                <w:sz w:val="20"/>
                <w:szCs w:val="20"/>
              </w:rPr>
              <w:t xml:space="preserve">CIT v. C.M. Kothari (Supreme Court, 1963):</w:t>
            </w:r>
            <w:r>
              <w:rPr>
                <w:rFonts w:ascii="Verdana" w:cs="Verdana" w:eastAsia="Verdana" w:hAnsi="Verdana"/>
                <w:sz w:val="20"/>
                <w:szCs w:val="20"/>
              </w:rPr>
              <w:t xml:space="preserve"> where two persons make cross gifts to each other's spouses, the transfers are connected, and the income arising to each spouse is included in the income of her own husband, as if he had made the transfer.</w:t>
            </w:r>
          </w:p>
        </w:tc>
      </w:tr>
    </w:tbl>
    <w:p>
      <w:pPr>
        <w:spacing w:after="60"/>
      </w:pPr>
    </w:p>
    <w:p>
      <w:pPr>
        <w:pStyle w:val="Heading3"/>
        <w:keepNext/>
        <w:spacing w:after="80" w:before="160"/>
      </w:pPr>
      <w:r>
        <w:rPr>
          <w:rFonts w:ascii="Verdana" w:cs="Verdana" w:eastAsia="Verdana" w:hAnsi="Verdana"/>
        </w:rPr>
        <w:t xml:space="preserve">Income from accretions is not clubbed</w:t>
      </w:r>
    </w:p>
    <w:p>
      <w:pPr>
        <w:spacing w:after="120" w:line="276"/>
        <w:jc w:val="both"/>
      </w:pPr>
      <w:r>
        <w:rPr>
          <w:rFonts w:ascii="Verdana" w:cs="Verdana" w:eastAsia="Verdana" w:hAnsi="Verdana"/>
        </w:rPr>
        <w:t xml:space="preserve">Only income from the transferred asset is clubbed. Income earned by reinvesting that income is taxed in the hands of the recipient. Likewise, capital gain on sale of a gifted asset is clubbed, but income from reinvestment of the sale proceeds is only clubbed to the extent it is traceable to the original asset.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Gifts to a spouse are not taxable as income in her hands (spouse is a relative), but the income from them is clubbed. Plan family investments with this two step analysis: is the gift taxable, and is the income clubbed?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Income from assets transferred to spouse or son's wife, and income of minor children, is clubbed.</w:t>
            </w:r>
          </w:p>
          <w:p>
            <w:pPr>
              <w:spacing w:after="60" w:line="260"/>
            </w:pPr>
            <w:r>
              <w:rPr>
                <w:rFonts w:ascii="Verdana" w:cs="Verdana" w:eastAsia="Verdana" w:hAnsi="Verdana"/>
                <w:sz w:val="20"/>
                <w:szCs w:val="20"/>
              </w:rPr>
              <w:t xml:space="preserve">•  Clubbing is proportionate where gifted funds are mixed with own funds in a business.</w:t>
            </w:r>
          </w:p>
          <w:p>
            <w:pPr>
              <w:spacing w:after="60" w:line="260"/>
            </w:pPr>
            <w:r>
              <w:rPr>
                <w:rFonts w:ascii="Verdana" w:cs="Verdana" w:eastAsia="Verdana" w:hAnsi="Verdana"/>
                <w:sz w:val="20"/>
                <w:szCs w:val="20"/>
              </w:rPr>
              <w:t xml:space="preserve">•  Unexplained credits, investments and expenditure are taxed at 60% plus surcharge and cess.</w:t>
            </w:r>
          </w:p>
        </w:tc>
      </w:tr>
    </w:tbl>
    <w:p>
      <w:pPr>
        <w:pStyle w:val="Heading1"/>
        <w:pageBreakBefore/>
        <w:spacing w:after="200" w:before="0"/>
      </w:pPr>
      <w:r>
        <w:rPr>
          <w:rFonts w:ascii="Verdana" w:cs="Verdana" w:eastAsia="Verdana" w:hAnsi="Verdana"/>
        </w:rPr>
        <w:t xml:space="preserve">15. Set Off and Carry Forward of Losses (Sections 108 to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2600"/>
        <w:gridCol w:w="2600"/>
        <w:gridCol w:w="1600"/>
      </w:tblGrid>
      <w:tr>
        <w:trPr>
          <w:cantSplit/>
          <w:tblHeader/>
        </w:trPr>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Loss</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Set off in same year</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Carry forward against</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Years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 (s.110)</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head, max Rs. 2 lakh (old regime only)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 only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non-speculative (s.112)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head except salary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 only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Speculation business (s.113)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Speculation income only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Speculation income only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business (s.114, old 73A)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business only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business only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limit</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Short-term capital loss (s.111)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or LTCG</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or LTCG</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Long-term capital loss (s.111)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only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Race horses (s.115)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source only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source only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Unabsorbed depreciation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head except salary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head except salary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limit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81: Order of set off</w:t>
            </w:r>
          </w:p>
          <w:p>
            <w:pPr>
              <w:spacing w:after="60" w:line="260"/>
            </w:pPr>
            <w:r>
              <w:rPr>
                <w:rFonts w:ascii="Verdana" w:cs="Verdana" w:eastAsia="Verdana" w:hAnsi="Verdana"/>
                <w:sz w:val="20"/>
                <w:szCs w:val="20"/>
              </w:rPr>
              <w:t xml:space="preserve">Deepak has salary Rs. 12,00,000, business loss Rs. 3,00,000, short-term capital loss on shares Rs. 1,00,000, and LTCG on land Rs. 4,00,000.</w:t>
            </w:r>
          </w:p>
          <w:p>
            <w:pPr>
              <w:spacing w:after="60" w:line="260"/>
            </w:pPr>
            <w:r>
              <w:rPr>
                <w:rFonts w:ascii="Verdana" w:cs="Verdana" w:eastAsia="Verdana" w:hAnsi="Verdana"/>
                <w:sz w:val="20"/>
                <w:szCs w:val="20"/>
              </w:rPr>
              <w:t xml:space="preserve">Step 1: STCL of Rs. 1,00,000 set off against LTCG, leaving Rs. 3,00,000. Step 2: business loss cannot go against salary, but can go against LTCG, leaving nil. Taxable income = salary Rs. 12,00,000.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Losses (other than house property loss and unabsorbed depreciation) can be carried forward only if the return for the loss year is filed </w:t>
            </w:r>
            <w:r>
              <w:rPr>
                <w:rFonts w:ascii="Verdana" w:cs="Verdana" w:eastAsia="Verdana" w:hAnsi="Verdana"/>
                <w:b/>
                <w:bCs/>
                <w:sz w:val="20"/>
                <w:szCs w:val="20"/>
              </w:rPr>
              <w:t xml:space="preserve">by the due date</w:t>
            </w:r>
            <w:r>
              <w:rPr>
                <w:rFonts w:ascii="Verdana" w:cs="Verdana" w:eastAsia="Verdana" w:hAnsi="Verdana"/>
                <w:sz w:val="20"/>
                <w:szCs w:val="20"/>
              </w:rPr>
              <w:t xml:space="preserve"> (section 121).</w:t>
            </w:r>
          </w:p>
          <w:p>
            <w:pPr>
              <w:spacing w:after="60" w:line="260"/>
            </w:pPr>
            <w:r>
              <w:rPr>
                <w:rFonts w:ascii="Verdana" w:cs="Verdana" w:eastAsia="Verdana" w:hAnsi="Verdana"/>
                <w:sz w:val="20"/>
                <w:szCs w:val="20"/>
              </w:rPr>
              <w:t xml:space="preserve">For closely held companies, a change of more than 49% in beneficial shareholding kills brought forward losses (section 119). See the Corporate Tax part.</w:t>
            </w:r>
          </w:p>
        </w:tc>
      </w:tr>
    </w:tbl>
    <w:p>
      <w:pPr>
        <w:spacing w:after="60"/>
      </w:pPr>
    </w:p>
    <w:p>
      <w:pPr>
        <w:pStyle w:val="Heading2"/>
        <w:keepNext/>
        <w:spacing w:after="120" w:before="240"/>
      </w:pPr>
      <w:r>
        <w:rPr>
          <w:rFonts w:ascii="Verdana" w:cs="Verdana" w:eastAsia="Verdana" w:hAnsi="Verdana"/>
        </w:rPr>
        <w:t xml:space="preserve">15.1 Set off rules explained</w:t>
      </w:r>
    </w:p>
    <w:p>
      <w:pPr>
        <w:pStyle w:val="ListParagraph"/>
        <w:numPr>
          <w:ilvl w:val="0"/>
          <w:numId w:val="2"/>
        </w:numPr>
        <w:spacing w:after="60" w:line="264"/>
      </w:pPr>
      <w:r>
        <w:rPr>
          <w:rFonts w:ascii="Verdana" w:cs="Verdana" w:eastAsia="Verdana" w:hAnsi="Verdana"/>
          <w:b/>
          <w:bCs/>
        </w:rPr>
        <w:t xml:space="preserve">Intra head first:</w:t>
      </w:r>
      <w:r>
        <w:rPr>
          <w:rFonts w:ascii="Verdana" w:cs="Verdana" w:eastAsia="Verdana" w:hAnsi="Verdana"/>
        </w:rPr>
        <w:t xml:space="preserve"> loss from one source is set off against income from another source under the same head (section 108), with exceptions: speculation loss only against speculation income; specified business loss only against specified business income; long-term capital loss only against LTCG; loss from owning race horses only against that activity; no loss can be set off against VDA income or winnings.</w:t>
      </w:r>
    </w:p>
    <w:p>
      <w:pPr>
        <w:pStyle w:val="ListParagraph"/>
        <w:numPr>
          <w:ilvl w:val="0"/>
          <w:numId w:val="2"/>
        </w:numPr>
        <w:spacing w:after="60" w:line="264"/>
      </w:pPr>
      <w:r>
        <w:rPr>
          <w:rFonts w:ascii="Verdana" w:cs="Verdana" w:eastAsia="Verdana" w:hAnsi="Verdana"/>
          <w:b/>
          <w:bCs/>
        </w:rPr>
        <w:t xml:space="preserve">Inter head next:</w:t>
      </w:r>
      <w:r>
        <w:rPr>
          <w:rFonts w:ascii="Verdana" w:cs="Verdana" w:eastAsia="Verdana" w:hAnsi="Verdana"/>
        </w:rPr>
        <w:t xml:space="preserve"> remaining loss can be set off against income under other heads (section 109), except that business loss cannot be set off against salary, and capital loss cannot be set off against any other head. House property loss is limited to Rs. 2 lakh against other heads.</w:t>
      </w:r>
    </w:p>
    <w:p>
      <w:pPr>
        <w:pStyle w:val="ListParagraph"/>
        <w:numPr>
          <w:ilvl w:val="0"/>
          <w:numId w:val="2"/>
        </w:numPr>
        <w:spacing w:after="60" w:line="264"/>
      </w:pPr>
      <w:r>
        <w:rPr>
          <w:rFonts w:ascii="Verdana" w:cs="Verdana" w:eastAsia="Verdana" w:hAnsi="Verdana"/>
          <w:b/>
          <w:bCs/>
        </w:rPr>
        <w:t xml:space="preserve">Carry forward:</w:t>
      </w:r>
      <w:r>
        <w:rPr>
          <w:rFonts w:ascii="Verdana" w:cs="Verdana" w:eastAsia="Verdana" w:hAnsi="Verdana"/>
        </w:rPr>
        <w:t xml:space="preserve"> remaining losses are carried forward only against the same kind of income, for the periods in the table above, provided the return was filed on time.</w:t>
      </w:r>
    </w:p>
    <w:p>
      <w:pPr>
        <w:pStyle w:val="ListParagraph"/>
        <w:numPr>
          <w:ilvl w:val="0"/>
          <w:numId w:val="2"/>
        </w:numPr>
        <w:spacing w:after="60" w:line="264"/>
      </w:pPr>
      <w:r>
        <w:rPr>
          <w:rFonts w:ascii="Verdana" w:cs="Verdana" w:eastAsia="Verdana" w:hAnsi="Verdana"/>
          <w:b/>
          <w:bCs/>
        </w:rPr>
        <w:t xml:space="preserve">New regime restrictions:</w:t>
      </w:r>
      <w:r>
        <w:rPr>
          <w:rFonts w:ascii="Verdana" w:cs="Verdana" w:eastAsia="Verdana" w:hAnsi="Verdana"/>
        </w:rPr>
        <w:t xml:space="preserve"> under section 202, house property loss cannot be set off against other heads, and losses or depreciation attributable to deductions not allowed in the new regime cannot be carried forward.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82: Full set off computation</w:t>
            </w:r>
          </w:p>
          <w:p>
            <w:pPr>
              <w:spacing w:after="60" w:line="260"/>
            </w:pPr>
            <w:r>
              <w:rPr>
                <w:rFonts w:ascii="Verdana" w:cs="Verdana" w:eastAsia="Verdana" w:hAnsi="Verdana"/>
                <w:sz w:val="20"/>
                <w:szCs w:val="20"/>
              </w:rPr>
              <w:t xml:space="preserve">Kiran (old regime) has for Tax Year 2026-27: salary Rs. 9,00,000; loss from let out house Rs. 2,40,000; business income Rs. 1,50,000; speculation loss Rs. 60,000; STCG on shares (section 196) Rs. 80,000; LTCG on land Rs. 1,00,000; brought forward business loss of Tax Year 2024-25 Rs. 1,00,000; brought forward LTCL of Rs. 40,000.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3600"/>
      </w:tblGrid>
      <w:tr>
        <w:trPr>
          <w:cantSplit/>
          <w:tblHeader/>
        </w:trPr>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Head</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Working</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9,00,000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house property loss (limit Rs. 2 lakh)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40,000 carried forward</w:t>
            </w:r>
          </w:p>
        </w:tc>
      </w:tr>
      <w:tr>
        <w:trPr>
          <w:cantSplit/>
        </w:trPr>
        <w:tc>
          <w:tcPr>
            <w:tcW w:type="dxa" w:w="42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Salary after set off</w:t>
            </w:r>
          </w:p>
        </w:tc>
        <w:tc>
          <w:tcPr>
            <w:tcW w:type="dxa" w:w="1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7,00,000</w:t>
            </w:r>
          </w:p>
        </w:tc>
        <w:tc>
          <w:tcPr>
            <w:tcW w:type="dxa" w:w="3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Speculation loss of Rs. 60,000 cannot be set off; carried forward 4 years</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brought forward business loss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 against business income only</w:t>
            </w:r>
          </w:p>
        </w:tc>
      </w:tr>
      <w:tr>
        <w:trPr>
          <w:cantSplit/>
        </w:trPr>
        <w:tc>
          <w:tcPr>
            <w:tcW w:type="dxa" w:w="42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Business income after set off</w:t>
            </w:r>
          </w:p>
        </w:tc>
        <w:tc>
          <w:tcPr>
            <w:tcW w:type="dxa" w:w="1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50,000</w:t>
            </w:r>
          </w:p>
        </w:tc>
        <w:tc>
          <w:tcPr>
            <w:tcW w:type="dxa" w:w="3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(section 196)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at 20%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land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brought forward LTCL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LTCL only against LTCG</w:t>
            </w:r>
          </w:p>
        </w:tc>
      </w:tr>
      <w:tr>
        <w:trPr>
          <w:cantSplit/>
        </w:trPr>
        <w:tc>
          <w:tcPr>
            <w:tcW w:type="dxa" w:w="42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LTCG after set off</w:t>
            </w:r>
          </w:p>
        </w:tc>
        <w:tc>
          <w:tcPr>
            <w:tcW w:type="dxa" w:w="1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60,000</w:t>
            </w:r>
          </w:p>
        </w:tc>
        <w:tc>
          <w:tcPr>
            <w:tcW w:type="dxa" w:w="3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Taxed at 12.5% (or 20% with indexation)</w:t>
            </w:r>
          </w:p>
        </w:tc>
      </w:tr>
      <w:tr>
        <w:trPr>
          <w:cantSplit/>
        </w:trPr>
        <w:tc>
          <w:tcPr>
            <w:tcW w:type="dxa" w:w="42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Gross total income</w:t>
            </w:r>
          </w:p>
        </w:tc>
        <w:tc>
          <w:tcPr>
            <w:tcW w:type="dxa" w:w="1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8,90,000</w:t>
            </w:r>
          </w:p>
        </w:tc>
        <w:tc>
          <w:tcPr>
            <w:tcW w:type="dxa" w:w="3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Intra head set off first, then inter head, then carry forward.</w:t>
            </w:r>
          </w:p>
          <w:p>
            <w:pPr>
              <w:spacing w:after="60" w:line="260"/>
            </w:pPr>
            <w:r>
              <w:rPr>
                <w:rFonts w:ascii="Verdana" w:cs="Verdana" w:eastAsia="Verdana" w:hAnsi="Verdana"/>
                <w:sz w:val="20"/>
                <w:szCs w:val="20"/>
              </w:rPr>
              <w:t xml:space="preserve">•  Business loss cannot be set off against salary; capital loss only against capital gains.</w:t>
            </w:r>
          </w:p>
          <w:p>
            <w:pPr>
              <w:spacing w:after="60" w:line="260"/>
            </w:pPr>
            <w:r>
              <w:rPr>
                <w:rFonts w:ascii="Verdana" w:cs="Verdana" w:eastAsia="Verdana" w:hAnsi="Verdana"/>
                <w:sz w:val="20"/>
                <w:szCs w:val="20"/>
              </w:rPr>
              <w:t xml:space="preserve">•  Losses are carried forward only if the return is filed by the due date (except house property loss and unabsorbed depreciation).</w:t>
            </w:r>
          </w:p>
          <w:p>
            <w:pPr>
              <w:spacing w:after="60" w:line="260"/>
            </w:pPr>
            <w:r>
              <w:rPr>
                <w:rFonts w:ascii="Verdana" w:cs="Verdana" w:eastAsia="Verdana" w:hAnsi="Verdana"/>
                <w:sz w:val="20"/>
                <w:szCs w:val="20"/>
              </w:rPr>
              <w:t xml:space="preserve">•  New regime restricts house property loss set off.</w:t>
            </w:r>
          </w:p>
        </w:tc>
      </w:tr>
    </w:tbl>
    <w:p>
      <w:pPr>
        <w:pStyle w:val="Heading1"/>
        <w:pageBreakBefore/>
        <w:spacing w:after="200" w:before="0"/>
      </w:pPr>
      <w:r>
        <w:rPr>
          <w:rFonts w:ascii="Verdana" w:cs="Verdana" w:eastAsia="Verdana" w:hAnsi="Verdana"/>
        </w:rPr>
        <w:t xml:space="preserve">16. Deductions (Sections 122 to 154)</w:t>
      </w:r>
    </w:p>
    <w:p>
      <w:pPr>
        <w:spacing w:after="120" w:line="276"/>
        <w:jc w:val="both"/>
      </w:pPr>
      <w:r>
        <w:rPr>
          <w:rFonts w:ascii="Verdana" w:cs="Verdana" w:eastAsia="Verdana" w:hAnsi="Verdana"/>
        </w:rPr>
        <w:t xml:space="preserve">Chapter VI-A deductions of the old Act are now in sections 122 to 154, and Schedule XV lists the eligible investments for section 123. Most are available </w:t>
      </w:r>
      <w:r>
        <w:rPr>
          <w:rFonts w:ascii="Verdana" w:cs="Verdana" w:eastAsia="Verdana" w:hAnsi="Verdana"/>
          <w:b/>
          <w:bCs/>
        </w:rPr>
        <w:t xml:space="preserve">only in the old regime</w:t>
      </w:r>
      <w:r>
        <w:rPr>
          <w:rFonts w:ascii="Verdana" w:cs="Verdana" w:eastAsia="Verdana" w:hAnsi="Verdana"/>
        </w:rPr>
        <w:t xml:space="preserve">. Deductions cannot exceed gross total income and are not allowed against special rate incomes like STCG under section 196 or LTCG.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700"/>
        <w:gridCol w:w="1200"/>
        <w:gridCol w:w="3100"/>
        <w:gridCol w:w="1700"/>
      </w:tblGrid>
      <w:tr>
        <w:trPr>
          <w:cantSplit/>
          <w:tblHeader/>
        </w:trPr>
        <w:tc>
          <w:tcPr>
            <w:tcW w:type="dxa" w:w="29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Deduction</w:t>
            </w:r>
          </w:p>
        </w:tc>
        <w:tc>
          <w:tcPr>
            <w:tcW w:type="dxa" w:w="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w:t>
            </w:r>
          </w:p>
        </w:tc>
        <w:tc>
          <w:tcPr>
            <w:tcW w:type="dxa" w:w="1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3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Limit (broad)</w:t>
            </w:r>
          </w:p>
        </w:tc>
        <w:tc>
          <w:tcPr>
            <w:tcW w:type="dxa" w:w="1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regime?</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LIC, PF, PPF, ELSS, tuition fees, home loan principal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80C, 80CCC</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1,50,000 combined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 NPS contribution (additional)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80CCD(1B)</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NPS contribution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80CCD(2)</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 of salary (new), 10% (old)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Agniveer Corpus Fund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80CCH</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 contribution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Health insurance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25,000 (Rs. 50,000 senior); parents extra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Disabled dependant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80DD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75,000 or Rs. 1,25,000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diseases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80DDB</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40,000 (Rs. 1 lakh senior)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Education loan interest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 interest for 8 years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Donations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or 100%, some with 10% cap</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paid (no HRA)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80GG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60,000 a year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Political contributions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136, 137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80GGB, 80GGC</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 amount, not in cash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Eligible start-ups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80-IAC</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3 of first 10 years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with section 200</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Additional employee cost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80JJAA</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of additional cost for 3 years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IFSC units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80LA</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10 of 15 years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 with section 200</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Inter-corporate dividends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80M</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 received, to the extent distributed onward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See Corporate part</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Savings bank / senior citizen interest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80TTA / 80TTB</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 Rs. 50,000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with disability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80U</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75,000 or Rs. 1,25,000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83: Health insurance for parents</w:t>
            </w:r>
          </w:p>
          <w:p>
            <w:pPr>
              <w:spacing w:after="60" w:line="260"/>
            </w:pPr>
            <w:r>
              <w:rPr>
                <w:rFonts w:ascii="Verdana" w:cs="Verdana" w:eastAsia="Verdana" w:hAnsi="Verdana"/>
                <w:sz w:val="20"/>
                <w:szCs w:val="20"/>
              </w:rPr>
              <w:t xml:space="preserve">Suresh (45) pays Rs. 28,000 premium for his family plus Rs. 4,000 for a health check up, and Rs. 55,000 premium for his senior citizen parents.</w:t>
            </w:r>
          </w:p>
          <w:p>
            <w:pPr>
              <w:spacing w:after="60" w:line="260"/>
            </w:pPr>
            <w:r>
              <w:rPr>
                <w:rFonts w:ascii="Verdana" w:cs="Verdana" w:eastAsia="Verdana" w:hAnsi="Verdana"/>
                <w:sz w:val="20"/>
                <w:szCs w:val="20"/>
              </w:rPr>
              <w:t xml:space="preserve">Family: limit Rs. 25,000 (the check up allowance of Rs. 5,000 sits inside it). Allowed Rs. 25,000. Parents: limit Rs. 50,000. Allowed Rs. 50,000. </w:t>
            </w:r>
            <w:r>
              <w:rPr>
                <w:rFonts w:ascii="Verdana" w:cs="Verdana" w:eastAsia="Verdana" w:hAnsi="Verdana"/>
                <w:b/>
                <w:bCs/>
                <w:sz w:val="20"/>
                <w:szCs w:val="20"/>
              </w:rPr>
              <w:t xml:space="preserve">Total under section 126: Rs. 75,000</w:t>
            </w:r>
            <w:r>
              <w:rPr>
                <w:rFonts w:ascii="Verdana" w:cs="Verdana" w:eastAsia="Verdana" w:hAnsi="Verdana"/>
                <w:sz w:val="20"/>
                <w:szCs w:val="20"/>
              </w:rPr>
              <w:t xml:space="preserve"> (old regime only).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84: Additional employee cost</w:t>
            </w:r>
          </w:p>
          <w:p>
            <w:pPr>
              <w:spacing w:after="60" w:line="260"/>
            </w:pPr>
            <w:r>
              <w:rPr>
                <w:rFonts w:ascii="Verdana" w:cs="Verdana" w:eastAsia="Verdana" w:hAnsi="Verdana"/>
                <w:sz w:val="20"/>
                <w:szCs w:val="20"/>
              </w:rPr>
              <w:t xml:space="preserve">A company taxed under section 200 hires 20 new employees in Tax Year 2026-27, each earning Rs. 20,000 a month and employed for more than 240 days, with salary paid through bank. Additional employee cost = Rs. 48 lakh. Deduction under section 146 = 30% = </w:t>
            </w:r>
            <w:r>
              <w:rPr>
                <w:rFonts w:ascii="Verdana" w:cs="Verdana" w:eastAsia="Verdana" w:hAnsi="Verdana"/>
                <w:b/>
                <w:bCs/>
                <w:sz w:val="20"/>
                <w:szCs w:val="20"/>
              </w:rPr>
              <w:t xml:space="preserve">Rs. 14,40,000</w:t>
            </w:r>
            <w:r>
              <w:rPr>
                <w:rFonts w:ascii="Verdana" w:cs="Verdana" w:eastAsia="Verdana" w:hAnsi="Verdana"/>
                <w:sz w:val="20"/>
                <w:szCs w:val="20"/>
              </w:rPr>
              <w:t xml:space="preserve"> this year and in each of the next two years.</w:t>
            </w:r>
          </w:p>
        </w:tc>
      </w:tr>
    </w:tbl>
    <w:p>
      <w:pPr>
        <w:spacing w:after="60"/>
      </w:pPr>
    </w:p>
    <w:p>
      <w:pPr>
        <w:pStyle w:val="Heading2"/>
        <w:keepNext/>
        <w:spacing w:after="120" w:before="240"/>
      </w:pPr>
      <w:r>
        <w:rPr>
          <w:rFonts w:ascii="Verdana" w:cs="Verdana" w:eastAsia="Verdana" w:hAnsi="Verdana"/>
        </w:rPr>
        <w:t xml:space="preserve">16.1 Section 123 (old 80C, 80CCC) in detail</w:t>
      </w:r>
    </w:p>
    <w:p>
      <w:pPr>
        <w:spacing w:after="120" w:line="276"/>
        <w:jc w:val="both"/>
      </w:pPr>
      <w:r>
        <w:rPr>
          <w:rFonts w:ascii="Verdana" w:cs="Verdana" w:eastAsia="Verdana" w:hAnsi="Verdana"/>
        </w:rPr>
        <w:t xml:space="preserve">The overall limit is </w:t>
      </w:r>
      <w:r>
        <w:rPr>
          <w:rFonts w:ascii="Verdana" w:cs="Verdana" w:eastAsia="Verdana" w:hAnsi="Verdana"/>
          <w:b/>
          <w:bCs/>
        </w:rPr>
        <w:t xml:space="preserve">Rs. 1,50,000</w:t>
      </w:r>
      <w:r>
        <w:rPr>
          <w:rFonts w:ascii="Verdana" w:cs="Verdana" w:eastAsia="Verdana" w:hAnsi="Verdana"/>
        </w:rPr>
        <w:t xml:space="preserve"> for the aggregate of sections 123 and 124(1) (own NPS contribution within the 10% or 20% limit). Schedule XV lists the eligible payments. The most common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58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Payment</w:t>
            </w:r>
          </w:p>
        </w:tc>
        <w:tc>
          <w:tcPr>
            <w:tcW w:type="dxa" w:w="5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Conditions</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Life insurance premium</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life of self, spouse or children (HUF: any member). For policies issued after 1 April 2012, premium up to 10% of sum assured</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EPF (employee share), PPF, Sukanya Samriddhi</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PPF for self, spouse, children; SSY for girl child</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ELSS mutual funds</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3-year lock-in</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5-year tax saver bank deposit, NSC, Senior Citizens Savings Scheme</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Lock-in as per scheme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Tuition fees</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Full-time education of up to 2 children in India; excludes development fees and donations</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Home loan principal, stamp duty and registration</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 a residential house; if the house is sold within 5 years, deductions claimed are reversed and taxed in the year of sale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Pension plans of LIC and other insurers</w:t>
            </w:r>
          </w:p>
        </w:tc>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80CCC; pension received later is taxable</w:t>
            </w:r>
          </w:p>
        </w:tc>
      </w:tr>
    </w:tbl>
    <w:p>
      <w:pPr>
        <w:spacing w:after="60"/>
      </w:pPr>
    </w:p>
    <w:p>
      <w:pPr>
        <w:spacing w:after="120" w:line="276"/>
        <w:jc w:val="both"/>
      </w:pPr>
      <w:r>
        <w:rPr>
          <w:rFonts w:ascii="Verdana" w:cs="Verdana" w:eastAsia="Verdana" w:hAnsi="Verdana"/>
        </w:rPr>
        <w:t xml:space="preserve">Deductions are allowed on the basis of payment during the year, from income chargeable to tax. They are available only in the old regime.</w:t>
      </w:r>
    </w:p>
    <w:p>
      <w:pPr>
        <w:pStyle w:val="Heading2"/>
        <w:keepNext/>
        <w:spacing w:after="120" w:before="240"/>
      </w:pPr>
      <w:r>
        <w:rPr>
          <w:rFonts w:ascii="Verdana" w:cs="Verdana" w:eastAsia="Verdana" w:hAnsi="Verdana"/>
        </w:rPr>
        <w:t xml:space="preserve">16.2 Section 124: pension schemes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4400"/>
        <w:gridCol w:w="16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Contribution</w:t>
            </w:r>
          </w:p>
        </w:tc>
        <w:tc>
          <w:tcPr>
            <w:tcW w:type="dxa" w:w="4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Limit</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Regime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Employee own contribution to NPS</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of salary (basic plus DA); 20% of gross total income for self employed; within the Rs. 1.5 lakh limit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only</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Additional own contribution</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 over and above Rs. 1.5 lakh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only</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contribution</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 of salary (new regime, also for government), 10% (old regime, non-government)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Both</w:t>
            </w:r>
          </w:p>
        </w:tc>
      </w:tr>
    </w:tbl>
    <w:p>
      <w:pPr>
        <w:spacing w:after="60"/>
      </w:pPr>
    </w:p>
    <w:p>
      <w:pPr>
        <w:pStyle w:val="Heading2"/>
        <w:keepNext/>
        <w:spacing w:after="120" w:before="240"/>
      </w:pPr>
      <w:r>
        <w:rPr>
          <w:rFonts w:ascii="Verdana" w:cs="Verdana" w:eastAsia="Verdana" w:hAnsi="Verdana"/>
        </w:rPr>
        <w:t xml:space="preserve">16.3 Section 126: health insurance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5000"/>
      </w:tblGrid>
      <w:tr>
        <w:trPr>
          <w:cantSplit/>
          <w:tblHeader/>
        </w:trPr>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Payment</w:t>
            </w:r>
          </w:p>
        </w:tc>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Limit</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Premium for self, spouse, dependent children</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25,000 (Rs. 50,000 if any of them is a senior citizen)</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Premium for parents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Additional Rs. 25,000 (Rs. 50,000 if a parent is a senior citizen)</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Preventive health check up</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5,000 within the above limits; cash allowed</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Medical expenditure for senior citizens without insurance</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50,000 within the limits</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mode</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mode other than cash (except check up)</w:t>
            </w:r>
          </w:p>
        </w:tc>
      </w:tr>
    </w:tbl>
    <w:p>
      <w:pPr>
        <w:spacing w:after="60"/>
      </w:pPr>
    </w:p>
    <w:p>
      <w:pPr>
        <w:pStyle w:val="Heading2"/>
        <w:keepNext/>
        <w:spacing w:after="120" w:before="240"/>
      </w:pPr>
      <w:r>
        <w:rPr>
          <w:rFonts w:ascii="Verdana" w:cs="Verdana" w:eastAsia="Verdana" w:hAnsi="Verdana"/>
        </w:rPr>
        <w:t xml:space="preserve">16.4 Section 133: donations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38"/>
        <w:gridCol w:w="5600"/>
      </w:tblGrid>
      <w:tr>
        <w:trPr>
          <w:cantSplit/>
          <w:tblHeader/>
        </w:trPr>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Category</w:t>
            </w:r>
          </w:p>
        </w:tc>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Deduction</w:t>
            </w:r>
          </w:p>
        </w:tc>
        <w:tc>
          <w:tcPr>
            <w:tcW w:type="dxa" w:w="5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Examples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no qualifying limit</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PM National Relief Fund, PM CARES Fund, National Defence Fund, Swachh Bharat Kosh, Clean Ganga Fund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no qualifying limit</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Jawaharlal Nehru Memorial Fund, Indira Gandhi Memorial Trust, Rajiv Gandhi Foundation (as notified)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subject to 10% of adjusted gross total income</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Government or approved bodies for family planning, Indian Olympic Association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subject to 10% of adjusted gross total income</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Approved charitable trusts and institutions, renovation of notified temples, mosques, gurudwaras, churches</w:t>
            </w:r>
          </w:p>
        </w:tc>
      </w:tr>
    </w:tbl>
    <w:p>
      <w:pPr>
        <w:spacing w:after="60"/>
      </w:pPr>
    </w:p>
    <w:p>
      <w:pPr>
        <w:spacing w:after="120" w:line="276"/>
        <w:jc w:val="both"/>
      </w:pPr>
      <w:r>
        <w:rPr>
          <w:rFonts w:ascii="Verdana" w:cs="Verdana" w:eastAsia="Verdana" w:hAnsi="Verdana"/>
          <w:b/>
          <w:bCs/>
        </w:rPr>
        <w:t xml:space="preserve">Adjusted gross total income</w:t>
      </w:r>
      <w:r>
        <w:rPr>
          <w:rFonts w:ascii="Verdana" w:cs="Verdana" w:eastAsia="Verdana" w:hAnsi="Verdana"/>
        </w:rPr>
        <w:t xml:space="preserve"> = gross total income less LTCG, STCG under section 196, other deductions under sections 122 to 154 (except section 133), and certain other incomes. Cash donations above Rs. 2,000 are not allowed. The donee files a statement of donations and issues Form 114 (old 10BE) to the donor; the deduction is allowed as per the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85: Donation with 10% cap</w:t>
            </w:r>
          </w:p>
          <w:p>
            <w:pPr>
              <w:spacing w:after="60" w:line="260"/>
            </w:pPr>
            <w:r>
              <w:rPr>
                <w:rFonts w:ascii="Verdana" w:cs="Verdana" w:eastAsia="Verdana" w:hAnsi="Verdana"/>
                <w:sz w:val="20"/>
                <w:szCs w:val="20"/>
              </w:rPr>
              <w:t xml:space="preserve">Gross total income Rs. 10,00,000, including LTCG of Rs. 2,00,000. Deductions under section 123 of Rs. 1,50,000. Donation of Rs. 1,20,000 to an approved trust (category D).</w:t>
            </w:r>
          </w:p>
          <w:p>
            <w:pPr>
              <w:spacing w:after="60" w:line="260"/>
            </w:pPr>
            <w:r>
              <w:rPr>
                <w:rFonts w:ascii="Verdana" w:cs="Verdana" w:eastAsia="Verdana" w:hAnsi="Verdana"/>
                <w:sz w:val="20"/>
                <w:szCs w:val="20"/>
              </w:rPr>
              <w:t xml:space="preserve">Adjusted GTI = 10,00,000 less 2,00,000 less 1,50,000 = Rs. 6,50,000. Qualifying limit = 10% = Rs. 65,000. Qualifying amount = lower of Rs. 1,20,000 and Rs. 65,000 = Rs. 65,000. Deduction at 50% = </w:t>
            </w:r>
            <w:r>
              <w:rPr>
                <w:rFonts w:ascii="Verdana" w:cs="Verdana" w:eastAsia="Verdana" w:hAnsi="Verdana"/>
                <w:b/>
                <w:bCs/>
                <w:sz w:val="20"/>
                <w:szCs w:val="20"/>
              </w:rPr>
              <w:t xml:space="preserve">Rs. 32,500</w:t>
            </w:r>
            <w:r>
              <w:rPr>
                <w:rFonts w:ascii="Verdana" w:cs="Verdana" w:eastAsia="Verdana" w:hAnsi="Verdana"/>
                <w:sz w:val="20"/>
                <w:szCs w:val="20"/>
              </w:rPr>
              <w:t xml:space="preserve">.</w:t>
            </w:r>
          </w:p>
        </w:tc>
      </w:tr>
    </w:tbl>
    <w:p>
      <w:pPr>
        <w:spacing w:after="60"/>
      </w:pPr>
    </w:p>
    <w:p>
      <w:pPr>
        <w:pStyle w:val="Heading2"/>
        <w:keepNext/>
        <w:spacing w:after="120" w:before="240"/>
      </w:pPr>
      <w:r>
        <w:rPr>
          <w:rFonts w:ascii="Verdana" w:cs="Verdana" w:eastAsia="Verdana" w:hAnsi="Verdana"/>
        </w:rPr>
        <w:t xml:space="preserve">16.5 Section 134 (old 80GG): rent without HRA</w:t>
      </w:r>
    </w:p>
    <w:p>
      <w:pPr>
        <w:spacing w:after="120" w:line="276"/>
        <w:jc w:val="both"/>
      </w:pPr>
      <w:r>
        <w:rPr>
          <w:rFonts w:ascii="Verdana" w:cs="Verdana" w:eastAsia="Verdana" w:hAnsi="Verdana"/>
        </w:rPr>
        <w:t xml:space="preserve">For a self employed person or an employee who does not receive HRA, and who does not own a house at the place of work, the deduction is the least of: Rs. 5,000 a month; 25% of adjusted total income; and rent paid less 10% of adjusted total income.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86: Rent deduction</w:t>
            </w:r>
          </w:p>
          <w:p>
            <w:pPr>
              <w:spacing w:after="60" w:line="260"/>
            </w:pPr>
            <w:r>
              <w:rPr>
                <w:rFonts w:ascii="Verdana" w:cs="Verdana" w:eastAsia="Verdana" w:hAnsi="Verdana"/>
                <w:sz w:val="20"/>
                <w:szCs w:val="20"/>
              </w:rPr>
              <w:t xml:space="preserve">Adjusted total income Rs. 4,80,000; rent paid Rs. 1,20,000. Least of Rs. 60,000; Rs. 1,20,000 (25%); and Rs. 72,000 (1,20,000 less 48,000) = </w:t>
            </w:r>
            <w:r>
              <w:rPr>
                <w:rFonts w:ascii="Verdana" w:cs="Verdana" w:eastAsia="Verdana" w:hAnsi="Verdana"/>
                <w:b/>
                <w:bCs/>
                <w:sz w:val="20"/>
                <w:szCs w:val="20"/>
              </w:rPr>
              <w:t xml:space="preserve">Rs. 60,000</w:t>
            </w:r>
            <w:r>
              <w:rPr>
                <w:rFonts w:ascii="Verdana" w:cs="Verdana" w:eastAsia="Verdana" w:hAnsi="Verdana"/>
                <w:sz w:val="20"/>
                <w:szCs w:val="20"/>
              </w:rPr>
              <w:t xml:space="preserve">.</w:t>
            </w:r>
          </w:p>
        </w:tc>
      </w:tr>
    </w:tbl>
    <w:p>
      <w:pPr>
        <w:spacing w:after="60"/>
      </w:pPr>
    </w:p>
    <w:p>
      <w:pPr>
        <w:pStyle w:val="Heading2"/>
        <w:keepNext/>
        <w:spacing w:after="120" w:before="240"/>
      </w:pPr>
      <w:r>
        <w:rPr>
          <w:rFonts w:ascii="Verdana" w:cs="Verdana" w:eastAsia="Verdana" w:hAnsi="Verdana"/>
        </w:rPr>
        <w:t xml:space="preserve">16.6 Section 146 (old 80JJAA): conditions</w:t>
      </w:r>
    </w:p>
    <w:p>
      <w:pPr>
        <w:pStyle w:val="ListParagraph"/>
        <w:numPr>
          <w:ilvl w:val="0"/>
          <w:numId w:val="2"/>
        </w:numPr>
        <w:spacing w:after="60" w:line="264"/>
      </w:pPr>
      <w:r>
        <w:rPr>
          <w:rFonts w:ascii="Verdana" w:cs="Verdana" w:eastAsia="Verdana" w:hAnsi="Verdana"/>
        </w:rPr>
        <w:t xml:space="preserve">Available to a business liable to tax audit; not to a business formed by splitting up or reconstruction, or on transfer of an existing business.</w:t>
      </w:r>
    </w:p>
    <w:p>
      <w:pPr>
        <w:pStyle w:val="ListParagraph"/>
        <w:numPr>
          <w:ilvl w:val="0"/>
          <w:numId w:val="2"/>
        </w:numPr>
        <w:spacing w:after="60" w:line="264"/>
      </w:pPr>
      <w:r>
        <w:rPr>
          <w:rFonts w:ascii="Verdana" w:cs="Verdana" w:eastAsia="Verdana" w:hAnsi="Verdana"/>
        </w:rPr>
        <w:t xml:space="preserve">Additional employee: monthly emoluments up to Rs. 25,000, employed for 240 days or more in the year (150 days for apparel, footwear and leather), paid through banking channels, and participating in a recognised provident fund.</w:t>
      </w:r>
    </w:p>
    <w:p>
      <w:pPr>
        <w:pStyle w:val="ListParagraph"/>
        <w:numPr>
          <w:ilvl w:val="0"/>
          <w:numId w:val="2"/>
        </w:numPr>
        <w:spacing w:after="60" w:line="264"/>
      </w:pPr>
      <w:r>
        <w:rPr>
          <w:rFonts w:ascii="Verdana" w:cs="Verdana" w:eastAsia="Verdana" w:hAnsi="Verdana"/>
        </w:rPr>
        <w:t xml:space="preserve">Deduction: 30% of additional employee cost for 3 years, starting from the year of employment. If the employee completes the required days only in the next year, the deduction starts from that year.</w:t>
      </w:r>
    </w:p>
    <w:p>
      <w:pPr>
        <w:pStyle w:val="ListParagraph"/>
        <w:numPr>
          <w:ilvl w:val="0"/>
          <w:numId w:val="2"/>
        </w:numPr>
        <w:spacing w:after="60" w:line="264"/>
      </w:pPr>
      <w:r>
        <w:rPr>
          <w:rFonts w:ascii="Verdana" w:cs="Verdana" w:eastAsia="Verdana" w:hAnsi="Verdana"/>
        </w:rPr>
        <w:t xml:space="preserve">Accountant's report must be filed before the return due date.</w:t>
      </w:r>
    </w:p>
    <w:p>
      <w:pPr>
        <w:pStyle w:val="Heading2"/>
        <w:keepNext/>
        <w:spacing w:after="120" w:before="240"/>
      </w:pPr>
      <w:r>
        <w:rPr>
          <w:rFonts w:ascii="Verdana" w:cs="Verdana" w:eastAsia="Verdana" w:hAnsi="Verdana"/>
        </w:rPr>
        <w:t xml:space="preserve">16.7 Sections 127 and 154: disability</w:t>
      </w:r>
    </w:p>
    <w:p>
      <w:pPr>
        <w:spacing w:after="120" w:line="276"/>
        <w:jc w:val="both"/>
      </w:pPr>
      <w:r>
        <w:rPr>
          <w:rFonts w:ascii="Verdana" w:cs="Verdana" w:eastAsia="Verdana" w:hAnsi="Verdana"/>
        </w:rPr>
        <w:t xml:space="preserve">Section 154 (old 80U) is for the taxpayer who is a person with disability; section 127 (old 80DD) is for maintenance and medical treatment of a disabled dependant. Deduction is Rs. 75,000 for disability of 40% or more, and Rs. 1,25,000 for severe disability of 80% or more, on the basis of a certificate from a prescribed medical authority. Both are flat deductions, not linked to actual expenditure.</w:t>
      </w:r>
    </w:p>
    <w:p>
      <w:pPr>
        <w:pStyle w:val="Heading2"/>
        <w:keepNext/>
        <w:spacing w:after="120" w:before="240"/>
      </w:pPr>
      <w:r>
        <w:rPr>
          <w:rFonts w:ascii="Verdana" w:cs="Verdana" w:eastAsia="Verdana" w:hAnsi="Verdana"/>
        </w:rPr>
        <w:t xml:space="preserve">16.8 Profit-linked and other business deductions (sections 138 to 152)</w:t>
      </w:r>
    </w:p>
    <w:p>
      <w:pPr>
        <w:spacing w:after="120" w:line="276"/>
        <w:jc w:val="both"/>
      </w:pPr>
      <w:r>
        <w:rPr>
          <w:rFonts w:ascii="Verdana" w:cs="Verdana" w:eastAsia="Verdana" w:hAnsi="Verdana"/>
        </w:rPr>
        <w:t xml:space="preserve">These deductions reward specific activities. Many have sunset dates that have passed for new units, but existing units continue to claim them for their remaining years. They are not available under section 200 (companies) or section 202 (individuals), except where expressly allowed.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638"/>
        <w:gridCol w:w="3000"/>
      </w:tblGrid>
      <w:tr>
        <w:trPr>
          <w:cantSplit/>
          <w:tblHeader/>
        </w:trPr>
        <w:tc>
          <w:tcPr>
            <w:tcW w:type="dxa" w:w="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1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Activity</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Broad benefit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Infrastructure development, power generation and distribution (units within the time limits)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10 consecutive years out of 15 or 20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80-IAB</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Developers of SEZs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10 of 15 years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80-IAC</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Eligible start-ups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3 of first 10 years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80-IB</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Certain industrial undertakings (mostly expired), mineral oil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specified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80-IBA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Affordable housing projects approved by 31 March 2022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of profits from the project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Undertakings in North-Eastern states (within time limits)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10 years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10AA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SEZ units that began operations by 30 June 2020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5 years, 50% for next 5, 50% of reinvested profits for next 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80JJA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Collection and processing of bio-degradable waste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5 years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80JJAA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Additional employee cost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for 3 years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80LA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Offshore banking units and IFSC units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for 10 of 15 years (extended for OBUs by Finance Act 2026)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80M</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Inter-corporate dividends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 the extent distributed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80P</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Co-operative societies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Various activity based deductions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80QQB</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of authors (other than textbooks)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3 lakh</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80RRB</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on patents registered in India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3 lakh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Profit-linked deductions are computed as if the eligible business were the only business of the assessee, and require an accountant's report before the return due date. The deduction is allowed only if claimed in a return filed by the due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Most deductions are available only in the old regime.</w:t>
            </w:r>
          </w:p>
          <w:p>
            <w:pPr>
              <w:spacing w:after="60" w:line="260"/>
            </w:pPr>
            <w:r>
              <w:rPr>
                <w:rFonts w:ascii="Verdana" w:cs="Verdana" w:eastAsia="Verdana" w:hAnsi="Verdana"/>
                <w:sz w:val="20"/>
                <w:szCs w:val="20"/>
              </w:rPr>
              <w:t xml:space="preserve">•  Section 123 limit Rs. 1.5 lakh; section 124 adds Rs. 50,000 own NPS; employer NPS in both regimes.</w:t>
            </w:r>
          </w:p>
          <w:p>
            <w:pPr>
              <w:spacing w:after="60" w:line="260"/>
            </w:pPr>
            <w:r>
              <w:rPr>
                <w:rFonts w:ascii="Verdana" w:cs="Verdana" w:eastAsia="Verdana" w:hAnsi="Verdana"/>
                <w:sz w:val="20"/>
                <w:szCs w:val="20"/>
              </w:rPr>
              <w:t xml:space="preserve">•  Section 133 donations have four categories and a 10% cap for some.</w:t>
            </w:r>
          </w:p>
          <w:p>
            <w:pPr>
              <w:spacing w:after="60" w:line="260"/>
            </w:pPr>
            <w:r>
              <w:rPr>
                <w:rFonts w:ascii="Verdana" w:cs="Verdana" w:eastAsia="Verdana" w:hAnsi="Verdana"/>
                <w:sz w:val="20"/>
                <w:szCs w:val="20"/>
              </w:rPr>
              <w:t xml:space="preserve">•  Business deductions such as section 146 and profit-linked deductions have specific conditions and reports.</w:t>
            </w:r>
          </w:p>
        </w:tc>
      </w:tr>
    </w:tbl>
    <w:p>
      <w:pPr>
        <w:pStyle w:val="Heading1"/>
        <w:pageBreakBefore/>
        <w:spacing w:after="200" w:before="0"/>
      </w:pPr>
      <w:r>
        <w:rPr>
          <w:rFonts w:ascii="Verdana" w:cs="Verdana" w:eastAsia="Verdana" w:hAnsi="Verdana"/>
        </w:rPr>
        <w:t xml:space="preserve">17. Tax Rates, Regimes and Rebate for Individuals</w:t>
      </w:r>
    </w:p>
    <w:p>
      <w:pPr>
        <w:pStyle w:val="Heading2"/>
        <w:keepNext/>
        <w:spacing w:after="120" w:before="240"/>
      </w:pPr>
      <w:r>
        <w:rPr>
          <w:rFonts w:ascii="Verdana" w:cs="Verdana" w:eastAsia="Verdana" w:hAnsi="Verdana"/>
        </w:rPr>
        <w:t xml:space="preserve">17.1 New regime (section 202, old 115BAC)</w:t>
      </w:r>
    </w:p>
    <w:p>
      <w:pPr>
        <w:spacing w:after="120" w:line="276"/>
        <w:jc w:val="both"/>
      </w:pPr>
      <w:r>
        <w:rPr>
          <w:rFonts w:ascii="Verdana" w:cs="Verdana" w:eastAsia="Verdana" w:hAnsi="Verdana"/>
        </w:rPr>
        <w:t xml:space="preserve">The new regime is the </w:t>
      </w:r>
      <w:r>
        <w:rPr>
          <w:rFonts w:ascii="Verdana" w:cs="Verdana" w:eastAsia="Verdana" w:hAnsi="Verdana"/>
          <w:b/>
          <w:bCs/>
        </w:rPr>
        <w:t xml:space="preserve">default</w:t>
      </w:r>
      <w:r>
        <w:rPr>
          <w:rFonts w:ascii="Verdana" w:cs="Verdana" w:eastAsia="Verdana" w:hAnsi="Verdana"/>
        </w:rPr>
        <w:t xml:space="preserve"> for individuals, HUFs, AOPs, BOIs and artificial juridical persons. Slabs for Tax Year 2026-27 (unchanged by Budget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Total income (Rs.)</w:t>
            </w:r>
          </w:p>
        </w:tc>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4,00,000</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4,00,001 to 8,00,000</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8,00,001 to 12,00,000</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12,00,001 to 16,00,000</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16,00,001 to 20,00,000</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20,00,001 to 24,00,000</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24,00,000</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r>
    </w:tbl>
    <w:p>
      <w:pPr>
        <w:spacing w:after="60"/>
      </w:pPr>
    </w:p>
    <w:p>
      <w:pPr>
        <w:pStyle w:val="Heading2"/>
        <w:keepNext/>
        <w:spacing w:after="120" w:before="240"/>
      </w:pPr>
      <w:r>
        <w:rPr>
          <w:rFonts w:ascii="Verdana" w:cs="Verdana" w:eastAsia="Verdana" w:hAnsi="Verdana"/>
        </w:rPr>
        <w:t xml:space="preserve">17.2 Old regime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Total income (Rs.)</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Below 60</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60 to 79</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80 and above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2,50,000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2,50,001 to 3,00,000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3,00,001 to 5,00,000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5,00,001 to 10,00,000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10,00,000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r>
    </w:tbl>
    <w:p>
      <w:pPr>
        <w:spacing w:after="60"/>
      </w:pPr>
    </w:p>
    <w:p>
      <w:pPr>
        <w:pStyle w:val="Heading2"/>
        <w:keepNext/>
        <w:spacing w:after="120" w:before="240"/>
      </w:pPr>
      <w:r>
        <w:rPr>
          <w:rFonts w:ascii="Verdana" w:cs="Verdana" w:eastAsia="Verdana" w:hAnsi="Verdana"/>
        </w:rPr>
        <w:t xml:space="preserve">17.3 Switching between regimes</w:t>
      </w:r>
    </w:p>
    <w:p>
      <w:pPr>
        <w:pStyle w:val="ListParagraph"/>
        <w:numPr>
          <w:ilvl w:val="0"/>
          <w:numId w:val="2"/>
        </w:numPr>
        <w:spacing w:after="60" w:line="264"/>
      </w:pPr>
      <w:r>
        <w:rPr>
          <w:rFonts w:ascii="Verdana" w:cs="Verdana" w:eastAsia="Verdana" w:hAnsi="Verdana"/>
          <w:b/>
          <w:bCs/>
        </w:rPr>
        <w:t xml:space="preserve">No business income:</w:t>
      </w:r>
      <w:r>
        <w:rPr>
          <w:rFonts w:ascii="Verdana" w:cs="Verdana" w:eastAsia="Verdana" w:hAnsi="Verdana"/>
        </w:rPr>
        <w:t xml:space="preserve"> choose each year in the return itself, by the due date.</w:t>
      </w:r>
    </w:p>
    <w:p>
      <w:pPr>
        <w:pStyle w:val="ListParagraph"/>
        <w:numPr>
          <w:ilvl w:val="0"/>
          <w:numId w:val="2"/>
        </w:numPr>
        <w:spacing w:after="60" w:line="264"/>
      </w:pPr>
      <w:r>
        <w:rPr>
          <w:rFonts w:ascii="Verdana" w:cs="Verdana" w:eastAsia="Verdana" w:hAnsi="Verdana"/>
          <w:b/>
          <w:bCs/>
        </w:rPr>
        <w:t xml:space="preserve">With business or professional income:</w:t>
      </w:r>
      <w:r>
        <w:rPr>
          <w:rFonts w:ascii="Verdana" w:cs="Verdana" w:eastAsia="Verdana" w:hAnsi="Verdana"/>
        </w:rPr>
        <w:t xml:space="preserve"> opting out of the new regime needs a form before the due date. Such a person can come back to the new regime only once.</w:t>
      </w:r>
    </w:p>
    <w:p>
      <w:pPr>
        <w:pStyle w:val="Heading2"/>
        <w:keepNext/>
        <w:spacing w:after="120" w:before="240"/>
      </w:pPr>
      <w:r>
        <w:rPr>
          <w:rFonts w:ascii="Verdana" w:cs="Verdana" w:eastAsia="Verdana" w:hAnsi="Verdana"/>
        </w:rPr>
        <w:t xml:space="preserve">17.4 Rebate (section 156, old 87A) and marginal relief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500"/>
        <w:gridCol w:w="25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Regime</w:t>
            </w:r>
          </w:p>
        </w:tc>
        <w:tc>
          <w:tcPr>
            <w:tcW w:type="dxa" w:w="35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Income limit</w:t>
            </w:r>
          </w:p>
        </w:tc>
        <w:tc>
          <w:tcPr>
            <w:tcW w:type="dxa" w:w="25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Maximum rebate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regime (resident individual)</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Total income up to Rs. 12,00,000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60,000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regime (resident individual)</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Total income up to Rs. 5,00,000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12,500</w:t>
            </w:r>
          </w:p>
        </w:tc>
      </w:tr>
    </w:tbl>
    <w:p>
      <w:pPr>
        <w:spacing w:after="60"/>
      </w:pPr>
    </w:p>
    <w:p>
      <w:pPr>
        <w:spacing w:after="120" w:line="276"/>
        <w:jc w:val="both"/>
      </w:pPr>
      <w:r>
        <w:rPr>
          <w:rFonts w:ascii="Verdana" w:cs="Verdana" w:eastAsia="Verdana" w:hAnsi="Verdana"/>
        </w:rPr>
        <w:t xml:space="preserve">In the new regime, if income is slightly above Rs. 12 lakh, tax cannot exceed the income above Rs. 12 lakh.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87: Marginal relief</w:t>
            </w:r>
          </w:p>
          <w:p>
            <w:pPr>
              <w:spacing w:after="60" w:line="260"/>
            </w:pPr>
            <w:r>
              <w:rPr>
                <w:rFonts w:ascii="Verdana" w:cs="Verdana" w:eastAsia="Verdana" w:hAnsi="Verdana"/>
                <w:sz w:val="20"/>
                <w:szCs w:val="20"/>
              </w:rPr>
              <w:t xml:space="preserve">Total income Rs. 12,10,000. Normal tax = 20,000 + 40,000 + 1,500 = Rs. 61,500. Income above Rs. 12 lakh = Rs. 10,000. Tax limited to </w:t>
            </w:r>
            <w:r>
              <w:rPr>
                <w:rFonts w:ascii="Verdana" w:cs="Verdana" w:eastAsia="Verdana" w:hAnsi="Verdana"/>
                <w:b/>
                <w:bCs/>
                <w:sz w:val="20"/>
                <w:szCs w:val="20"/>
              </w:rPr>
              <w:t xml:space="preserve">Rs. 10,000</w:t>
            </w:r>
            <w:r>
              <w:rPr>
                <w:rFonts w:ascii="Verdana" w:cs="Verdana" w:eastAsia="Verdana" w:hAnsi="Verdana"/>
                <w:sz w:val="20"/>
                <w:szCs w:val="20"/>
              </w:rPr>
              <w:t xml:space="preserve"> plus cess Rs. 400 = Rs. 10,400.</w:t>
            </w:r>
          </w:p>
        </w:tc>
      </w:tr>
    </w:tbl>
    <w:p>
      <w:pPr>
        <w:spacing w:after="60"/>
      </w:pPr>
    </w:p>
    <w:p>
      <w:pPr>
        <w:pStyle w:val="Heading2"/>
        <w:keepNext/>
        <w:spacing w:after="120" w:before="240"/>
      </w:pPr>
      <w:r>
        <w:rPr>
          <w:rFonts w:ascii="Verdana" w:cs="Verdana" w:eastAsia="Verdana" w:hAnsi="Verdana"/>
        </w:rPr>
        <w:t xml:space="preserve">17.5 Surcharge and 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Total income</w:t>
            </w:r>
          </w:p>
        </w:tc>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Surcharge (individuals, HUF)</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50 lakh up to Rs. 1 crore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1 crore up to Rs. 2 crore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2 crore up to Rs. 5 crore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5 crore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 (old regime); capped at 25% in new regime</w:t>
            </w:r>
          </w:p>
        </w:tc>
      </w:tr>
    </w:tbl>
    <w:p>
      <w:pPr>
        <w:spacing w:after="60"/>
      </w:pPr>
    </w:p>
    <w:p>
      <w:pPr>
        <w:spacing w:after="120" w:line="276"/>
        <w:jc w:val="both"/>
      </w:pPr>
      <w:r>
        <w:rPr>
          <w:rFonts w:ascii="Verdana" w:cs="Verdana" w:eastAsia="Verdana" w:hAnsi="Verdana"/>
        </w:rPr>
        <w:t xml:space="preserve">Surcharge on dividends and on capital gains under sections 196, 197 and 198 is capped at 15%. Cess of 4% applies on tax plus surcharge. Marginal relief applies at each surcharge threshold.</w:t>
      </w:r>
    </w:p>
    <w:p>
      <w:pPr>
        <w:pStyle w:val="Heading2"/>
        <w:keepNext/>
        <w:spacing w:after="120" w:before="240"/>
      </w:pPr>
      <w:r>
        <w:rPr>
          <w:rFonts w:ascii="Verdana" w:cs="Verdana" w:eastAsia="Verdana" w:hAnsi="Verdana"/>
        </w:rPr>
        <w:t xml:space="preserve">17.6 Old or new regime: where is the breakeven?</w:t>
      </w:r>
    </w:p>
    <w:p>
      <w:pPr>
        <w:spacing w:after="120" w:line="276"/>
        <w:jc w:val="both"/>
      </w:pPr>
      <w:r>
        <w:rPr>
          <w:rFonts w:ascii="Verdana" w:cs="Verdana" w:eastAsia="Verdana" w:hAnsi="Verdana"/>
        </w:rPr>
        <w:t xml:space="preserve">For a salaried individual, the new regime gives a larger standard deduction and lower rates, while the old regime gives exemptions and deductions. The table shows, for different salary levels, the total exemptions and deductions (over and above the Rs. 50,000 standard deduction) that would be needed in the old regime to pay the same tax as in the new regime. If the actual deductions are lower, the new regime is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cantSplit/>
          <w:tblHeader/>
        </w:trPr>
        <w:tc>
          <w:tcPr>
            <w:tcW w:type="dxa" w:w="2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Gross salary (Rs.)</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in new regime (with cess)</w:t>
            </w:r>
          </w:p>
        </w:tc>
        <w:tc>
          <w:tcPr>
            <w:tcW w:type="dxa" w:w="3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Deductions needed in old regime to break even</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10,00,000</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4,50,000</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12,75,000</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7,25,000</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15,00,000</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97,500</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5,43,750</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20,00,000</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1,92,400</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7,08,333</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25,00,000 and above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3,19,800 at 25 lakh</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8,00,000 (constant above Rs. 24.75 lakh)</w:t>
            </w:r>
          </w:p>
        </w:tc>
      </w:tr>
    </w:tbl>
    <w:p>
      <w:pPr>
        <w:spacing w:after="60"/>
      </w:pPr>
    </w:p>
    <w:p>
      <w:pPr>
        <w:spacing w:after="120" w:line="276"/>
        <w:jc w:val="both"/>
      </w:pPr>
      <w:r>
        <w:rPr>
          <w:rFonts w:ascii="Verdana" w:cs="Verdana" w:eastAsia="Verdana" w:hAnsi="Verdana"/>
        </w:rPr>
        <w:t xml:space="preserve">Very few taxpayers have deductions of Rs. 5 to 8 lakh, which is why the new regime suits most people. Those who pay high-rent in the eight metros, have a large home loan on a let out or self-occupied house, and invest the full Rs. 2 lakh in sections 123 and 124, may still benefit from the old regime.</w:t>
      </w:r>
    </w:p>
    <w:p>
      <w:pPr>
        <w:pStyle w:val="Heading2"/>
        <w:keepNext/>
        <w:spacing w:after="120" w:before="240"/>
      </w:pPr>
      <w:r>
        <w:rPr>
          <w:rFonts w:ascii="Verdana" w:cs="Verdana" w:eastAsia="Verdana" w:hAnsi="Verdana"/>
        </w:rPr>
        <w:t xml:space="preserve">17.7 Marginal relief on surcharge</w:t>
      </w:r>
    </w:p>
    <w:p>
      <w:pPr>
        <w:spacing w:after="120" w:line="276"/>
        <w:jc w:val="both"/>
      </w:pPr>
      <w:r>
        <w:rPr>
          <w:rFonts w:ascii="Verdana" w:cs="Verdana" w:eastAsia="Verdana" w:hAnsi="Verdana"/>
        </w:rPr>
        <w:t xml:space="preserve">Where income slightly exceeds a surcharge threshold, the extra tax (including surcharge) cannot exceed the income above the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88: Marginal relief at Rs. 50 lakh</w:t>
            </w:r>
          </w:p>
          <w:p>
            <w:pPr>
              <w:spacing w:after="60" w:line="260"/>
            </w:pPr>
            <w:r>
              <w:rPr>
                <w:rFonts w:ascii="Verdana" w:cs="Verdana" w:eastAsia="Verdana" w:hAnsi="Verdana"/>
                <w:sz w:val="20"/>
                <w:szCs w:val="20"/>
              </w:rPr>
              <w:t xml:space="preserve">Total income (new regime) = Rs. 50,50,000. Tax on the first Rs. 24 lakh = 20,000 + 40,000 + 60,000 + 80,000 + 1,00,000 = Rs. 3,00,000. Tax on the balance Rs. 26,50,000 at 30% = Rs. 7,95,000. Tax = Rs. 10,95,000. Surcharge at 10% = Rs. 1,09,500. Total before relief = Rs. 12,04,500.</w:t>
            </w:r>
          </w:p>
          <w:p>
            <w:pPr>
              <w:spacing w:after="60" w:line="260"/>
            </w:pPr>
            <w:r>
              <w:rPr>
                <w:rFonts w:ascii="Verdana" w:cs="Verdana" w:eastAsia="Verdana" w:hAnsi="Verdana"/>
                <w:sz w:val="20"/>
                <w:szCs w:val="20"/>
              </w:rPr>
              <w:t xml:space="preserve">Tax on exactly Rs. 50,00,000 = 3,00,000 + 30% of 26,00,000 = Rs. 10,80,000, with no surcharge. Income above Rs. 50 lakh = Rs. 50,000. Tax cannot exceed 10,80,000 + 50,000 = Rs. 11,30,000.</w:t>
            </w:r>
          </w:p>
          <w:p>
            <w:pPr>
              <w:spacing w:after="60" w:line="260"/>
            </w:pPr>
            <w:r>
              <w:rPr>
                <w:rFonts w:ascii="Verdana" w:cs="Verdana" w:eastAsia="Verdana" w:hAnsi="Verdana"/>
                <w:sz w:val="20"/>
                <w:szCs w:val="20"/>
              </w:rPr>
              <w:t xml:space="preserve">Marginal relief = 12,04,500 less 11,30,000 = </w:t>
            </w:r>
            <w:r>
              <w:rPr>
                <w:rFonts w:ascii="Verdana" w:cs="Verdana" w:eastAsia="Verdana" w:hAnsi="Verdana"/>
                <w:b/>
                <w:bCs/>
                <w:sz w:val="20"/>
                <w:szCs w:val="20"/>
              </w:rPr>
              <w:t xml:space="preserve">Rs. 74,500</w:t>
            </w:r>
            <w:r>
              <w:rPr>
                <w:rFonts w:ascii="Verdana" w:cs="Verdana" w:eastAsia="Verdana" w:hAnsi="Verdana"/>
                <w:sz w:val="20"/>
                <w:szCs w:val="20"/>
              </w:rPr>
              <w:t xml:space="preserve">. Tax payable = Rs. 11,30,000 plus cess.</w:t>
            </w:r>
          </w:p>
        </w:tc>
      </w:tr>
    </w:tbl>
    <w:p>
      <w:pPr>
        <w:spacing w:after="60"/>
      </w:pPr>
    </w:p>
    <w:p>
      <w:pPr>
        <w:pStyle w:val="Heading2"/>
        <w:keepNext/>
        <w:spacing w:after="120" w:before="240"/>
      </w:pPr>
      <w:r>
        <w:rPr>
          <w:rFonts w:ascii="Verdana" w:cs="Verdana" w:eastAsia="Verdana" w:hAnsi="Verdana"/>
        </w:rPr>
        <w:t xml:space="preserve">17.8 Senior and super senior citizens</w:t>
      </w:r>
    </w:p>
    <w:p>
      <w:pPr>
        <w:pStyle w:val="ListParagraph"/>
        <w:numPr>
          <w:ilvl w:val="0"/>
          <w:numId w:val="2"/>
        </w:numPr>
        <w:spacing w:after="60" w:line="264"/>
      </w:pPr>
      <w:r>
        <w:rPr>
          <w:rFonts w:ascii="Verdana" w:cs="Verdana" w:eastAsia="Verdana" w:hAnsi="Verdana"/>
        </w:rPr>
        <w:t xml:space="preserve">Old regime: higher basic exemption (Rs. 3 lakh at 60, Rs. 5 lakh at 80); section 153 deduction of Rs. 50,000 on interest (old 80TTB); section 126 limit of Rs. 50,000.</w:t>
      </w:r>
    </w:p>
    <w:p>
      <w:pPr>
        <w:pStyle w:val="ListParagraph"/>
        <w:numPr>
          <w:ilvl w:val="0"/>
          <w:numId w:val="2"/>
        </w:numPr>
        <w:spacing w:after="60" w:line="264"/>
      </w:pPr>
      <w:r>
        <w:rPr>
          <w:rFonts w:ascii="Verdana" w:cs="Verdana" w:eastAsia="Verdana" w:hAnsi="Verdana"/>
        </w:rPr>
        <w:t xml:space="preserve">New regime: same slabs as others, but the Rs. 12 lakh rebate makes most pensioners tax-free.</w:t>
      </w:r>
    </w:p>
    <w:p>
      <w:pPr>
        <w:pStyle w:val="ListParagraph"/>
        <w:numPr>
          <w:ilvl w:val="0"/>
          <w:numId w:val="2"/>
        </w:numPr>
        <w:spacing w:after="60" w:line="264"/>
      </w:pPr>
      <w:r>
        <w:rPr>
          <w:rFonts w:ascii="Verdana" w:cs="Verdana" w:eastAsia="Verdana" w:hAnsi="Verdana"/>
        </w:rPr>
        <w:t xml:space="preserve">A resident senior citizen aged 75 or more with only pension and interest from the same specified bank can furnish a declaration to the bank, which computes and deducts tax; such a person need not file a return.</w:t>
      </w:r>
    </w:p>
    <w:p>
      <w:pPr>
        <w:pStyle w:val="ListParagraph"/>
        <w:numPr>
          <w:ilvl w:val="0"/>
          <w:numId w:val="2"/>
        </w:numPr>
        <w:spacing w:after="60" w:line="264"/>
      </w:pPr>
      <w:r>
        <w:rPr>
          <w:rFonts w:ascii="Verdana" w:cs="Verdana" w:eastAsia="Verdana" w:hAnsi="Verdana"/>
        </w:rPr>
        <w:t xml:space="preserve">No advance tax for resident senior citizens without business income.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New regime slabs from Rs. 4 lakh; rebate makes income up to Rs. 12 lakh tax-free for residents.</w:t>
            </w:r>
          </w:p>
          <w:p>
            <w:pPr>
              <w:spacing w:after="60" w:line="260"/>
            </w:pPr>
            <w:r>
              <w:rPr>
                <w:rFonts w:ascii="Verdana" w:cs="Verdana" w:eastAsia="Verdana" w:hAnsi="Verdana"/>
                <w:sz w:val="20"/>
                <w:szCs w:val="20"/>
              </w:rPr>
              <w:t xml:space="preserve">•  Breakeven deductions for the old regime range from about Rs. 4.5 lakh to Rs. 8 lakh depending on salary.</w:t>
            </w:r>
          </w:p>
          <w:p>
            <w:pPr>
              <w:spacing w:after="60" w:line="260"/>
            </w:pPr>
            <w:r>
              <w:rPr>
                <w:rFonts w:ascii="Verdana" w:cs="Verdana" w:eastAsia="Verdana" w:hAnsi="Verdana"/>
                <w:sz w:val="20"/>
                <w:szCs w:val="20"/>
              </w:rPr>
              <w:t xml:space="preserve">•  Marginal relief applies at the rebate and surcharge thresholds.</w:t>
            </w:r>
          </w:p>
        </w:tc>
      </w:tr>
    </w:tbl>
    <w:p>
      <w:pPr>
        <w:pStyle w:val="Heading1"/>
        <w:pageBreakBefore/>
        <w:spacing w:after="200" w:before="0"/>
      </w:pPr>
      <w:r>
        <w:rPr>
          <w:rFonts w:ascii="Verdana" w:cs="Verdana" w:eastAsia="Verdana" w:hAnsi="Verdana"/>
        </w:rPr>
        <w:t xml:space="preserve">18. Tax Planning for Individuals and Families</w:t>
      </w:r>
    </w:p>
    <w:p>
      <w:pPr>
        <w:spacing w:after="120" w:line="276"/>
        <w:jc w:val="both"/>
      </w:pPr>
      <w:r>
        <w:rPr>
          <w:rFonts w:ascii="Verdana" w:cs="Verdana" w:eastAsia="Verdana" w:hAnsi="Verdana"/>
        </w:rPr>
        <w:t xml:space="preserve">Tax planning means arranging affairs, within the law, so that the tax is lower. It differs from tax evasion (concealing income or inflating expenses, which is a crime) and from impermissible avoidance (arrangements without commercial substance, caught by GAAR and specific rules). The ideas below are all lawful when implemented with genuine documentation.</w:t>
      </w:r>
    </w:p>
    <w:p>
      <w:pPr>
        <w:pStyle w:val="Heading2"/>
        <w:keepNext/>
        <w:spacing w:after="120" w:before="240"/>
      </w:pPr>
      <w:r>
        <w:rPr>
          <w:rFonts w:ascii="Verdana" w:cs="Verdana" w:eastAsia="Verdana" w:hAnsi="Verdana"/>
        </w:rPr>
        <w:t xml:space="preserve">18.1 Planning ideas for salaried individuals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4000"/>
        <w:gridCol w:w="3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Idea</w:t>
            </w:r>
          </w:p>
        </w:tc>
        <w:tc>
          <w:tcPr>
            <w:tcW w:type="dxa" w:w="4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How it works</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Watch out for</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Choose the regime each year</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Compute tax under both regimes after listing actual exemptions and deductions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Tell the employer at the start of the year to get TDS right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NPS contribution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14% of salary is deductible even in the new regime; it restructures taxable salary into retirement savings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Rs. 7.5 lakh aggregate cap on employer contributions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Use the updated allowance limits (old regime)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Children education and hostel allowances, meal vouchers and gifts within limits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Keep proof of expenditure where required</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Leased car or car perquisite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Perquisite value is fixed and often lower than the cost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Engine capacity and personal use rules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Home loan with let out property (old regime)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fully deductible under house property; loss set off up to Rs. 2 lakh; balance carried forward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useful in the new regime</w:t>
            </w:r>
          </w:p>
        </w:tc>
      </w:tr>
    </w:tbl>
    <w:p>
      <w:pPr>
        <w:spacing w:after="60"/>
      </w:pPr>
    </w:p>
    <w:p>
      <w:pPr>
        <w:pStyle w:val="Heading2"/>
        <w:keepNext/>
        <w:spacing w:after="120" w:before="240"/>
      </w:pPr>
      <w:r>
        <w:rPr>
          <w:rFonts w:ascii="Verdana" w:cs="Verdana" w:eastAsia="Verdana" w:hAnsi="Verdana"/>
        </w:rPr>
        <w:t xml:space="preserve">18.2 Planning ideas for families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4000"/>
        <w:gridCol w:w="3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Idea</w:t>
            </w:r>
          </w:p>
        </w:tc>
        <w:tc>
          <w:tcPr>
            <w:tcW w:type="dxa" w:w="4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How it works</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Watch out for</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Gifts to parents or adult children with low-income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Gift is exempt (relative), and income from the gifted money is taxed in the recipient's hands (no clubbing for parents or adult children)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Clubbing applies for spouse, son's wife and minor children</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HUF as a separate taxpayer</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Ancestral or inherited property income taxed in the HUF, with its own exemption limit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Conversions by members are clubbed</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Senior citizens' investments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Seniors get higher deductions (old regime) and the Rs. 12 lakh rebate (new regime); Form 121 avoids TDS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Seniors aged 75 plus with only pension and interest have simpler compliance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harvesting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Use the Rs. 1.25 lakh section 198 exemption each year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Genuine transactions on the exchange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Spread investments across family members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Each person gets the Rs. 1.25 lakh equity LTCG exemption and slab benefits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Source of funds must be the member's own or a genuine non-clubbed gift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89: Gift to parents</w:t>
            </w:r>
          </w:p>
          <w:p>
            <w:pPr>
              <w:spacing w:after="60" w:line="260"/>
            </w:pPr>
            <w:r>
              <w:rPr>
                <w:rFonts w:ascii="Verdana" w:cs="Verdana" w:eastAsia="Verdana" w:hAnsi="Verdana"/>
                <w:sz w:val="20"/>
                <w:szCs w:val="20"/>
              </w:rPr>
              <w:t xml:space="preserve">Sanjay (30% slab) gifts Rs. 20 lakh to his retired father, who has pension of Rs. 5 lakh. The father invests it in an FD at 7%, earning Rs. 1,40,000 a year. The gift is exempt, and the interest is not clubbed with Sanjay's income. In the father's hands, total income of about Rs. 6 lakh attracts no tax under the new regime (rebate). Had Sanjay kept the FD, tax would be Rs. 1,40,000 x 31.2% = </w:t>
            </w:r>
            <w:r>
              <w:rPr>
                <w:rFonts w:ascii="Verdana" w:cs="Verdana" w:eastAsia="Verdana" w:hAnsi="Verdana"/>
                <w:b/>
                <w:bCs/>
                <w:sz w:val="20"/>
                <w:szCs w:val="20"/>
              </w:rPr>
              <w:t xml:space="preserve">Rs. 43,680</w:t>
            </w:r>
            <w:r>
              <w:rPr>
                <w:rFonts w:ascii="Verdana" w:cs="Verdana" w:eastAsia="Verdana" w:hAnsi="Verdana"/>
                <w:sz w:val="20"/>
                <w:szCs w:val="20"/>
              </w:rPr>
              <w:t xml:space="preserve"> a year. The saving is lawful, provided the gift is genuine (bank transfer, gift deed) and the money belongs to the father thereafter.</w:t>
            </w:r>
          </w:p>
        </w:tc>
      </w:tr>
    </w:tbl>
    <w:p>
      <w:pPr>
        <w:spacing w:after="60"/>
      </w:pPr>
    </w:p>
    <w:p>
      <w:pPr>
        <w:pStyle w:val="Heading2"/>
        <w:keepNext/>
        <w:spacing w:after="120" w:before="240"/>
      </w:pPr>
      <w:r>
        <w:rPr>
          <w:rFonts w:ascii="Verdana" w:cs="Verdana" w:eastAsia="Verdana" w:hAnsi="Verdana"/>
        </w:rPr>
        <w:t xml:space="preserve">18.3 Planning ideas for business owners</w:t>
      </w:r>
    </w:p>
    <w:p>
      <w:pPr>
        <w:pStyle w:val="ListParagraph"/>
        <w:numPr>
          <w:ilvl w:val="0"/>
          <w:numId w:val="2"/>
        </w:numPr>
        <w:spacing w:after="60" w:line="264"/>
      </w:pPr>
      <w:r>
        <w:rPr>
          <w:rFonts w:ascii="Verdana" w:cs="Verdana" w:eastAsia="Verdana" w:hAnsi="Verdana"/>
          <w:b/>
          <w:bCs/>
        </w:rPr>
        <w:t xml:space="preserve">Presumptive schemes</w:t>
      </w:r>
      <w:r>
        <w:rPr>
          <w:rFonts w:ascii="Verdana" w:cs="Verdana" w:eastAsia="Verdana" w:hAnsi="Verdana"/>
        </w:rPr>
        <w:t xml:space="preserve"> for small businesses and professionals, where actual profits are higher than the presumptive rate and record keeping costs are high.</w:t>
      </w:r>
    </w:p>
    <w:p>
      <w:pPr>
        <w:pStyle w:val="ListParagraph"/>
        <w:numPr>
          <w:ilvl w:val="0"/>
          <w:numId w:val="2"/>
        </w:numPr>
        <w:spacing w:after="60" w:line="264"/>
      </w:pPr>
      <w:r>
        <w:rPr>
          <w:rFonts w:ascii="Verdana" w:cs="Verdana" w:eastAsia="Verdana" w:hAnsi="Verdana"/>
          <w:b/>
          <w:bCs/>
        </w:rPr>
        <w:t xml:space="preserve">Choice of entity:</w:t>
      </w:r>
      <w:r>
        <w:rPr>
          <w:rFonts w:ascii="Verdana" w:cs="Verdana" w:eastAsia="Verdana" w:hAnsi="Verdana"/>
        </w:rPr>
        <w:t xml:space="preserve"> proprietorship, firm, LLP or company, compared on tax rate, remuneration deductibility, dividend taxation, compliance cost and exit taxation.</w:t>
      </w:r>
    </w:p>
    <w:p>
      <w:pPr>
        <w:pStyle w:val="ListParagraph"/>
        <w:numPr>
          <w:ilvl w:val="0"/>
          <w:numId w:val="2"/>
        </w:numPr>
        <w:spacing w:after="60" w:line="264"/>
      </w:pPr>
      <w:r>
        <w:rPr>
          <w:rFonts w:ascii="Verdana" w:cs="Verdana" w:eastAsia="Verdana" w:hAnsi="Verdana"/>
          <w:b/>
          <w:bCs/>
        </w:rPr>
        <w:t xml:space="preserve">Remuneration to working partners</w:t>
      </w:r>
      <w:r>
        <w:rPr>
          <w:rFonts w:ascii="Verdana" w:cs="Verdana" w:eastAsia="Verdana" w:hAnsi="Verdana"/>
        </w:rPr>
        <w:t xml:space="preserve"> within section 35 limits, taxed at the partner's slab rate rather than the firm's 30%.</w:t>
      </w:r>
    </w:p>
    <w:p>
      <w:pPr>
        <w:pStyle w:val="ListParagraph"/>
        <w:numPr>
          <w:ilvl w:val="0"/>
          <w:numId w:val="2"/>
        </w:numPr>
        <w:spacing w:after="60" w:line="264"/>
      </w:pPr>
      <w:r>
        <w:rPr>
          <w:rFonts w:ascii="Verdana" w:cs="Verdana" w:eastAsia="Verdana" w:hAnsi="Verdana"/>
          <w:b/>
          <w:bCs/>
        </w:rPr>
        <w:t xml:space="preserve">Section 200 for companies</w:t>
      </w:r>
      <w:r>
        <w:rPr>
          <w:rFonts w:ascii="Verdana" w:cs="Verdana" w:eastAsia="Verdana" w:hAnsi="Verdana"/>
        </w:rPr>
        <w:t xml:space="preserve">, once incentives run out.</w:t>
      </w:r>
    </w:p>
    <w:p>
      <w:pPr>
        <w:pStyle w:val="ListParagraph"/>
        <w:numPr>
          <w:ilvl w:val="0"/>
          <w:numId w:val="2"/>
        </w:numPr>
        <w:spacing w:after="60" w:line="264"/>
      </w:pPr>
      <w:r>
        <w:rPr>
          <w:rFonts w:ascii="Verdana" w:cs="Verdana" w:eastAsia="Verdana" w:hAnsi="Verdana"/>
          <w:b/>
          <w:bCs/>
        </w:rPr>
        <w:t xml:space="preserve">Timing:</w:t>
      </w:r>
      <w:r>
        <w:rPr>
          <w:rFonts w:ascii="Verdana" w:cs="Verdana" w:eastAsia="Verdana" w:hAnsi="Verdana"/>
        </w:rPr>
        <w:t xml:space="preserve"> capital expenditure before the 180 day cut off (1 October) for full year depreciation, and payment of statutory dues and MSME dues in time.</w:t>
      </w:r>
    </w:p>
    <w:p>
      <w:pPr>
        <w:pStyle w:val="ListParagraph"/>
        <w:numPr>
          <w:ilvl w:val="0"/>
          <w:numId w:val="2"/>
        </w:numPr>
        <w:spacing w:after="60" w:line="264"/>
      </w:pPr>
      <w:r>
        <w:rPr>
          <w:rFonts w:ascii="Verdana" w:cs="Verdana" w:eastAsia="Verdana" w:hAnsi="Verdana"/>
          <w:b/>
          <w:bCs/>
        </w:rPr>
        <w:t xml:space="preserve">Section 146</w:t>
      </w:r>
      <w:r>
        <w:rPr>
          <w:rFonts w:ascii="Verdana" w:cs="Verdana" w:eastAsia="Verdana" w:hAnsi="Verdana"/>
        </w:rPr>
        <w:t xml:space="preserve"> deduction for additional employment, available even in the concessional regimes.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90: Proprietorship vs company</w:t>
            </w:r>
          </w:p>
          <w:p>
            <w:pPr>
              <w:spacing w:after="60" w:line="260"/>
            </w:pPr>
            <w:r>
              <w:rPr>
                <w:rFonts w:ascii="Verdana" w:cs="Verdana" w:eastAsia="Verdana" w:hAnsi="Verdana"/>
                <w:sz w:val="20"/>
                <w:szCs w:val="20"/>
              </w:rPr>
              <w:t xml:space="preserve">A consultant earns Rs. 60 lakh profit. As a proprietor (new regime), tax = Rs. 3,00,000 on the first Rs. 24 lakh plus 30% of Rs. 36 lakh = Rs. 13,80,000; with 10% surcharge and 4% cess, about </w:t>
            </w:r>
            <w:r>
              <w:rPr>
                <w:rFonts w:ascii="Verdana" w:cs="Verdana" w:eastAsia="Verdana" w:hAnsi="Verdana"/>
                <w:b/>
                <w:bCs/>
                <w:sz w:val="20"/>
                <w:szCs w:val="20"/>
              </w:rPr>
              <w:t xml:space="preserve">Rs. 15.79 lakh</w:t>
            </w:r>
            <w:r>
              <w:rPr>
                <w:rFonts w:ascii="Verdana" w:cs="Verdana" w:eastAsia="Verdana" w:hAnsi="Verdana"/>
                <w:sz w:val="20"/>
                <w:szCs w:val="20"/>
              </w:rPr>
              <w:t xml:space="preserve">.</w:t>
            </w:r>
          </w:p>
          <w:p>
            <w:pPr>
              <w:spacing w:after="60" w:line="260"/>
            </w:pPr>
            <w:r>
              <w:rPr>
                <w:rFonts w:ascii="Verdana" w:cs="Verdana" w:eastAsia="Verdana" w:hAnsi="Verdana"/>
                <w:sz w:val="20"/>
                <w:szCs w:val="20"/>
              </w:rPr>
              <w:t xml:space="preserve">Through a company under section 200: if he takes salary of Rs. 24 lakh (tax about Rs. 2.93 lakh after the standard deduction) and the company retains Rs. 36 lakh (tax at 25.168% = about Rs. 9.06 lakh), total tax now is about </w:t>
            </w:r>
            <w:r>
              <w:rPr>
                <w:rFonts w:ascii="Verdana" w:cs="Verdana" w:eastAsia="Verdana" w:hAnsi="Verdana"/>
                <w:b/>
                <w:bCs/>
                <w:sz w:val="20"/>
                <w:szCs w:val="20"/>
              </w:rPr>
              <w:t xml:space="preserve">Rs. 12 lakh</w:t>
            </w:r>
            <w:r>
              <w:rPr>
                <w:rFonts w:ascii="Verdana" w:cs="Verdana" w:eastAsia="Verdana" w:hAnsi="Verdana"/>
                <w:sz w:val="20"/>
                <w:szCs w:val="20"/>
              </w:rPr>
              <w:t xml:space="preserve">. But when the retained profits are later paid out as dividend, further tax at his slab rate arises.</w:t>
            </w:r>
          </w:p>
          <w:p>
            <w:pPr>
              <w:spacing w:after="60" w:line="260"/>
            </w:pPr>
            <w:r>
              <w:rPr>
                <w:rFonts w:ascii="Verdana" w:cs="Verdana" w:eastAsia="Verdana" w:hAnsi="Verdana"/>
                <w:sz w:val="20"/>
                <w:szCs w:val="20"/>
              </w:rPr>
              <w:t xml:space="preserve">The choice depends on how much profit is retained for growth, compliance cost, and the long-term plan. Do the numbers for the full cycle, including dividend or exit tax.</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Do not implement a plan only because it reduces tax this year. Check the full cycle (entry, holding, exit), the commercial reason, documentation and GAAR exposure. A plan that fails on scrutiny often costs more than the tax it was meant to save.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Choose the regime each year; use employer NPS and updated allowance limits.</w:t>
            </w:r>
          </w:p>
          <w:p>
            <w:pPr>
              <w:spacing w:after="60" w:line="260"/>
            </w:pPr>
            <w:r>
              <w:rPr>
                <w:rFonts w:ascii="Verdana" w:cs="Verdana" w:eastAsia="Verdana" w:hAnsi="Verdana"/>
                <w:sz w:val="20"/>
                <w:szCs w:val="20"/>
              </w:rPr>
              <w:t xml:space="preserve">•  Gifts to parents and adult children shift income without clubbing.</w:t>
            </w:r>
          </w:p>
          <w:p>
            <w:pPr>
              <w:spacing w:after="60" w:line="260"/>
            </w:pPr>
            <w:r>
              <w:rPr>
                <w:rFonts w:ascii="Verdana" w:cs="Verdana" w:eastAsia="Verdana" w:hAnsi="Verdana"/>
                <w:sz w:val="20"/>
                <w:szCs w:val="20"/>
              </w:rPr>
              <w:t xml:space="preserve">•  Harvest capital gains within the Rs. 1.25 lakh exemption each year.</w:t>
            </w:r>
          </w:p>
          <w:p>
            <w:pPr>
              <w:spacing w:after="60" w:line="260"/>
            </w:pPr>
            <w:r>
              <w:rPr>
                <w:rFonts w:ascii="Verdana" w:cs="Verdana" w:eastAsia="Verdana" w:hAnsi="Verdana"/>
                <w:sz w:val="20"/>
                <w:szCs w:val="20"/>
              </w:rPr>
              <w:t xml:space="preserve">•  Compare entity forms over the full cycle, not only the current year.</w:t>
            </w:r>
          </w:p>
        </w:tc>
      </w:tr>
    </w:tbl>
    <w:p>
      <w:pPr>
        <w:pStyle w:val="Heading1"/>
        <w:pageBreakBefore/>
        <w:spacing w:after="200" w:before="0"/>
      </w:pPr>
      <w:r>
        <w:rPr>
          <w:rFonts w:ascii="Verdana" w:cs="Verdana" w:eastAsia="Verdana" w:hAnsi="Verdana"/>
        </w:rPr>
        <w:t xml:space="preserve">19. Taxation of Senior Citizens</w:t>
      </w:r>
    </w:p>
    <w:p>
      <w:pPr>
        <w:spacing w:after="120" w:line="276"/>
        <w:jc w:val="both"/>
      </w:pPr>
      <w:r>
        <w:rPr>
          <w:rFonts w:ascii="Verdana" w:cs="Verdana" w:eastAsia="Verdana" w:hAnsi="Verdana"/>
        </w:rPr>
        <w:t xml:space="preserve">Senior citizens (60 years or more) and super senior citizens (80 years or more) have several special provisions. This chapter brings them together so that advisers can review a senior's position quickly.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5600"/>
      </w:tblGrid>
      <w:tr>
        <w:trPr>
          <w:cantSplit/>
          <w:tblHeader/>
        </w:trPr>
        <w:tc>
          <w:tcPr>
            <w:tcW w:type="dxa" w:w="4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Provision</w:t>
            </w:r>
          </w:p>
        </w:tc>
        <w:tc>
          <w:tcPr>
            <w:tcW w:type="dxa" w:w="5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Benefit</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Basic exemption (old regime)</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3 lakh (60 to 79); Rs. 5 lakh (80 and above)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regime</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slabs as others; section 156 rebate makes income up to Rs. 12 lakh tax-free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Standard deduction on pension</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75,000 (new) or Rs. 50,000 (old)</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deduction (old regime, section 153)</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50,000 on interest from banks, co-operative banks and post office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Health insurance (old regime, section 126)</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50,000; medical expenditure allowed if no insurance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diseases (section 128)</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1 lakh</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threshold on bank interest</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1,00,000 per bank per year</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 121 declaration</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TDS if tax on estimated income is nil, even if income exceeds the exemption limit</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tax</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required for residents without business or professional income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Seniors aged 75 plus with only pension and interest from the same bank</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 computes and deducts tax; no need to file a return</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Paper return</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Super senior citizens may file paper returns in specified cases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91: Senior with pension and interest</w:t>
            </w:r>
          </w:p>
          <w:p>
            <w:pPr>
              <w:spacing w:after="60" w:line="260"/>
            </w:pPr>
            <w:r>
              <w:rPr>
                <w:rFonts w:ascii="Verdana" w:cs="Verdana" w:eastAsia="Verdana" w:hAnsi="Verdana"/>
                <w:sz w:val="20"/>
                <w:szCs w:val="20"/>
              </w:rPr>
              <w:t xml:space="preserve">Mrs. Kulkarni, 70, has pension of Rs. 4,80,000 and bank interest of Rs. 5,00,000. New regime: pension less Rs. 75,000 = Rs. 4,05,000; total income Rs. 9,05,000, rebate covers the tax, </w:t>
            </w:r>
            <w:r>
              <w:rPr>
                <w:rFonts w:ascii="Verdana" w:cs="Verdana" w:eastAsia="Verdana" w:hAnsi="Verdana"/>
                <w:b/>
                <w:bCs/>
                <w:sz w:val="20"/>
                <w:szCs w:val="20"/>
              </w:rPr>
              <w:t xml:space="preserve">nil tax</w:t>
            </w:r>
            <w:r>
              <w:rPr>
                <w:rFonts w:ascii="Verdana" w:cs="Verdana" w:eastAsia="Verdana" w:hAnsi="Verdana"/>
                <w:sz w:val="20"/>
                <w:szCs w:val="20"/>
              </w:rPr>
              <w:t xml:space="preserve">. Old regime: pension less Rs. 50,000 = Rs. 4,30,000; interest less Rs. 50,000 = Rs. 4,50,000; total Rs. 8,80,000; tax = Rs. 10,000 + 20% of Rs. 3,80,000 = Rs. 86,000 plus cess. She should stay in the new regime and give Form 121 to her bank to avoid TDS of Rs. 50,000 on the interest.</w:t>
            </w:r>
          </w:p>
        </w:tc>
      </w:tr>
    </w:tbl>
    <w:p>
      <w:pPr>
        <w:spacing w:after="60"/>
      </w:pPr>
    </w:p>
    <w:p>
      <w:pPr>
        <w:pStyle w:val="Heading2"/>
        <w:keepNext/>
        <w:spacing w:after="120" w:before="240"/>
      </w:pPr>
      <w:r>
        <w:rPr>
          <w:rFonts w:ascii="Verdana" w:cs="Verdana" w:eastAsia="Verdana" w:hAnsi="Verdana"/>
        </w:rPr>
        <w:t xml:space="preserve">19.1 Common issues for seniors</w:t>
      </w:r>
    </w:p>
    <w:p>
      <w:pPr>
        <w:pStyle w:val="ListParagraph"/>
        <w:numPr>
          <w:ilvl w:val="0"/>
          <w:numId w:val="2"/>
        </w:numPr>
        <w:spacing w:after="60" w:line="264"/>
      </w:pPr>
      <w:r>
        <w:rPr>
          <w:rFonts w:ascii="Verdana" w:cs="Verdana" w:eastAsia="Verdana" w:hAnsi="Verdana"/>
        </w:rPr>
        <w:t xml:space="preserve">TDS deducted by banks despite nil tax, because Form 121 was not given in April; the refund comes only after filing a return.</w:t>
      </w:r>
    </w:p>
    <w:p>
      <w:pPr>
        <w:pStyle w:val="ListParagraph"/>
        <w:numPr>
          <w:ilvl w:val="0"/>
          <w:numId w:val="2"/>
        </w:numPr>
        <w:spacing w:after="60" w:line="264"/>
      </w:pPr>
      <w:r>
        <w:rPr>
          <w:rFonts w:ascii="Verdana" w:cs="Verdana" w:eastAsia="Verdana" w:hAnsi="Verdana"/>
        </w:rPr>
        <w:t xml:space="preserve">Interest on cumulative deposits reported on accrual in AIS while the senior reports on maturity; choose one method consistently and reconcile.</w:t>
      </w:r>
    </w:p>
    <w:p>
      <w:pPr>
        <w:pStyle w:val="ListParagraph"/>
        <w:numPr>
          <w:ilvl w:val="0"/>
          <w:numId w:val="2"/>
        </w:numPr>
        <w:spacing w:after="60" w:line="264"/>
      </w:pPr>
      <w:r>
        <w:rPr>
          <w:rFonts w:ascii="Verdana" w:cs="Verdana" w:eastAsia="Verdana" w:hAnsi="Verdana"/>
        </w:rPr>
        <w:t xml:space="preserve">Capital gains on sale of the family house, with the indexation option and section 82 or 85 planning (see Case Study 4).</w:t>
      </w:r>
    </w:p>
    <w:p>
      <w:pPr>
        <w:pStyle w:val="ListParagraph"/>
        <w:numPr>
          <w:ilvl w:val="0"/>
          <w:numId w:val="2"/>
        </w:numPr>
        <w:spacing w:after="60" w:line="264"/>
      </w:pPr>
      <w:r>
        <w:rPr>
          <w:rFonts w:ascii="Verdana" w:cs="Verdana" w:eastAsia="Verdana" w:hAnsi="Verdana"/>
        </w:rPr>
        <w:t xml:space="preserve">Gifts from children are exempt (relatives), and the income from gifted money is not clubbed with the child's income.</w:t>
      </w:r>
    </w:p>
    <w:p>
      <w:pPr>
        <w:pStyle w:val="ListParagraph"/>
        <w:numPr>
          <w:ilvl w:val="0"/>
          <w:numId w:val="2"/>
        </w:numPr>
        <w:spacing w:after="60" w:line="264"/>
      </w:pPr>
      <w:r>
        <w:rPr>
          <w:rFonts w:ascii="Verdana" w:cs="Verdana" w:eastAsia="Verdana" w:hAnsi="Verdana"/>
        </w:rPr>
        <w:t xml:space="preserve">Reverse mortgage receipts are not income.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Old regime gives higher exemption and deductions; the new regime rebate often makes seniors tax-free.</w:t>
            </w:r>
          </w:p>
          <w:p>
            <w:pPr>
              <w:spacing w:after="60" w:line="260"/>
            </w:pPr>
            <w:r>
              <w:rPr>
                <w:rFonts w:ascii="Verdana" w:cs="Verdana" w:eastAsia="Verdana" w:hAnsi="Verdana"/>
                <w:sz w:val="20"/>
                <w:szCs w:val="20"/>
              </w:rPr>
              <w:t xml:space="preserve">•  Form 121 prevents unnecessary TDS; no advance tax without business income.</w:t>
            </w:r>
          </w:p>
          <w:p>
            <w:pPr>
              <w:spacing w:after="60" w:line="260"/>
            </w:pPr>
            <w:r>
              <w:rPr>
                <w:rFonts w:ascii="Verdana" w:cs="Verdana" w:eastAsia="Verdana" w:hAnsi="Verdana"/>
                <w:sz w:val="20"/>
                <w:szCs w:val="20"/>
              </w:rPr>
              <w:t xml:space="preserve">•  Seniors aged 75 plus with only pension and interest from one bank need not file.</w:t>
            </w:r>
          </w:p>
        </w:tc>
      </w:tr>
    </w:tbl>
    <w:p>
      <w:pPr>
        <w:pStyle w:val="Heading1"/>
        <w:pageBreakBefore/>
        <w:spacing w:after="200" w:before="0"/>
      </w:pPr>
      <w:r>
        <w:rPr>
          <w:rFonts w:ascii="Verdana" w:cs="Verdana" w:eastAsia="Verdana" w:hAnsi="Verdana"/>
        </w:rPr>
        <w:t xml:space="preserve">20. Retirement and Succession Planning</w:t>
      </w:r>
    </w:p>
    <w:p>
      <w:pPr>
        <w:spacing w:after="120" w:line="276"/>
        <w:jc w:val="both"/>
      </w:pPr>
      <w:r>
        <w:rPr>
          <w:rFonts w:ascii="Verdana" w:cs="Verdana" w:eastAsia="Verdana" w:hAnsi="Verdana"/>
        </w:rPr>
        <w:t xml:space="preserve">Retirement and succession raise questions that combine salary, capital gains, gifts and trust taxation. This chapter brings them together.</w:t>
      </w:r>
    </w:p>
    <w:p>
      <w:pPr>
        <w:pStyle w:val="Heading2"/>
        <w:keepNext/>
        <w:spacing w:after="120" w:before="240"/>
      </w:pPr>
      <w:r>
        <w:rPr>
          <w:rFonts w:ascii="Verdana" w:cs="Verdana" w:eastAsia="Verdana" w:hAnsi="Verdana"/>
        </w:rPr>
        <w:t xml:space="preserve">20.1 Retirement benefits and pension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000"/>
        <w:gridCol w:w="2738"/>
      </w:tblGrid>
      <w:tr>
        <w:trPr>
          <w:cantSplit/>
          <w:tblHeader/>
        </w:trPr>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Product</w:t>
            </w:r>
          </w:p>
        </w:tc>
        <w:tc>
          <w:tcPr>
            <w:tcW w:type="dxa" w:w="2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on contribution</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on accumulation</w:t>
            </w:r>
          </w:p>
        </w:tc>
        <w:tc>
          <w:tcPr>
            <w:tcW w:type="dxa" w:w="27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on withdrawal</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EPF</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share exempt within limits; employee share under section 123 (old regime)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up to limits</w:t>
            </w:r>
          </w:p>
        </w:tc>
        <w:tc>
          <w:tcPr>
            <w:tcW w:type="dxa" w:w="27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after 5 years of service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PPF</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123 (old regime)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c>
          <w:tcPr>
            <w:tcW w:type="dxa" w:w="27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NPS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124: employer (both regimes), own (old regime)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c>
          <w:tcPr>
            <w:tcW w:type="dxa" w:w="27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 lump sum exempt; annuity taxable as income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Superannuation fund</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contribution within the Rs. 7.5 lakh cap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c>
          <w:tcPr>
            <w:tcW w:type="dxa" w:w="27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Commuted portion exempt within limits; pension taxable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Annuity from insurers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123 (old regime) for specified plans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taxed yearly</w:t>
            </w:r>
          </w:p>
        </w:tc>
        <w:tc>
          <w:tcPr>
            <w:tcW w:type="dxa" w:w="27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Annuity taxable</w:t>
            </w:r>
          </w:p>
        </w:tc>
      </w:tr>
    </w:tbl>
    <w:p>
      <w:pPr>
        <w:spacing w:after="60"/>
      </w:pPr>
    </w:p>
    <w:p>
      <w:pPr>
        <w:pStyle w:val="Heading2"/>
        <w:keepNext/>
        <w:spacing w:after="120" w:before="240"/>
      </w:pPr>
      <w:r>
        <w:rPr>
          <w:rFonts w:ascii="Verdana" w:cs="Verdana" w:eastAsia="Verdana" w:hAnsi="Verdana"/>
        </w:rPr>
        <w:t xml:space="preserve">20.2 Reverse mortgage</w:t>
      </w:r>
    </w:p>
    <w:p>
      <w:pPr>
        <w:spacing w:after="120" w:line="276"/>
        <w:jc w:val="both"/>
      </w:pPr>
      <w:r>
        <w:rPr>
          <w:rFonts w:ascii="Verdana" w:cs="Verdana" w:eastAsia="Verdana" w:hAnsi="Verdana"/>
        </w:rPr>
        <w:t xml:space="preserve">A senior citizen who mortgages his house under a notified reverse mortgage scheme receives periodic payments from the bank. These payments are loans, not income, and the mortgage is not a transfer for capital gains. Tax arises only when the house is eventually sold by the bank to recover the loan.</w:t>
      </w:r>
    </w:p>
    <w:p>
      <w:pPr>
        <w:pStyle w:val="Heading2"/>
        <w:keepNext/>
        <w:spacing w:after="120" w:before="240"/>
      </w:pPr>
      <w:r>
        <w:rPr>
          <w:rFonts w:ascii="Verdana" w:cs="Verdana" w:eastAsia="Verdana" w:hAnsi="Verdana"/>
        </w:rPr>
        <w:t xml:space="preserve">20.3 Inheritance and wills</w:t>
      </w:r>
    </w:p>
    <w:p>
      <w:pPr>
        <w:pStyle w:val="ListParagraph"/>
        <w:numPr>
          <w:ilvl w:val="0"/>
          <w:numId w:val="2"/>
        </w:numPr>
        <w:spacing w:after="60" w:line="264"/>
      </w:pPr>
      <w:r>
        <w:rPr>
          <w:rFonts w:ascii="Verdana" w:cs="Verdana" w:eastAsia="Verdana" w:hAnsi="Verdana"/>
        </w:rPr>
        <w:t xml:space="preserve">India has no inheritance or estate duty. Property received under a will or by inheritance is exempt from tax in the recipient's hands.</w:t>
      </w:r>
    </w:p>
    <w:p>
      <w:pPr>
        <w:pStyle w:val="ListParagraph"/>
        <w:numPr>
          <w:ilvl w:val="0"/>
          <w:numId w:val="2"/>
        </w:numPr>
        <w:spacing w:after="60" w:line="264"/>
      </w:pPr>
      <w:r>
        <w:rPr>
          <w:rFonts w:ascii="Verdana" w:cs="Verdana" w:eastAsia="Verdana" w:hAnsi="Verdana"/>
        </w:rPr>
        <w:t xml:space="preserve">The recipient takes the cost and holding period of the previous owner for capital gains.</w:t>
      </w:r>
    </w:p>
    <w:p>
      <w:pPr>
        <w:pStyle w:val="ListParagraph"/>
        <w:numPr>
          <w:ilvl w:val="0"/>
          <w:numId w:val="2"/>
        </w:numPr>
        <w:spacing w:after="60" w:line="264"/>
      </w:pPr>
      <w:r>
        <w:rPr>
          <w:rFonts w:ascii="Verdana" w:cs="Verdana" w:eastAsia="Verdana" w:hAnsi="Verdana"/>
        </w:rPr>
        <w:t xml:space="preserve">Income from inherited assets is taxed in the recipient's hands from the date of inheritance; income up to the date of death is taxed in the hands of the legal representative in the deceased's return.</w:t>
      </w:r>
    </w:p>
    <w:p>
      <w:pPr>
        <w:pStyle w:val="ListParagraph"/>
        <w:numPr>
          <w:ilvl w:val="0"/>
          <w:numId w:val="2"/>
        </w:numPr>
        <w:spacing w:after="60" w:line="264"/>
      </w:pPr>
      <w:r>
        <w:rPr>
          <w:rFonts w:ascii="Verdana" w:cs="Verdana" w:eastAsia="Verdana" w:hAnsi="Verdana"/>
        </w:rPr>
        <w:t xml:space="preserve">The legal heir must file the return of the deceased for the year of death (and earlier years if pending), after registering as legal heir on the portal.</w:t>
      </w:r>
    </w:p>
    <w:p>
      <w:pPr>
        <w:pStyle w:val="Heading2"/>
        <w:keepNext/>
        <w:spacing w:after="120" w:before="240"/>
      </w:pPr>
      <w:r>
        <w:rPr>
          <w:rFonts w:ascii="Verdana" w:cs="Verdana" w:eastAsia="Verdana" w:hAnsi="Verdana"/>
        </w:rPr>
        <w:t xml:space="preserve">20.4 Private trusts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5600"/>
      </w:tblGrid>
      <w:tr>
        <w:trPr>
          <w:cantSplit/>
          <w:tblHeader/>
        </w:trPr>
        <w:tc>
          <w:tcPr>
            <w:tcW w:type="dxa" w:w="4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Type of trust</w:t>
            </w:r>
          </w:p>
        </w:tc>
        <w:tc>
          <w:tcPr>
            <w:tcW w:type="dxa" w:w="5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Taxation</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Specific (determinate) trust: beneficiaries and their shares are known</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Trustee taxed as representative assessee on behalf of each beneficiary, at the beneficiary's rates; if the trust has business income, maximum marginal rate (with exceptions)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Discretionary trust: shares not known</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at the maximum marginal rate, with some exceptions (for example, trusts for dependants or created by will)</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Oral trust</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at the maximum marginal rate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Revocable trust</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taxed in the hands of the settlor (sections 96 to 98)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92: Family trust for a disabled dependant</w:t>
            </w:r>
          </w:p>
          <w:p>
            <w:pPr>
              <w:spacing w:after="60" w:line="260"/>
            </w:pPr>
            <w:r>
              <w:rPr>
                <w:rFonts w:ascii="Verdana" w:cs="Verdana" w:eastAsia="Verdana" w:hAnsi="Verdana"/>
                <w:sz w:val="20"/>
                <w:szCs w:val="20"/>
              </w:rPr>
              <w:t xml:space="preserve">Anil settles a trust by will for his dependent son with a disability, with the son as the sole beneficiary. The trust income of Rs. 6 lakh is taxed at the rates applicable to the son (not the maximum marginal rate), since it is a specific trust created by will for a dependant. This allows the son's basic exemption and slabs to apply.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For clients planning succession, combine a registered will, clear nominations, and where needed a private trust. Transfers during life to spouse or daughter-in-law bring clubbing; transfers to adult children or parents do not.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EPF, PPF and NPS have different tax profiles at contribution, growth and withdrawal.</w:t>
            </w:r>
          </w:p>
          <w:p>
            <w:pPr>
              <w:spacing w:after="60" w:line="260"/>
            </w:pPr>
            <w:r>
              <w:rPr>
                <w:rFonts w:ascii="Verdana" w:cs="Verdana" w:eastAsia="Verdana" w:hAnsi="Verdana"/>
                <w:sz w:val="20"/>
                <w:szCs w:val="20"/>
              </w:rPr>
              <w:t xml:space="preserve">•  No inheritance tax; heirs take the previous owner's cost and holding period.</w:t>
            </w:r>
          </w:p>
          <w:p>
            <w:pPr>
              <w:spacing w:after="60" w:line="260"/>
            </w:pPr>
            <w:r>
              <w:rPr>
                <w:rFonts w:ascii="Verdana" w:cs="Verdana" w:eastAsia="Verdana" w:hAnsi="Verdana"/>
                <w:sz w:val="20"/>
                <w:szCs w:val="20"/>
              </w:rPr>
              <w:t xml:space="preserve">•  Private trusts are taxed based on whether shares are determinate; discretionary trusts at the maximum marginal rate with exceptions.</w:t>
            </w:r>
          </w:p>
        </w:tc>
      </w:tr>
    </w:tbl>
    <w:p>
      <w:pPr>
        <w:pStyle w:val="Heading1"/>
        <w:pageBreakBefore/>
        <w:spacing w:after="200" w:before="0"/>
      </w:pPr>
      <w:r>
        <w:rPr>
          <w:rFonts w:ascii="Verdana" w:cs="Verdana" w:eastAsia="Verdana" w:hAnsi="Verdana"/>
        </w:rPr>
        <w:t xml:space="preserve">21. Taxation of Hindu Undivided Families</w:t>
      </w:r>
    </w:p>
    <w:p>
      <w:pPr>
        <w:spacing w:after="120" w:line="276"/>
        <w:jc w:val="both"/>
      </w:pPr>
      <w:r>
        <w:rPr>
          <w:rFonts w:ascii="Verdana" w:cs="Verdana" w:eastAsia="Verdana" w:hAnsi="Verdana"/>
        </w:rPr>
        <w:t xml:space="preserve">A Hindu Undivided Family is a separate taxable person. It consists of all persons lineally descended from a common ancestor, including their wives and unmarried daughters. Jain and Sikh families are also treated as HUFs for tax. Since 2005, daughters are coparceners by birth under the Hindu Succession Act, with the same rights as 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Existence of an HUF</w:t>
            </w:r>
          </w:p>
          <w:p>
            <w:pPr>
              <w:spacing w:after="60" w:line="260"/>
            </w:pPr>
            <w:r>
              <w:rPr>
                <w:rFonts w:ascii="Verdana" w:cs="Verdana" w:eastAsia="Verdana" w:hAnsi="Verdana"/>
                <w:b/>
                <w:bCs/>
                <w:sz w:val="20"/>
                <w:szCs w:val="20"/>
              </w:rPr>
              <w:t xml:space="preserve">Gowli Buddanna v. CIT (Supreme Court, 1966):</w:t>
            </w:r>
            <w:r>
              <w:rPr>
                <w:rFonts w:ascii="Verdana" w:cs="Verdana" w:eastAsia="Verdana" w:hAnsi="Verdana"/>
                <w:sz w:val="20"/>
                <w:szCs w:val="20"/>
              </w:rPr>
              <w:t xml:space="preserve"> property of a joint family does not cease to be joint family property merely because it is held by a sole surviving coparcener, when there are female members of the family.</w:t>
            </w:r>
          </w:p>
          <w:p>
            <w:pPr>
              <w:spacing w:after="60" w:line="260"/>
            </w:pPr>
            <w:r>
              <w:rPr>
                <w:rFonts w:ascii="Verdana" w:cs="Verdana" w:eastAsia="Verdana" w:hAnsi="Verdana"/>
                <w:b/>
                <w:bCs/>
                <w:sz w:val="20"/>
                <w:szCs w:val="20"/>
              </w:rPr>
              <w:t xml:space="preserve">Surjit Lal Chhabda v. CIT (Supreme Court, 1975):</w:t>
            </w:r>
            <w:r>
              <w:rPr>
                <w:rFonts w:ascii="Verdana" w:cs="Verdana" w:eastAsia="Verdana" w:hAnsi="Verdana"/>
                <w:sz w:val="20"/>
                <w:szCs w:val="20"/>
              </w:rPr>
              <w:t xml:space="preserve"> an HUF can exist with a single male member together with his wife and unmarried daughters; a plurality of male coparceners is not necessary.</w:t>
            </w:r>
          </w:p>
        </w:tc>
      </w:tr>
    </w:tbl>
    <w:p>
      <w:pPr>
        <w:spacing w:after="60"/>
      </w:pPr>
    </w:p>
    <w:p>
      <w:pPr>
        <w:pStyle w:val="Heading2"/>
        <w:keepNext/>
        <w:spacing w:after="120" w:before="240"/>
      </w:pPr>
      <w:r>
        <w:rPr>
          <w:rFonts w:ascii="Verdana" w:cs="Verdana" w:eastAsia="Verdana" w:hAnsi="Verdana"/>
        </w:rPr>
        <w:t xml:space="preserve">21.1 How an HUF gets income</w:t>
      </w:r>
    </w:p>
    <w:p>
      <w:pPr>
        <w:pStyle w:val="ListParagraph"/>
        <w:numPr>
          <w:ilvl w:val="0"/>
          <w:numId w:val="2"/>
        </w:numPr>
        <w:spacing w:after="60" w:line="264"/>
      </w:pPr>
      <w:r>
        <w:rPr>
          <w:rFonts w:ascii="Verdana" w:cs="Verdana" w:eastAsia="Verdana" w:hAnsi="Verdana"/>
        </w:rPr>
        <w:t xml:space="preserve">Ancestral property inherited by the family.</w:t>
      </w:r>
    </w:p>
    <w:p>
      <w:pPr>
        <w:pStyle w:val="ListParagraph"/>
        <w:numPr>
          <w:ilvl w:val="0"/>
          <w:numId w:val="2"/>
        </w:numPr>
        <w:spacing w:after="60" w:line="264"/>
      </w:pPr>
      <w:r>
        <w:rPr>
          <w:rFonts w:ascii="Verdana" w:cs="Verdana" w:eastAsia="Verdana" w:hAnsi="Verdana"/>
        </w:rPr>
        <w:t xml:space="preserve">Property thrown into the common hotchpot by a member (but see clubbing below).</w:t>
      </w:r>
    </w:p>
    <w:p>
      <w:pPr>
        <w:pStyle w:val="ListParagraph"/>
        <w:numPr>
          <w:ilvl w:val="0"/>
          <w:numId w:val="2"/>
        </w:numPr>
        <w:spacing w:after="60" w:line="264"/>
      </w:pPr>
      <w:r>
        <w:rPr>
          <w:rFonts w:ascii="Verdana" w:cs="Verdana" w:eastAsia="Verdana" w:hAnsi="Verdana"/>
        </w:rPr>
        <w:t xml:space="preserve">Gifts received by the HUF from relatives or others (a gift from a non-member above Rs. 50,000 is taxable; gifts from members are from "relatives" because the definition includes an HUF receiving from its members).</w:t>
      </w:r>
    </w:p>
    <w:p>
      <w:pPr>
        <w:pStyle w:val="ListParagraph"/>
        <w:numPr>
          <w:ilvl w:val="0"/>
          <w:numId w:val="2"/>
        </w:numPr>
        <w:spacing w:after="60" w:line="264"/>
      </w:pPr>
      <w:r>
        <w:rPr>
          <w:rFonts w:ascii="Verdana" w:cs="Verdana" w:eastAsia="Verdana" w:hAnsi="Verdana"/>
        </w:rPr>
        <w:t xml:space="preserve">Income from business run by the HUF through its karta.</w:t>
      </w:r>
    </w:p>
    <w:p>
      <w:pPr>
        <w:pStyle w:val="Heading2"/>
        <w:keepNext/>
        <w:spacing w:after="120" w:before="240"/>
      </w:pPr>
      <w:r>
        <w:rPr>
          <w:rFonts w:ascii="Verdana" w:cs="Verdana" w:eastAsia="Verdana" w:hAnsi="Verdana"/>
        </w:rPr>
        <w:t xml:space="preserve">21.2 Taxation of the HUF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Point</w:t>
            </w:r>
          </w:p>
        </w:tc>
        <w:tc>
          <w:tcPr>
            <w:tcW w:type="dxa" w:w="6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Treatment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Rates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slabs as an individual below 60, in old or new regime; new regime is default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Deductions (old regime)</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123 (insurance on life of any member, deposits), 126 (health insurance of members), and others available to HUFs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paid to karta or members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Deductible if paid for services to the HUF business, reasonable and under an agreement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 received by a member from the HUF</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in the member's hands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schemes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58 business scheme available; profession scheme is for individuals and firms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ITR-2, ITR-3 or ITR-4 (presumptive business), signed by the karta</w:t>
            </w:r>
          </w:p>
        </w:tc>
      </w:tr>
    </w:tbl>
    <w:p>
      <w:pPr>
        <w:spacing w:after="60"/>
      </w:pPr>
    </w:p>
    <w:p>
      <w:pPr>
        <w:pStyle w:val="Heading2"/>
        <w:keepNext/>
        <w:spacing w:after="120" w:before="240"/>
      </w:pPr>
      <w:r>
        <w:rPr>
          <w:rFonts w:ascii="Verdana" w:cs="Verdana" w:eastAsia="Verdana" w:hAnsi="Verdana"/>
        </w:rPr>
        <w:t xml:space="preserve">21.3 Clubbing on conversion of individual property</w:t>
      </w:r>
    </w:p>
    <w:p>
      <w:pPr>
        <w:spacing w:after="120" w:line="276"/>
        <w:jc w:val="both"/>
      </w:pPr>
      <w:r>
        <w:rPr>
          <w:rFonts w:ascii="Verdana" w:cs="Verdana" w:eastAsia="Verdana" w:hAnsi="Verdana"/>
        </w:rPr>
        <w:t xml:space="preserve">If a member converts his individual property into HUF property (throws it into the common hotchpot) without adequate consideration, the income from that property is clubbed with the member's own income. On partition, the income from the converted property received by the member's spouse is also clubbed. This prevents splitting of income through conversion.</w:t>
      </w:r>
    </w:p>
    <w:p>
      <w:pPr>
        <w:pStyle w:val="Heading2"/>
        <w:keepNext/>
        <w:spacing w:after="120" w:before="240"/>
      </w:pPr>
      <w:r>
        <w:rPr>
          <w:rFonts w:ascii="Verdana" w:cs="Verdana" w:eastAsia="Verdana" w:hAnsi="Verdana"/>
        </w:rPr>
        <w:t xml:space="preserve">21.4 Partition</w:t>
      </w:r>
    </w:p>
    <w:p>
      <w:pPr>
        <w:spacing w:after="120" w:line="276"/>
        <w:jc w:val="both"/>
      </w:pPr>
      <w:r>
        <w:rPr>
          <w:rFonts w:ascii="Verdana" w:cs="Verdana" w:eastAsia="Verdana" w:hAnsi="Verdana"/>
        </w:rPr>
        <w:t xml:space="preserve">A </w:t>
      </w:r>
      <w:r>
        <w:rPr>
          <w:rFonts w:ascii="Verdana" w:cs="Verdana" w:eastAsia="Verdana" w:hAnsi="Verdana"/>
          <w:b/>
          <w:bCs/>
        </w:rPr>
        <w:t xml:space="preserve">total partition</w:t>
      </w:r>
      <w:r>
        <w:rPr>
          <w:rFonts w:ascii="Verdana" w:cs="Verdana" w:eastAsia="Verdana" w:hAnsi="Verdana"/>
        </w:rPr>
        <w:t xml:space="preserve"> of an HUF must be recognised by the Assessing Officer after inquiry. Partial partitions made after 31 December 1978 are not recognised for tax; the family continues to be assessed as if no partition had taken place. Distribution of assets on total partition is not a transfer for capital gains (section 70), and each member takes the HUF's cost and holding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93: Planning with an HUF</w:t>
            </w:r>
          </w:p>
          <w:p>
            <w:pPr>
              <w:spacing w:after="60" w:line="260"/>
            </w:pPr>
            <w:r>
              <w:rPr>
                <w:rFonts w:ascii="Verdana" w:cs="Verdana" w:eastAsia="Verdana" w:hAnsi="Verdana"/>
                <w:sz w:val="20"/>
                <w:szCs w:val="20"/>
              </w:rPr>
              <w:t xml:space="preserve">Vijay's HUF owns ancestral property let out at Rs. 5,00,000 a year. Income from house property = 5,00,000 less 30% = Rs. 3,50,000, which is below the Rs. 4 lakh basic exemption of the new regime, so the HUF pays </w:t>
            </w:r>
            <w:r>
              <w:rPr>
                <w:rFonts w:ascii="Verdana" w:cs="Verdana" w:eastAsia="Verdana" w:hAnsi="Verdana"/>
                <w:b/>
                <w:bCs/>
                <w:sz w:val="20"/>
                <w:szCs w:val="20"/>
              </w:rPr>
              <w:t xml:space="preserve">no tax</w:t>
            </w:r>
            <w:r>
              <w:rPr>
                <w:rFonts w:ascii="Verdana" w:cs="Verdana" w:eastAsia="Verdana" w:hAnsi="Verdana"/>
                <w:sz w:val="20"/>
                <w:szCs w:val="20"/>
              </w:rPr>
              <w:t xml:space="preserve">. Note that the section 156 rebate is available only to resident individuals, not HUFs; the benefit here comes from the HUF's own exemption limit and slabs. Had the property been Vijay's own, the rent would have been added to his salary and taxed at his marginal rate.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An HUF cannot be created by a gift or by a person alone; it arises by operation of law on marriage and birth. Contributions by members to create income in the HUF are clubbed with the member. Gifts from relatives outside the HUF, or inheritance, are the cleaner ways to build an HUF corpus.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An HUF is a separate taxpayer with its own slabs but no section 156 rebate.</w:t>
            </w:r>
          </w:p>
          <w:p>
            <w:pPr>
              <w:spacing w:after="60" w:line="260"/>
            </w:pPr>
            <w:r>
              <w:rPr>
                <w:rFonts w:ascii="Verdana" w:cs="Verdana" w:eastAsia="Verdana" w:hAnsi="Verdana"/>
                <w:sz w:val="20"/>
                <w:szCs w:val="20"/>
              </w:rPr>
              <w:t xml:space="preserve">•  Property converted into HUF property by a member is subject to clubbing.</w:t>
            </w:r>
          </w:p>
          <w:p>
            <w:pPr>
              <w:spacing w:after="60" w:line="260"/>
            </w:pPr>
            <w:r>
              <w:rPr>
                <w:rFonts w:ascii="Verdana" w:cs="Verdana" w:eastAsia="Verdana" w:hAnsi="Verdana"/>
                <w:sz w:val="20"/>
                <w:szCs w:val="20"/>
              </w:rPr>
              <w:t xml:space="preserve">•  Only total partitions are recognised for tax.</w:t>
            </w:r>
          </w:p>
        </w:tc>
      </w:tr>
    </w:tbl>
    <w:p>
      <w:pPr>
        <w:pStyle w:val="Heading1"/>
        <w:pageBreakBefore/>
        <w:spacing w:after="200" w:before="0"/>
      </w:pPr>
      <w:r>
        <w:rPr>
          <w:rFonts w:ascii="Verdana" w:cs="Verdana" w:eastAsia="Verdana" w:hAnsi="Verdana"/>
        </w:rPr>
        <w:t xml:space="preserve">22. Firms, LLPs, AOPs and BOIs</w:t>
      </w:r>
    </w:p>
    <w:p>
      <w:pPr>
        <w:pStyle w:val="Heading2"/>
        <w:keepNext/>
        <w:spacing w:after="120" w:before="240"/>
      </w:pPr>
      <w:r>
        <w:rPr>
          <w:rFonts w:ascii="Verdana" w:cs="Verdana" w:eastAsia="Verdana" w:hAnsi="Verdana"/>
        </w:rPr>
        <w:t xml:space="preserve">22.1 Firms and LLPs</w:t>
      </w:r>
    </w:p>
    <w:p>
      <w:pPr>
        <w:spacing w:after="120" w:line="276"/>
        <w:jc w:val="both"/>
      </w:pPr>
      <w:r>
        <w:rPr>
          <w:rFonts w:ascii="Verdana" w:cs="Verdana" w:eastAsia="Verdana" w:hAnsi="Verdana"/>
        </w:rPr>
        <w:t xml:space="preserve">A partnership firm (including an LLP) is taxed as a separate entity at </w:t>
      </w:r>
      <w:r>
        <w:rPr>
          <w:rFonts w:ascii="Verdana" w:cs="Verdana" w:eastAsia="Verdana" w:hAnsi="Verdana"/>
          <w:b/>
          <w:bCs/>
        </w:rPr>
        <w:t xml:space="preserve">30%</w:t>
      </w:r>
      <w:r>
        <w:rPr>
          <w:rFonts w:ascii="Verdana" w:cs="Verdana" w:eastAsia="Verdana" w:hAnsi="Verdana"/>
        </w:rPr>
        <w:t xml:space="preserve"> plus surcharge (12% if income exceeds Rs. 1 crore) and cess. It is assessed as a firm if the partnership deed is in writing, specifies individual shares, and is filed with the first return; a certified copy of any revised deed must be filed when the deed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800"/>
        <w:gridCol w:w="32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Aspect</w:t>
            </w:r>
          </w:p>
        </w:tc>
        <w:tc>
          <w:tcPr>
            <w:tcW w:type="dxa" w:w="3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Firm</w:t>
            </w:r>
          </w:p>
        </w:tc>
        <w:tc>
          <w:tcPr>
            <w:tcW w:type="dxa" w:w="3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Partner</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at 30%</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 of profit exempt (Schedule II)</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Remuneration to working partners</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Deductible within section 35 limits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as business income to the extent allowed to the firm</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capital</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Deductible up to 12% simple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as business income to the extent allowed</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Deducts 10% on remuneration and interest above Rs. 20,000 (section 393)</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Claims credit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scheme</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scheme for firms (not LLPs); profession scheme for firms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separately</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AMT</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LLPs and firms claiming profit-linked deductions pay AMT under section 206(2)</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applicable</w:t>
            </w:r>
          </w:p>
        </w:tc>
      </w:tr>
    </w:tbl>
    <w:p>
      <w:pPr>
        <w:spacing w:after="60"/>
      </w:pPr>
    </w:p>
    <w:p>
      <w:pPr>
        <w:pStyle w:val="Heading2"/>
        <w:keepNext/>
        <w:spacing w:after="120" w:before="240"/>
      </w:pPr>
      <w:r>
        <w:rPr>
          <w:rFonts w:ascii="Verdana" w:cs="Verdana" w:eastAsia="Verdana" w:hAnsi="Verdana"/>
        </w:rPr>
        <w:t xml:space="preserve">22.2 Reconstitution of a firm</w:t>
      </w:r>
    </w:p>
    <w:p>
      <w:pPr>
        <w:spacing w:after="120" w:line="276"/>
        <w:jc w:val="both"/>
      </w:pPr>
      <w:r>
        <w:rPr>
          <w:rFonts w:ascii="Verdana" w:cs="Verdana" w:eastAsia="Verdana" w:hAnsi="Verdana"/>
        </w:rPr>
        <w:t xml:space="preserve">When a partner retires or the firm is reconstituted, and a partner receives money or assets from the firm, two provisions operate (carried forward from old sections 9B and 45(4)):</w:t>
      </w:r>
    </w:p>
    <w:p>
      <w:pPr>
        <w:pStyle w:val="ListParagraph"/>
        <w:numPr>
          <w:ilvl w:val="0"/>
          <w:numId w:val="2"/>
        </w:numPr>
        <w:spacing w:after="60" w:line="264"/>
      </w:pPr>
      <w:r>
        <w:rPr>
          <w:rFonts w:ascii="Verdana" w:cs="Verdana" w:eastAsia="Verdana" w:hAnsi="Verdana"/>
          <w:b/>
          <w:bCs/>
        </w:rPr>
        <w:t xml:space="preserve">Section 8 (old 9B):</w:t>
      </w:r>
      <w:r>
        <w:rPr>
          <w:rFonts w:ascii="Verdana" w:cs="Verdana" w:eastAsia="Verdana" w:hAnsi="Verdana"/>
        </w:rPr>
        <w:t xml:space="preserve"> where a partner receives a capital asset or stock-in-trade on dissolution or reconstitution, the firm is deemed to have transferred it at FMV, and the profit is taxed in the firm's hands as capital gains or business income.</w:t>
      </w:r>
    </w:p>
    <w:p>
      <w:pPr>
        <w:pStyle w:val="ListParagraph"/>
        <w:numPr>
          <w:ilvl w:val="0"/>
          <w:numId w:val="2"/>
        </w:numPr>
        <w:spacing w:after="60" w:line="264"/>
      </w:pPr>
      <w:r>
        <w:rPr>
          <w:rFonts w:ascii="Verdana" w:cs="Verdana" w:eastAsia="Verdana" w:hAnsi="Verdana"/>
          <w:b/>
          <w:bCs/>
        </w:rPr>
        <w:t xml:space="preserve">Capital gains on excess payout (old 45(4)):</w:t>
      </w:r>
      <w:r>
        <w:rPr>
          <w:rFonts w:ascii="Verdana" w:cs="Verdana" w:eastAsia="Verdana" w:hAnsi="Verdana"/>
        </w:rPr>
        <w:t xml:space="preserve"> where a partner receives money or assets in excess of the balance in his capital account, the excess is taxed as capital gains in the firm's hands. The formula is A = B + C less D, where A is the gain, B is the money received, C is the FMV of any capital asset received, and D is the balance in the partner's capital account at the time of reconstitution (ignoring increases due to revaluation, self generated goodwill or self generated assets). If the result is negative, it is taken as nil.</w:t>
      </w:r>
    </w:p>
    <w:p>
      <w:pPr>
        <w:pStyle w:val="ListParagraph"/>
        <w:numPr>
          <w:ilvl w:val="0"/>
          <w:numId w:val="2"/>
        </w:numPr>
        <w:spacing w:after="60" w:line="264"/>
      </w:pPr>
      <w:r>
        <w:rPr>
          <w:rFonts w:ascii="Verdana" w:cs="Verdana" w:eastAsia="Verdana" w:hAnsi="Verdana"/>
        </w:rPr>
        <w:t xml:space="preserve">The firm can attribute such gains to its capital assets as per the Rules, which affects whether the gain is short or long-term and the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94: Retiring partner</w:t>
            </w:r>
          </w:p>
          <w:p>
            <w:pPr>
              <w:spacing w:after="60" w:line="260"/>
            </w:pPr>
            <w:r>
              <w:rPr>
                <w:rFonts w:ascii="Verdana" w:cs="Verdana" w:eastAsia="Verdana" w:hAnsi="Verdana"/>
                <w:sz w:val="20"/>
                <w:szCs w:val="20"/>
              </w:rPr>
              <w:t xml:space="preserve">Ankit retires from a firm and receives Rs. 80 lakh in cash. His capital account balance before revaluation is Rs. 30 lakh. No asset is given to him. The excess Rs. 50 lakh is taxable in the </w:t>
            </w:r>
            <w:r>
              <w:rPr>
                <w:rFonts w:ascii="Verdana" w:cs="Verdana" w:eastAsia="Verdana" w:hAnsi="Verdana"/>
                <w:b/>
                <w:bCs/>
                <w:sz w:val="20"/>
                <w:szCs w:val="20"/>
              </w:rPr>
              <w:t xml:space="preserve">firm's</w:t>
            </w:r>
            <w:r>
              <w:rPr>
                <w:rFonts w:ascii="Verdana" w:cs="Verdana" w:eastAsia="Verdana" w:hAnsi="Verdana"/>
                <w:sz w:val="20"/>
                <w:szCs w:val="20"/>
              </w:rPr>
              <w:t xml:space="preserve"> hands as capital gains, attributed to the firm's capital assets (for example, goodwill and land) in the manner prescribed. The firm must provide for this tax when negotiating the retirement settlement.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Revaluation and payment to partners</w:t>
            </w:r>
          </w:p>
          <w:p>
            <w:pPr>
              <w:spacing w:after="60" w:line="260"/>
            </w:pPr>
            <w:r>
              <w:rPr>
                <w:rFonts w:ascii="Verdana" w:cs="Verdana" w:eastAsia="Verdana" w:hAnsi="Verdana"/>
                <w:b/>
                <w:bCs/>
                <w:sz w:val="20"/>
                <w:szCs w:val="20"/>
              </w:rPr>
              <w:t xml:space="preserve">CIT v. Mansukh Dyeing and Printing Mills (Supreme Court, 2022):</w:t>
            </w:r>
            <w:r>
              <w:rPr>
                <w:rFonts w:ascii="Verdana" w:cs="Verdana" w:eastAsia="Verdana" w:hAnsi="Verdana"/>
                <w:sz w:val="20"/>
                <w:szCs w:val="20"/>
              </w:rPr>
              <w:t xml:space="preserve"> where a firm revalued its assets, credited the gain to the partners' capital accounts and the partners withdrew the amounts, the firm was liable to capital gains tax on the transfer, applying the provision corresponding to old section 45(4).</w:t>
            </w:r>
          </w:p>
        </w:tc>
      </w:tr>
    </w:tbl>
    <w:p>
      <w:pPr>
        <w:spacing w:after="60"/>
      </w:pPr>
    </w:p>
    <w:p>
      <w:pPr>
        <w:pStyle w:val="Heading2"/>
        <w:keepNext/>
        <w:spacing w:after="120" w:before="240"/>
      </w:pPr>
      <w:r>
        <w:rPr>
          <w:rFonts w:ascii="Verdana" w:cs="Verdana" w:eastAsia="Verdana" w:hAnsi="Verdana"/>
        </w:rPr>
        <w:t xml:space="preserve">22.3 Associations of persons and bodies of individuals</w:t>
      </w:r>
    </w:p>
    <w:p>
      <w:pPr>
        <w:spacing w:after="120" w:line="276"/>
        <w:jc w:val="both"/>
      </w:pPr>
      <w:r>
        <w:rPr>
          <w:rFonts w:ascii="Verdana" w:cs="Verdana" w:eastAsia="Verdana" w:hAnsi="Verdana"/>
        </w:rPr>
        <w:t xml:space="preserve">An AOP (a group of persons, including companies, joining for a common purpose to earn income, such as a consortium) or BOI (a group of individuals) is taxed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3400"/>
        <w:gridCol w:w="24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on AOP or BOI</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Member's share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Shares of members are determinate and known, no member has income above the exemption limit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Normal slab rates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Shares determinate, any member has taxable income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Maximum marginal rate (30% plus surcharge) on total income of the AOP</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Shares indeterminate or unknown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Maximum marginal rate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member is taxable at a higher rate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That member's share at the higher rate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For consortiums bidding for contracts, structure the arrangement carefully. If each member does a defined scope of work, bills separately and bears its own risk, the consortium may not be an AOP. A joint control, joint risk arrangement is likely to be taxed as an AOP at the maximum marginal rate.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Firms and LLPs pay 30%; partner remuneration and interest are deductible within limits and taxed in partners' hands.</w:t>
            </w:r>
          </w:p>
          <w:p>
            <w:pPr>
              <w:spacing w:after="60" w:line="260"/>
            </w:pPr>
            <w:r>
              <w:rPr>
                <w:rFonts w:ascii="Verdana" w:cs="Verdana" w:eastAsia="Verdana" w:hAnsi="Verdana"/>
                <w:sz w:val="20"/>
                <w:szCs w:val="20"/>
              </w:rPr>
              <w:t xml:space="preserve">•  Reconstitution can trigger tax in the firm under sections 8 and the provision corresponding to old 45(4).</w:t>
            </w:r>
          </w:p>
          <w:p>
            <w:pPr>
              <w:spacing w:after="60" w:line="260"/>
            </w:pPr>
            <w:r>
              <w:rPr>
                <w:rFonts w:ascii="Verdana" w:cs="Verdana" w:eastAsia="Verdana" w:hAnsi="Verdana"/>
                <w:sz w:val="20"/>
                <w:szCs w:val="20"/>
              </w:rPr>
              <w:t xml:space="preserve">•  AOPs are taxed at slab or maximum marginal rates depending on determinacy of shares.</w:t>
            </w:r>
          </w:p>
        </w:tc>
      </w:tr>
    </w:tbl>
    <w:p>
      <w:pPr>
        <w:pStyle w:val="Heading1"/>
        <w:pageBreakBefore/>
        <w:spacing w:after="200" w:before="0"/>
      </w:pPr>
      <w:r>
        <w:rPr>
          <w:rFonts w:ascii="Verdana" w:cs="Verdana" w:eastAsia="Verdana" w:hAnsi="Verdana"/>
        </w:rPr>
        <w:t xml:space="preserve">23. Non-Profit Organisations (Sections 332 to 355)</w:t>
      </w:r>
    </w:p>
    <w:p>
      <w:pPr>
        <w:spacing w:after="120" w:line="276"/>
        <w:jc w:val="both"/>
      </w:pPr>
      <w:r>
        <w:rPr>
          <w:rFonts w:ascii="Verdana" w:cs="Verdana" w:eastAsia="Verdana" w:hAnsi="Verdana"/>
        </w:rPr>
        <w:t xml:space="preserve">Charitable trusts, societies and section 8 companies are called </w:t>
      </w:r>
      <w:r>
        <w:rPr>
          <w:rFonts w:ascii="Verdana" w:cs="Verdana" w:eastAsia="Verdana" w:hAnsi="Verdana"/>
          <w:b/>
          <w:bCs/>
        </w:rPr>
        <w:t xml:space="preserve">non-profit organisations</w:t>
      </w:r>
      <w:r>
        <w:rPr>
          <w:rFonts w:ascii="Verdana" w:cs="Verdana" w:eastAsia="Verdana" w:hAnsi="Verdana"/>
        </w:rPr>
        <w:t xml:space="preserve"> (NPOs) in the 2025 Act. The provisions in sections 332 to 355 consolidate the old sections 11, 12, 12A, 12AB, 13, 115BBC, 115BBI and 115TD and the related parts of section 10(23C) into one chapter. The core scheme is retained, with simpler language and a few structural changes.</w:t>
      </w:r>
    </w:p>
    <w:p>
      <w:pPr>
        <w:pStyle w:val="Heading2"/>
        <w:keepNext/>
        <w:spacing w:after="120" w:before="240"/>
      </w:pPr>
      <w:r>
        <w:rPr>
          <w:rFonts w:ascii="Verdana" w:cs="Verdana" w:eastAsia="Verdana" w:hAnsi="Verdana"/>
        </w:rPr>
        <w:t xml:space="preserve">23.1 Registration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000"/>
        <w:gridCol w:w="4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Validity</w:t>
            </w:r>
          </w:p>
        </w:tc>
        <w:tc>
          <w:tcPr>
            <w:tcW w:type="dxa" w:w="4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Points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registration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3 years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 new NPOs that have not started activities; must apply for regular registration before expiry or within 6 months of starting activities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Regular registration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Generally 5 years; longer validity for small NPOs as provided by recent amendments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Commissioner examines genuineness of activities and compliance with other laws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Renewal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At least 6 months before expiry</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Missing renewal can trigger tax on accreted income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Approval for donor deduction (old 80G)</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cycle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Allows donors to claim section 133</w:t>
            </w:r>
          </w:p>
        </w:tc>
      </w:tr>
    </w:tbl>
    <w:p>
      <w:pPr>
        <w:spacing w:after="60"/>
      </w:pPr>
    </w:p>
    <w:p>
      <w:pPr>
        <w:pStyle w:val="Heading2"/>
        <w:keepNext/>
        <w:spacing w:after="120" w:before="240"/>
      </w:pPr>
      <w:r>
        <w:rPr>
          <w:rFonts w:ascii="Verdana" w:cs="Verdana" w:eastAsia="Verdana" w:hAnsi="Verdana"/>
        </w:rPr>
        <w:t xml:space="preserve">23.2 How income is taxed</w:t>
      </w:r>
    </w:p>
    <w:p>
      <w:pPr>
        <w:pStyle w:val="ListParagraph"/>
        <w:numPr>
          <w:ilvl w:val="0"/>
          <w:numId w:val="2"/>
        </w:numPr>
        <w:spacing w:after="60" w:line="264"/>
      </w:pPr>
      <w:r>
        <w:rPr>
          <w:rFonts w:ascii="Verdana" w:cs="Verdana" w:eastAsia="Verdana" w:hAnsi="Verdana"/>
        </w:rPr>
        <w:t xml:space="preserve">Income of a registered NPO is exempt to the extent it is </w:t>
      </w:r>
      <w:r>
        <w:rPr>
          <w:rFonts w:ascii="Verdana" w:cs="Verdana" w:eastAsia="Verdana" w:hAnsi="Verdana"/>
          <w:b/>
          <w:bCs/>
        </w:rPr>
        <w:t xml:space="preserve">applied</w:t>
      </w:r>
      <w:r>
        <w:rPr>
          <w:rFonts w:ascii="Verdana" w:cs="Verdana" w:eastAsia="Verdana" w:hAnsi="Verdana"/>
        </w:rPr>
        <w:t xml:space="preserve"> for its objects in India. The scheme requires at least </w:t>
      </w:r>
      <w:r>
        <w:rPr>
          <w:rFonts w:ascii="Verdana" w:cs="Verdana" w:eastAsia="Verdana" w:hAnsi="Verdana"/>
          <w:b/>
          <w:bCs/>
        </w:rPr>
        <w:t xml:space="preserve">85%</w:t>
      </w:r>
      <w:r>
        <w:rPr>
          <w:rFonts w:ascii="Verdana" w:cs="Verdana" w:eastAsia="Verdana" w:hAnsi="Verdana"/>
        </w:rPr>
        <w:t xml:space="preserve"> of income to be applied during the year; the remaining 15% can be set apart without conditions.</w:t>
      </w:r>
    </w:p>
    <w:p>
      <w:pPr>
        <w:pStyle w:val="ListParagraph"/>
        <w:numPr>
          <w:ilvl w:val="0"/>
          <w:numId w:val="2"/>
        </w:numPr>
        <w:spacing w:after="60" w:line="264"/>
      </w:pPr>
      <w:r>
        <w:rPr>
          <w:rFonts w:ascii="Verdana" w:cs="Verdana" w:eastAsia="Verdana" w:hAnsi="Verdana"/>
        </w:rPr>
        <w:t xml:space="preserve">Where less than 85% is applied, the shortfall can be </w:t>
      </w:r>
      <w:r>
        <w:rPr>
          <w:rFonts w:ascii="Verdana" w:cs="Verdana" w:eastAsia="Verdana" w:hAnsi="Verdana"/>
          <w:b/>
          <w:bCs/>
        </w:rPr>
        <w:t xml:space="preserve">accumulated</w:t>
      </w:r>
      <w:r>
        <w:rPr>
          <w:rFonts w:ascii="Verdana" w:cs="Verdana" w:eastAsia="Verdana" w:hAnsi="Verdana"/>
        </w:rPr>
        <w:t xml:space="preserve"> for up to 5 years for specified purposes by filing the prescribed form before the return due date. Unused accumulation is taxed in the year the period expires.</w:t>
      </w:r>
    </w:p>
    <w:p>
      <w:pPr>
        <w:pStyle w:val="ListParagraph"/>
        <w:numPr>
          <w:ilvl w:val="0"/>
          <w:numId w:val="2"/>
        </w:numPr>
        <w:spacing w:after="60" w:line="264"/>
      </w:pPr>
      <w:r>
        <w:rPr>
          <w:rFonts w:ascii="Verdana" w:cs="Verdana" w:eastAsia="Verdana" w:hAnsi="Verdana"/>
          <w:b/>
          <w:bCs/>
        </w:rPr>
        <w:t xml:space="preserve">Corpus donations</w:t>
      </w:r>
      <w:r>
        <w:rPr>
          <w:rFonts w:ascii="Verdana" w:cs="Verdana" w:eastAsia="Verdana" w:hAnsi="Verdana"/>
        </w:rPr>
        <w:t xml:space="preserve"> with a specific direction are not income, but must be invested in specified modes. Application out of corpus is not treated as application; reinvesting it back into corpus later is.</w:t>
      </w:r>
    </w:p>
    <w:p>
      <w:pPr>
        <w:pStyle w:val="ListParagraph"/>
        <w:numPr>
          <w:ilvl w:val="0"/>
          <w:numId w:val="2"/>
        </w:numPr>
        <w:spacing w:after="60" w:line="264"/>
      </w:pPr>
      <w:r>
        <w:rPr>
          <w:rFonts w:ascii="Verdana" w:cs="Verdana" w:eastAsia="Verdana" w:hAnsi="Verdana"/>
          <w:b/>
          <w:bCs/>
        </w:rPr>
        <w:t xml:space="preserve">Anonymous donations</w:t>
      </w:r>
      <w:r>
        <w:rPr>
          <w:rFonts w:ascii="Verdana" w:cs="Verdana" w:eastAsia="Verdana" w:hAnsi="Verdana"/>
        </w:rPr>
        <w:t xml:space="preserve"> above the higher of Rs. 1 lakh and 5% of total donations are taxed at 30% (religious trusts have a relaxation).</w:t>
      </w:r>
    </w:p>
    <w:p>
      <w:pPr>
        <w:pStyle w:val="ListParagraph"/>
        <w:numPr>
          <w:ilvl w:val="0"/>
          <w:numId w:val="2"/>
        </w:numPr>
        <w:spacing w:after="60" w:line="264"/>
      </w:pPr>
      <w:r>
        <w:rPr>
          <w:rFonts w:ascii="Verdana" w:cs="Verdana" w:eastAsia="Verdana" w:hAnsi="Verdana"/>
        </w:rPr>
        <w:t xml:space="preserve">Income not applied or accumulated, or applied in violation of the conditions, is taxed at </w:t>
      </w:r>
      <w:r>
        <w:rPr>
          <w:rFonts w:ascii="Verdana" w:cs="Verdana" w:eastAsia="Verdana" w:hAnsi="Verdana"/>
          <w:b/>
          <w:bCs/>
        </w:rPr>
        <w:t xml:space="preserve">30%</w:t>
      </w:r>
      <w:r>
        <w:rPr>
          <w:rFonts w:ascii="Verdana" w:cs="Verdana" w:eastAsia="Verdana" w:hAnsi="Verdana"/>
        </w:rPr>
        <w:t xml:space="preserve"> without exemption limit.</w:t>
      </w:r>
    </w:p>
    <w:p>
      <w:pPr>
        <w:pStyle w:val="ListParagraph"/>
        <w:numPr>
          <w:ilvl w:val="0"/>
          <w:numId w:val="2"/>
        </w:numPr>
        <w:spacing w:after="60" w:line="264"/>
      </w:pPr>
      <w:r>
        <w:rPr>
          <w:rFonts w:ascii="Verdana" w:cs="Verdana" w:eastAsia="Verdana" w:hAnsi="Verdana"/>
          <w:b/>
          <w:bCs/>
        </w:rPr>
        <w:t xml:space="preserve">Business income</w:t>
      </w:r>
      <w:r>
        <w:rPr>
          <w:rFonts w:ascii="Verdana" w:cs="Verdana" w:eastAsia="Verdana" w:hAnsi="Verdana"/>
        </w:rPr>
        <w:t xml:space="preserve"> is exempt only if the business is incidental to the objects and separate books are kept. For NPOs whose object is "advancement of any other object of general public utility", receipts from trade, commerce or business must not exceed 20% of total receipts.</w:t>
      </w:r>
    </w:p>
    <w:p>
      <w:pPr>
        <w:pStyle w:val="ListParagraph"/>
        <w:numPr>
          <w:ilvl w:val="0"/>
          <w:numId w:val="2"/>
        </w:numPr>
        <w:spacing w:after="60" w:line="264"/>
      </w:pPr>
      <w:r>
        <w:rPr>
          <w:rFonts w:ascii="Verdana" w:cs="Verdana" w:eastAsia="Verdana" w:hAnsi="Verdana"/>
        </w:rPr>
        <w:t xml:space="preserve">Payments to </w:t>
      </w:r>
      <w:r>
        <w:rPr>
          <w:rFonts w:ascii="Verdana" w:cs="Verdana" w:eastAsia="Verdana" w:hAnsi="Verdana"/>
          <w:b/>
          <w:bCs/>
        </w:rPr>
        <w:t xml:space="preserve">specified persons</w:t>
      </w:r>
      <w:r>
        <w:rPr>
          <w:rFonts w:ascii="Verdana" w:cs="Verdana" w:eastAsia="Verdana" w:hAnsi="Verdana"/>
        </w:rPr>
        <w:t xml:space="preserve"> (founders, trustees, substantial contributors and their relatives) that are excessive, or use of NPO assets for their benefit, can lead to loss of exemption for that income and cancellation of registration.</w:t>
      </w:r>
    </w:p>
    <w:p>
      <w:pPr>
        <w:pStyle w:val="ListParagraph"/>
        <w:numPr>
          <w:ilvl w:val="0"/>
          <w:numId w:val="2"/>
        </w:numPr>
        <w:spacing w:after="60" w:line="264"/>
      </w:pPr>
      <w:r>
        <w:rPr>
          <w:rFonts w:ascii="Verdana" w:cs="Verdana" w:eastAsia="Verdana" w:hAnsi="Verdana"/>
          <w:b/>
          <w:bCs/>
        </w:rPr>
        <w:t xml:space="preserve">Exit tax:</w:t>
      </w:r>
      <w:r>
        <w:rPr>
          <w:rFonts w:ascii="Verdana" w:cs="Verdana" w:eastAsia="Verdana" w:hAnsi="Verdana"/>
        </w:rPr>
        <w:t xml:space="preserve"> if registration is cancelled, the NPO converts into a non-charitable entity, merges with a non-NPO, or fails to apply for renewal, tax at the maximum marginal rate is levied on its </w:t>
      </w:r>
      <w:r>
        <w:rPr>
          <w:rFonts w:ascii="Verdana" w:cs="Verdana" w:eastAsia="Verdana" w:hAnsi="Verdana"/>
          <w:b/>
          <w:bCs/>
        </w:rPr>
        <w:t xml:space="preserve">accreted income</w:t>
      </w:r>
      <w:r>
        <w:rPr>
          <w:rFonts w:ascii="Verdana" w:cs="Verdana" w:eastAsia="Verdana" w:hAnsi="Verdana"/>
        </w:rPr>
        <w:t xml:space="preserve"> (FMV of assets less liabilities).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Charitable purpose</w:t>
            </w:r>
          </w:p>
          <w:p>
            <w:pPr>
              <w:spacing w:after="60" w:line="260"/>
            </w:pPr>
            <w:r>
              <w:rPr>
                <w:rFonts w:ascii="Verdana" w:cs="Verdana" w:eastAsia="Verdana" w:hAnsi="Verdana"/>
                <w:b/>
                <w:bCs/>
                <w:sz w:val="20"/>
                <w:szCs w:val="20"/>
              </w:rPr>
              <w:t xml:space="preserve">ACIT (Exemptions) v. Ahmedabad Urban Development Authority (Supreme Court, 2022):</w:t>
            </w:r>
            <w:r>
              <w:rPr>
                <w:rFonts w:ascii="Verdana" w:cs="Verdana" w:eastAsia="Verdana" w:hAnsi="Verdana"/>
                <w:sz w:val="20"/>
                <w:szCs w:val="20"/>
              </w:rPr>
              <w:t xml:space="preserve"> an entity whose object is "advancement of any other object of general public utility" loses the exemption if its receipts from trade, commerce or business exceed the prescribed limit. Statutory bodies that charge fees on a cost-recovery basis for public functions are not necessarily carrying on business, but charges well above cost indicate a business character.</w:t>
            </w:r>
          </w:p>
          <w:p>
            <w:pPr>
              <w:spacing w:after="60" w:line="260"/>
            </w:pPr>
            <w:r>
              <w:rPr>
                <w:rFonts w:ascii="Verdana" w:cs="Verdana" w:eastAsia="Verdana" w:hAnsi="Verdana"/>
                <w:b/>
                <w:bCs/>
                <w:sz w:val="20"/>
                <w:szCs w:val="20"/>
              </w:rPr>
              <w:t xml:space="preserve">New Noble Educational Society v. CCIT (Supreme Court, 2022):</w:t>
            </w:r>
            <w:r>
              <w:rPr>
                <w:rFonts w:ascii="Verdana" w:cs="Verdana" w:eastAsia="Verdana" w:hAnsi="Verdana"/>
                <w:sz w:val="20"/>
                <w:szCs w:val="20"/>
              </w:rPr>
              <w:t xml:space="preserve"> an educational institution must exist "solely" for education and not for profit; education means formal scholastic learning, and ancillary activities must be incidental to 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95: Application of income</w:t>
            </w:r>
          </w:p>
          <w:p>
            <w:pPr>
              <w:spacing w:after="60" w:line="260"/>
            </w:pPr>
            <w:r>
              <w:rPr>
                <w:rFonts w:ascii="Verdana" w:cs="Verdana" w:eastAsia="Verdana" w:hAnsi="Verdana"/>
                <w:sz w:val="20"/>
                <w:szCs w:val="20"/>
              </w:rPr>
              <w:t xml:space="preserve">Seva Trust receives donations of Rs. 60 lakh and interest of Rs. 20 lakh in Tax Year 2026-27, total Rs. 80 lakh. It spends Rs. 55 lakh on its objects and Rs. 5 lakh on capital assets for its objects (application). Total application = Rs. 60 lakh.</w:t>
            </w:r>
          </w:p>
          <w:p>
            <w:pPr>
              <w:spacing w:after="60" w:line="260"/>
            </w:pPr>
            <w:r>
              <w:rPr>
                <w:rFonts w:ascii="Verdana" w:cs="Verdana" w:eastAsia="Verdana" w:hAnsi="Verdana"/>
                <w:sz w:val="20"/>
                <w:szCs w:val="20"/>
              </w:rPr>
              <w:t xml:space="preserve">Required application = 85% of Rs. 80 lakh = Rs. 68 lakh. Shortfall = Rs. 8 lakh. If the trust files the accumulation form for Rs. 8 lakh for a specific purpose (say, a school building), it is not taxed now. Otherwise Rs. 8 lakh is taxable at 30%.</w:t>
            </w:r>
          </w:p>
        </w:tc>
      </w:tr>
    </w:tbl>
    <w:p>
      <w:pPr>
        <w:spacing w:after="60"/>
      </w:pPr>
    </w:p>
    <w:p>
      <w:pPr>
        <w:pStyle w:val="Heading2"/>
        <w:keepNext/>
        <w:spacing w:after="120" w:before="240"/>
      </w:pPr>
      <w:r>
        <w:rPr>
          <w:rFonts w:ascii="Verdana" w:cs="Verdana" w:eastAsia="Verdana" w:hAnsi="Verdana"/>
        </w:rPr>
        <w:t xml:space="preserve">23.3 Compliance for NPOs</w:t>
      </w:r>
    </w:p>
    <w:p>
      <w:pPr>
        <w:pStyle w:val="ListParagraph"/>
        <w:numPr>
          <w:ilvl w:val="0"/>
          <w:numId w:val="2"/>
        </w:numPr>
        <w:spacing w:after="60" w:line="264"/>
      </w:pPr>
      <w:r>
        <w:rPr>
          <w:rFonts w:ascii="Verdana" w:cs="Verdana" w:eastAsia="Verdana" w:hAnsi="Verdana"/>
        </w:rPr>
        <w:t xml:space="preserve">Books of account and audit where total income before exemption exceeds the basic exemption limit; audit report in the prescribed form one month before the return due date.</w:t>
      </w:r>
    </w:p>
    <w:p>
      <w:pPr>
        <w:pStyle w:val="ListParagraph"/>
        <w:numPr>
          <w:ilvl w:val="0"/>
          <w:numId w:val="2"/>
        </w:numPr>
        <w:spacing w:after="60" w:line="264"/>
      </w:pPr>
      <w:r>
        <w:rPr>
          <w:rFonts w:ascii="Verdana" w:cs="Verdana" w:eastAsia="Verdana" w:hAnsi="Verdana"/>
        </w:rPr>
        <w:t xml:space="preserve">Return in ITR-7 by 31 October.</w:t>
      </w:r>
    </w:p>
    <w:p>
      <w:pPr>
        <w:pStyle w:val="ListParagraph"/>
        <w:numPr>
          <w:ilvl w:val="0"/>
          <w:numId w:val="2"/>
        </w:numPr>
        <w:spacing w:after="60" w:line="264"/>
      </w:pPr>
      <w:r>
        <w:rPr>
          <w:rFonts w:ascii="Verdana" w:cs="Verdana" w:eastAsia="Verdana" w:hAnsi="Verdana"/>
        </w:rPr>
        <w:t xml:space="preserve">Statement of donations received, and donation certificates to donors in Form 114 (old 10BE), so that donors can claim deductions.</w:t>
      </w:r>
    </w:p>
    <w:p>
      <w:pPr>
        <w:pStyle w:val="ListParagraph"/>
        <w:numPr>
          <w:ilvl w:val="0"/>
          <w:numId w:val="2"/>
        </w:numPr>
        <w:spacing w:after="60" w:line="264"/>
      </w:pPr>
      <w:r>
        <w:rPr>
          <w:rFonts w:ascii="Verdana" w:cs="Verdana" w:eastAsia="Verdana" w:hAnsi="Verdana"/>
        </w:rPr>
        <w:t xml:space="preserve">Foreign contributions require separate FCRA registration and accounts; the tax treatment follows the same scheme.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NPOs are among the most compliance heavy taxpayers. A missed renewal date or a late accumulation form can convert fully exempt income into income taxed at 30%, or trigger exit tax. Maintain a registration and filing calendar for every NPO client.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Registration, 85% application, accumulation within 5 years, and corpus rules drive the exemption.</w:t>
            </w:r>
          </w:p>
          <w:p>
            <w:pPr>
              <w:spacing w:after="60" w:line="260"/>
            </w:pPr>
            <w:r>
              <w:rPr>
                <w:rFonts w:ascii="Verdana" w:cs="Verdana" w:eastAsia="Verdana" w:hAnsi="Verdana"/>
                <w:sz w:val="20"/>
                <w:szCs w:val="20"/>
              </w:rPr>
              <w:t xml:space="preserve">•  Anonymous donations above the limit and unapplied income are taxed at 30%.</w:t>
            </w:r>
          </w:p>
          <w:p>
            <w:pPr>
              <w:spacing w:after="60" w:line="260"/>
            </w:pPr>
            <w:r>
              <w:rPr>
                <w:rFonts w:ascii="Verdana" w:cs="Verdana" w:eastAsia="Verdana" w:hAnsi="Verdana"/>
                <w:sz w:val="20"/>
                <w:szCs w:val="20"/>
              </w:rPr>
              <w:t xml:space="preserve">•  Loss of registration can trigger tax on accreted income.</w:t>
            </w:r>
          </w:p>
        </w:tc>
      </w:tr>
    </w:tbl>
    <w:p>
      <w:pPr>
        <w:pStyle w:val="Heading1"/>
        <w:pageBreakBefore/>
        <w:spacing w:after="200" w:before="0"/>
      </w:pPr>
      <w:r>
        <w:rPr>
          <w:rFonts w:ascii="Verdana" w:cs="Verdana" w:eastAsia="Verdana" w:hAnsi="Verdana"/>
        </w:rPr>
        <w:t xml:space="preserve">24. Co-operative Societies</w:t>
      </w:r>
    </w:p>
    <w:p>
      <w:pPr>
        <w:spacing w:after="120" w:line="276"/>
        <w:jc w:val="both"/>
      </w:pPr>
      <w:r>
        <w:rPr>
          <w:rFonts w:ascii="Verdana" w:cs="Verdana" w:eastAsia="Verdana" w:hAnsi="Verdana"/>
        </w:rPr>
        <w:t xml:space="preserve">Co-operative societies are separate taxpayers with their own rate structure and deductions. With the growth of co-operative banks, credit societies, dairy and marketing societies, advisers regularly deal with them.</w:t>
      </w:r>
    </w:p>
    <w:p>
      <w:pPr>
        <w:pStyle w:val="Heading2"/>
        <w:keepNext/>
        <w:spacing w:after="120" w:before="240"/>
      </w:pPr>
      <w:r>
        <w:rPr>
          <w:rFonts w:ascii="Verdana" w:cs="Verdana" w:eastAsia="Verdana" w:hAnsi="Verdana"/>
        </w:rPr>
        <w:t xml:space="preserve">24.1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3400"/>
        <w:gridCol w:w="3800"/>
      </w:tblGrid>
      <w:tr>
        <w:trPr>
          <w:cantSplit/>
          <w:tblHeader/>
        </w:trPr>
        <w:tc>
          <w:tcPr>
            <w:tcW w:type="dxa" w:w="2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Option</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c>
          <w:tcPr>
            <w:tcW w:type="dxa" w:w="3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Conditions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Normal</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on income up to Rs. 10,000; 20% from Rs. 10,000 to Rs. 20,000; 30% above</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Surcharge 7% above Rs. 1 crore, 12% above Rs. 10 crore; AMT at 15% if deductions are claimed</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Concessional (old 115BAD)</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 plus 10% surcharge and cess</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specified deductions and exemptions; no AMT</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manufacturing co-operatives (old 115BAE)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plus 10% surcharge and cess</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up and began manufacturing within the prescribed dates; no specified deductions</w:t>
            </w:r>
          </w:p>
        </w:tc>
      </w:tr>
    </w:tbl>
    <w:p>
      <w:pPr>
        <w:spacing w:after="60"/>
      </w:pPr>
    </w:p>
    <w:p>
      <w:pPr>
        <w:pStyle w:val="Heading2"/>
        <w:keepNext/>
        <w:spacing w:after="120" w:before="240"/>
      </w:pPr>
      <w:r>
        <w:rPr>
          <w:rFonts w:ascii="Verdana" w:cs="Verdana" w:eastAsia="Verdana" w:hAnsi="Verdana"/>
        </w:rPr>
        <w:t xml:space="preserve">24.2 Deductions under section 149 (old 80P)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cantSplit/>
          <w:tblHeader/>
        </w:trPr>
        <w:tc>
          <w:tcPr>
            <w:tcW w:type="dxa" w:w="7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Activity</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Deduction</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Banking or providing credit facilities to members (credit societies; co-operative banks other than primary agricultural credit societies and primary co-operative agricultural and rural development banks are excluded)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of profits from that activity</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Cottage industry, marketing of members' agricultural produce, purchase of agricultural implements, seeds and livestock for members, processing of members' produce without power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Collective disposal of labour of members, fishing and allied activities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Supplying milk, oilseeds, fruits or vegetables raised or grown by members to specified bodies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and dividends from investments in other co-operative societies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from letting of godowns and warehouses for storage and marketing of commodities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societies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50,000 (Rs. 1 lakh for consumer co-operative societies)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Co-operative banks and credit societies</w:t>
            </w:r>
          </w:p>
          <w:p>
            <w:pPr>
              <w:spacing w:after="60" w:line="260"/>
            </w:pPr>
            <w:r>
              <w:rPr>
                <w:rFonts w:ascii="Verdana" w:cs="Verdana" w:eastAsia="Verdana" w:hAnsi="Verdana"/>
                <w:b/>
                <w:bCs/>
                <w:sz w:val="20"/>
                <w:szCs w:val="20"/>
              </w:rPr>
              <w:t xml:space="preserve">The Mavilayi Service Co-operative Bank Ltd. v. CIT (Supreme Court, 2021):</w:t>
            </w:r>
            <w:r>
              <w:rPr>
                <w:rFonts w:ascii="Verdana" w:cs="Verdana" w:eastAsia="Verdana" w:hAnsi="Verdana"/>
                <w:sz w:val="20"/>
                <w:szCs w:val="20"/>
              </w:rPr>
              <w:t xml:space="preserve"> the deduction for co-operative societies is a benevolent provision to be read liberally. The exclusion for co-operative banks applies only to societies that carry on banking business like commercial banks (lending to the public under a banking licence), not to credit societies that lend to their members. Eligibility is to be examined on the facts of each society.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96: Credit society</w:t>
            </w:r>
          </w:p>
          <w:p>
            <w:pPr>
              <w:spacing w:after="60" w:line="260"/>
            </w:pPr>
            <w:r>
              <w:rPr>
                <w:rFonts w:ascii="Verdana" w:cs="Verdana" w:eastAsia="Verdana" w:hAnsi="Verdana"/>
                <w:sz w:val="20"/>
                <w:szCs w:val="20"/>
              </w:rPr>
              <w:t xml:space="preserve">A credit co-operative society has income of Rs. 80 lakh from lending to its members and Rs. 10 lakh from interest on deposits with a scheduled bank. The Rs. 80 lakh is fully deductible under section 149. Interest from a scheduled bank (not a co-operative) on surplus funds is not covered; the Supreme Court in Totgars Co-operative Sale Society Ltd. v. ITO (2010) held such interest taxable as income from other sources. Taxable income = Rs. 10 lakh, taxed at the co-operative rates.</w:t>
            </w:r>
          </w:p>
        </w:tc>
      </w:tr>
    </w:tbl>
    <w:p>
      <w:pPr>
        <w:spacing w:after="60"/>
      </w:pPr>
    </w:p>
    <w:p>
      <w:pPr>
        <w:pStyle w:val="Heading2"/>
        <w:keepNext/>
        <w:spacing w:after="120" w:before="240"/>
      </w:pPr>
      <w:r>
        <w:rPr>
          <w:rFonts w:ascii="Verdana" w:cs="Verdana" w:eastAsia="Verdana" w:hAnsi="Verdana"/>
        </w:rPr>
        <w:t xml:space="preserve">24.3 Other points</w:t>
      </w:r>
    </w:p>
    <w:p>
      <w:pPr>
        <w:pStyle w:val="ListParagraph"/>
        <w:numPr>
          <w:ilvl w:val="0"/>
          <w:numId w:val="2"/>
        </w:numPr>
        <w:spacing w:after="60" w:line="264"/>
      </w:pPr>
      <w:r>
        <w:rPr>
          <w:rFonts w:ascii="Verdana" w:cs="Verdana" w:eastAsia="Verdana" w:hAnsi="Verdana"/>
        </w:rPr>
        <w:t xml:space="preserve">Cash deposits and withdrawals by members of primary agricultural credit societies and primary co-operative agricultural and rural development banks are allowed up to Rs. 2 lakh per member under relaxed cash limits.</w:t>
      </w:r>
    </w:p>
    <w:p>
      <w:pPr>
        <w:pStyle w:val="ListParagraph"/>
        <w:numPr>
          <w:ilvl w:val="0"/>
          <w:numId w:val="2"/>
        </w:numPr>
        <w:spacing w:after="60" w:line="264"/>
      </w:pPr>
      <w:r>
        <w:rPr>
          <w:rFonts w:ascii="Verdana" w:cs="Verdana" w:eastAsia="Verdana" w:hAnsi="Verdana"/>
        </w:rPr>
        <w:t xml:space="preserve">Co-operative societies are subject to TDS on cash withdrawals only above Rs. 3 crore a year.</w:t>
      </w:r>
    </w:p>
    <w:p>
      <w:pPr>
        <w:pStyle w:val="ListParagraph"/>
        <w:numPr>
          <w:ilvl w:val="0"/>
          <w:numId w:val="2"/>
        </w:numPr>
        <w:spacing w:after="60" w:line="264"/>
      </w:pPr>
      <w:r>
        <w:rPr>
          <w:rFonts w:ascii="Verdana" w:cs="Verdana" w:eastAsia="Verdana" w:hAnsi="Verdana"/>
        </w:rPr>
        <w:t xml:space="preserve">Returns are filed in ITR-5; tax audit applies above the turnover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Separate rate structure with concessional options.</w:t>
            </w:r>
          </w:p>
          <w:p>
            <w:pPr>
              <w:spacing w:after="60" w:line="260"/>
            </w:pPr>
            <w:r>
              <w:rPr>
                <w:rFonts w:ascii="Verdana" w:cs="Verdana" w:eastAsia="Verdana" w:hAnsi="Verdana"/>
                <w:sz w:val="20"/>
                <w:szCs w:val="20"/>
              </w:rPr>
              <w:t xml:space="preserve">•  Section 149 deductions for credit, marketing, processing and other activities.</w:t>
            </w:r>
          </w:p>
          <w:p>
            <w:pPr>
              <w:spacing w:after="60" w:line="260"/>
            </w:pPr>
            <w:r>
              <w:rPr>
                <w:rFonts w:ascii="Verdana" w:cs="Verdana" w:eastAsia="Verdana" w:hAnsi="Verdana"/>
                <w:sz w:val="20"/>
                <w:szCs w:val="20"/>
              </w:rPr>
              <w:t xml:space="preserve">•  Interest from commercial banks on surplus funds is generally taxable.</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D: CORPORATE TAX MATTERS</w:t>
      </w:r>
    </w:p>
    <w:p>
      <w:pPr>
        <w:shd w:fill="F6E8D2" w:color="auto" w:val="clear"/>
        <w:spacing w:after="200"/>
      </w:pPr>
      <w:r>
        <w:rPr>
          <w:rFonts w:ascii="Verdana" w:cs="Verdana" w:eastAsia="Verdana" w:hAnsi="Verdana"/>
          <w:i/>
          <w:iCs/>
          <w:color w:val="92400E"/>
          <w:sz w:val="20"/>
          <w:szCs w:val="20"/>
        </w:rPr>
        <w:t xml:space="preserve">  Company tax regimes, MAT, dividends, buyback, losses, start-ups, sectors, GST and Ind AS interplay</w:t>
      </w:r>
    </w:p>
    <w:p>
      <w:pPr>
        <w:spacing w:after="240" w:line="276"/>
        <w:jc w:val="both"/>
      </w:pPr>
      <w:r>
        <w:rPr>
          <w:rFonts w:ascii="Verdana" w:cs="Verdana" w:eastAsia="Verdana" w:hAnsi="Verdana"/>
          <w:i/>
          <w:iCs/>
          <w:color w:val="404040"/>
          <w:sz w:val="21"/>
          <w:szCs w:val="21"/>
        </w:rPr>
        <w:t xml:space="preserve">Companies face distinct questions: which rate regime to choose, how MAT operates after the Finance Act 2026, how dividends and buybacks are taxed, and how losses survive changes in ownership. This part also connects income tax with sector specific issues, GST and Ind AS, which finance teams deal with together.</w:t>
      </w:r>
    </w:p>
    <w:p>
      <w:pPr>
        <w:pStyle w:val="Heading1"/>
        <w:spacing w:after="200" w:before="120"/>
      </w:pPr>
      <w:r>
        <w:rPr>
          <w:rFonts w:ascii="Verdana" w:cs="Verdana" w:eastAsia="Verdana" w:hAnsi="Verdana"/>
        </w:rPr>
        <w:t xml:space="preserve">25. Taxation of Companies: Rates, Regimes and MAT</w:t>
      </w:r>
    </w:p>
    <w:p>
      <w:pPr>
        <w:pStyle w:val="Heading2"/>
        <w:keepNext/>
        <w:spacing w:after="120" w:before="240"/>
      </w:pPr>
      <w:r>
        <w:rPr>
          <w:rFonts w:ascii="Verdana" w:cs="Verdana" w:eastAsia="Verdana" w:hAnsi="Verdana"/>
        </w:rPr>
        <w:t xml:space="preserve">25.1 Which rate applies?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1300"/>
        <w:gridCol w:w="900"/>
        <w:gridCol w:w="900"/>
        <w:gridCol w:w="1900"/>
        <w:gridCol w:w="1700"/>
      </w:tblGrid>
      <w:tr>
        <w:trPr>
          <w:cantSplit/>
          <w:tblHeader/>
        </w:trPr>
        <w:tc>
          <w:tcPr>
            <w:tcW w:type="dxa" w:w="29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Company type</w:t>
            </w:r>
          </w:p>
        </w:tc>
        <w:tc>
          <w:tcPr>
            <w:tcW w:type="dxa" w:w="1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Base rate</w:t>
            </w:r>
          </w:p>
        </w:tc>
        <w:tc>
          <w:tcPr>
            <w:tcW w:type="dxa" w:w="1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Surcharge</w:t>
            </w:r>
          </w:p>
        </w:tc>
        <w:tc>
          <w:tcPr>
            <w:tcW w:type="dxa" w:w="1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Effective rate (max)</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Domestic company, normal (turnover up to Rs. 400 crore in the specified earlier year)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Finance Act rates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 above Rs. 1 cr; 12% above Rs. 10 cr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29.12%</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Domestic company, normal (other)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Finance Act rates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 / 12%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34.944%</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Manufacturing company set up after 1 March 2016 (option)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115BA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 / 12%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29.12%</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Domestic company, concessional regime (option)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115BAA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flat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25.168%</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manufacturing company (option, for units that began production by the sunset date)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115BAB</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flat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17.16%</w:t>
            </w:r>
          </w:p>
        </w:tc>
      </w:tr>
      <w:tr>
        <w:trPr>
          <w:cantSplit/>
        </w:trPr>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company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Finance Act rates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 above Rs. 1 cr; 5% above Rs. 10 cr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38.22%</w:t>
            </w:r>
          </w:p>
        </w:tc>
      </w:tr>
    </w:tbl>
    <w:p>
      <w:pPr>
        <w:spacing w:after="60"/>
      </w:pPr>
    </w:p>
    <w:p>
      <w:pPr>
        <w:spacing w:after="120" w:line="276"/>
        <w:jc w:val="both"/>
      </w:pPr>
      <w:r>
        <w:rPr>
          <w:rFonts w:ascii="Verdana" w:cs="Verdana" w:eastAsia="Verdana" w:hAnsi="Verdana"/>
        </w:rPr>
        <w:t xml:space="preserve">Cess of 4% applies on tax plus surcharge in all cases. Special rate incomes such as capital gains under sections 196 to 198 are taxed at those rates even for companies.</w:t>
      </w:r>
    </w:p>
    <w:p>
      <w:pPr>
        <w:pStyle w:val="Heading2"/>
        <w:keepNext/>
        <w:spacing w:after="120" w:before="240"/>
      </w:pPr>
      <w:r>
        <w:rPr>
          <w:rFonts w:ascii="Verdana" w:cs="Verdana" w:eastAsia="Verdana" w:hAnsi="Verdana"/>
        </w:rPr>
        <w:t xml:space="preserve">25.2 The concessional regime under section 200 (old 115BAA)</w:t>
      </w:r>
    </w:p>
    <w:p>
      <w:pPr>
        <w:spacing w:after="120" w:line="276"/>
        <w:jc w:val="both"/>
      </w:pPr>
      <w:r>
        <w:rPr>
          <w:rFonts w:ascii="Verdana" w:cs="Verdana" w:eastAsia="Verdana" w:hAnsi="Verdana"/>
        </w:rPr>
        <w:t xml:space="preserve">A domestic company can opt to pay tax at </w:t>
      </w:r>
      <w:r>
        <w:rPr>
          <w:rFonts w:ascii="Verdana" w:cs="Verdana" w:eastAsia="Verdana" w:hAnsi="Verdana"/>
          <w:b/>
          <w:bCs/>
        </w:rPr>
        <w:t xml:space="preserve">22%</w:t>
      </w:r>
      <w:r>
        <w:rPr>
          <w:rFonts w:ascii="Verdana" w:cs="Verdana" w:eastAsia="Verdana" w:hAnsi="Verdana"/>
        </w:rPr>
        <w:t xml:space="preserve"> (plus 10% surcharge and 4% cess) if it gives up specified incentives. Once exercised, the option cannot be withdrawn.</w:t>
      </w:r>
    </w:p>
    <w:p>
      <w:pPr>
        <w:pStyle w:val="ListParagraph"/>
        <w:numPr>
          <w:ilvl w:val="0"/>
          <w:numId w:val="2"/>
        </w:numPr>
        <w:spacing w:after="60" w:line="264"/>
      </w:pPr>
      <w:r>
        <w:rPr>
          <w:rFonts w:ascii="Verdana" w:cs="Verdana" w:eastAsia="Verdana" w:hAnsi="Verdana"/>
        </w:rPr>
        <w:t xml:space="preserve">No deduction for SEZ units (section 144, old 10AA), additional depreciation, tea, coffee and rubber development, scientific research weighted deductions, section 46 (old 35AD), agricultural extension, and profit-linked deductions in sections 138 to 152 (except section 146 for additional employees and, subject to the conditions in the Act, section 148 for inter-corporate dividends).</w:t>
      </w:r>
    </w:p>
    <w:p>
      <w:pPr>
        <w:pStyle w:val="ListParagraph"/>
        <w:numPr>
          <w:ilvl w:val="0"/>
          <w:numId w:val="2"/>
        </w:numPr>
        <w:spacing w:after="60" w:line="264"/>
      </w:pPr>
      <w:r>
        <w:rPr>
          <w:rFonts w:ascii="Verdana" w:cs="Verdana" w:eastAsia="Verdana" w:hAnsi="Verdana"/>
        </w:rPr>
        <w:t xml:space="preserve">Brought forward losses and depreciation attributable to these disallowed deductions cannot be set off.</w:t>
      </w:r>
    </w:p>
    <w:p>
      <w:pPr>
        <w:pStyle w:val="ListParagraph"/>
        <w:numPr>
          <w:ilvl w:val="0"/>
          <w:numId w:val="2"/>
        </w:numPr>
        <w:spacing w:after="60" w:line="264"/>
      </w:pPr>
      <w:r>
        <w:rPr>
          <w:rFonts w:ascii="Verdana" w:cs="Verdana" w:eastAsia="Verdana" w:hAnsi="Verdana"/>
          <w:b/>
          <w:bCs/>
        </w:rPr>
        <w:t xml:space="preserve">MAT does not apply.</w:t>
      </w:r>
      <w:r>
        <w:rPr>
          <w:rFonts w:ascii="Verdana" w:cs="Verdana" w:eastAsia="Verdana" w:hAnsi="Verdana"/>
        </w:rPr>
        <w:t xml:space="preserve"> Existing MAT credit can be used only as per the Finance Act 2026 rules explained below.</w:t>
      </w:r>
    </w:p>
    <w:p>
      <w:pPr>
        <w:pStyle w:val="ListParagraph"/>
        <w:numPr>
          <w:ilvl w:val="0"/>
          <w:numId w:val="2"/>
        </w:numPr>
        <w:spacing w:after="60" w:line="264"/>
      </w:pPr>
      <w:r>
        <w:rPr>
          <w:rFonts w:ascii="Verdana" w:cs="Verdana" w:eastAsia="Verdana" w:hAnsi="Verdana"/>
        </w:rPr>
        <w:t xml:space="preserve">The option is exercised in the prescribed form on or before the return due date of the first year.</w:t>
      </w:r>
    </w:p>
    <w:p>
      <w:pPr>
        <w:pStyle w:val="Heading2"/>
        <w:keepNext/>
        <w:spacing w:after="120" w:before="240"/>
      </w:pPr>
      <w:r>
        <w:rPr>
          <w:rFonts w:ascii="Verdana" w:cs="Verdana" w:eastAsia="Verdana" w:hAnsi="Verdana"/>
        </w:rPr>
        <w:t xml:space="preserve">25.3 Minimum Alternate Tax and Alternate Minimum Tax (section 206)</w:t>
      </w:r>
    </w:p>
    <w:p>
      <w:pPr>
        <w:spacing w:after="120" w:line="276"/>
        <w:jc w:val="both"/>
      </w:pPr>
      <w:r>
        <w:rPr>
          <w:rFonts w:ascii="Verdana" w:cs="Verdana" w:eastAsia="Verdana" w:hAnsi="Verdana"/>
        </w:rPr>
        <w:t xml:space="preserve">MAT (old 115JB) applies to companies that remain in the normal regime. If normal tax on taxable income is lower than the MAT rate on </w:t>
      </w:r>
      <w:r>
        <w:rPr>
          <w:rFonts w:ascii="Verdana" w:cs="Verdana" w:eastAsia="Verdana" w:hAnsi="Verdana"/>
          <w:b/>
          <w:bCs/>
        </w:rPr>
        <w:t xml:space="preserve">book profit</w:t>
      </w:r>
      <w:r>
        <w:rPr>
          <w:rFonts w:ascii="Verdana" w:cs="Verdana" w:eastAsia="Verdana" w:hAnsi="Verdana"/>
        </w:rPr>
        <w:t xml:space="preserve">, the company pays MAT. Book profit is the net profit in the statement of profit and loss, adjusted for specified items (income tax provided, deferred tax, reserves, provisions for unascertained liabilities, dividends, exempt incomes, lower of brought forward loss and unabsorbed depreciation, and so on). For Ind AS companies, there are further adjustments for other comprehensive income and transition amounts.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400"/>
        <w:gridCol w:w="36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Feature</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Up to Tax Year 2025-26 (1961 Act)</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From Tax Year 2026-27 (Finance Act 2026)</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rate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of book profit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w:t>
            </w:r>
            <w:r>
              <w:rPr>
                <w:rFonts w:ascii="Verdana" w:cs="Verdana" w:eastAsia="Verdana" w:hAnsi="Verdana"/>
                <w:sz w:val="19"/>
                <w:szCs w:val="19"/>
              </w:rPr>
              <w:t xml:space="preserve"> of book profit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credit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Excess of MAT over normal tax carried forward for 15 years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is a final tax.</w:t>
            </w:r>
            <w:r>
              <w:rPr>
                <w:rFonts w:ascii="Verdana" w:cs="Verdana" w:eastAsia="Verdana" w:hAnsi="Verdana"/>
                <w:sz w:val="19"/>
                <w:szCs w:val="19"/>
              </w:rPr>
              <w:t xml:space="preserve"> No new credit is created</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Use of old credit (normal regime)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Against excess of normal tax over MAT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Continues within the 15-year window, only to the extent normal tax exceeds MAT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Use of old credit (company shifting to section 200)</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available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 capped at </w:t>
            </w:r>
            <w:r>
              <w:rPr>
                <w:rFonts w:ascii="Verdana" w:cs="Verdana" w:eastAsia="Verdana" w:hAnsi="Verdana"/>
                <w:sz w:val="19"/>
                <w:szCs w:val="19"/>
              </w:rPr>
              <w:t xml:space="preserve">one fourth</w:t>
            </w:r>
            <w:r>
              <w:rPr>
                <w:rFonts w:ascii="Verdana" w:cs="Verdana" w:eastAsia="Verdana" w:hAnsi="Verdana"/>
                <w:sz w:val="19"/>
                <w:szCs w:val="19"/>
              </w:rPr>
              <w:t xml:space="preserve"> of the tax liability in a year</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IFSC units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AMT for non-corporates claiming certain deductions (old 115JC)</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18.5% of adjusted total income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206(2); check current rate and exemptions for small taxpayers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97: Normal regime vs MAT vs section 200</w:t>
            </w:r>
          </w:p>
          <w:p>
            <w:pPr>
              <w:spacing w:after="60" w:line="260"/>
            </w:pPr>
            <w:r>
              <w:rPr>
                <w:rFonts w:ascii="Verdana" w:cs="Verdana" w:eastAsia="Verdana" w:hAnsi="Verdana"/>
                <w:sz w:val="20"/>
                <w:szCs w:val="20"/>
              </w:rPr>
              <w:t xml:space="preserve">Vardhan Industries Ltd. (turnover Rs. 300 crore) has book profit of Rs. 10 crore. Because of an infrastructure deduction and additional depreciation, its taxable income under the normal regime is only Rs. 3 crore. Under section 200 it would lose those benefits and its taxable income would be Rs. 5 crore.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3800"/>
        <w:gridCol w:w="20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Option</w:t>
            </w:r>
          </w:p>
        </w:tc>
        <w:tc>
          <w:tcPr>
            <w:tcW w:type="dxa" w:w="3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Working</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(Rs.)</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Normal tax, old regime</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crore x 25% x 1.07 x 1.04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83,46,000</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(Finance Act 2026)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crore x 14% x 1.07 x 1.04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1,55,79,200</w:t>
            </w:r>
          </w:p>
        </w:tc>
      </w:tr>
      <w:tr>
        <w:trPr>
          <w:cantSplit/>
        </w:trPr>
        <w:tc>
          <w:tcPr>
            <w:tcW w:type="dxa" w:w="3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 payable in old regime (higher of the two)</w:t>
            </w:r>
          </w:p>
        </w:tc>
        <w:tc>
          <w:tcPr>
            <w:tcW w:type="dxa" w:w="3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MAT applies, no credit from 2026-27</w:t>
            </w:r>
          </w:p>
        </w:tc>
        <w:tc>
          <w:tcPr>
            <w:tcW w:type="dxa" w:w="2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1,55,79,200</w:t>
            </w:r>
          </w:p>
        </w:tc>
      </w:tr>
      <w:tr>
        <w:trPr>
          <w:cantSplit/>
        </w:trPr>
        <w:tc>
          <w:tcPr>
            <w:tcW w:type="dxa" w:w="3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Section 200 regime</w:t>
            </w:r>
          </w:p>
        </w:tc>
        <w:tc>
          <w:tcPr>
            <w:tcW w:type="dxa" w:w="3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5 crore x 22% x 1.10 x 1.04</w:t>
            </w:r>
          </w:p>
        </w:tc>
        <w:tc>
          <w:tcPr>
            <w:tcW w:type="dxa" w:w="2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1,25,84,000</w:t>
            </w:r>
          </w:p>
        </w:tc>
      </w:tr>
    </w:tbl>
    <w:p>
      <w:pPr>
        <w:spacing w:after="60"/>
      </w:pPr>
    </w:p>
    <w:p>
      <w:pPr>
        <w:spacing w:after="120" w:line="276"/>
        <w:jc w:val="both"/>
      </w:pPr>
      <w:r>
        <w:rPr>
          <w:rFonts w:ascii="Verdana" w:cs="Verdana" w:eastAsia="Verdana" w:hAnsi="Verdana"/>
        </w:rPr>
        <w:t xml:space="preserve">Moving to section 200 saves about </w:t>
      </w:r>
      <w:r>
        <w:rPr>
          <w:rFonts w:ascii="Verdana" w:cs="Verdana" w:eastAsia="Verdana" w:hAnsi="Verdana"/>
          <w:b/>
          <w:bCs/>
        </w:rPr>
        <w:t xml:space="preserve">Rs. 30 lakh</w:t>
      </w:r>
      <w:r>
        <w:rPr>
          <w:rFonts w:ascii="Verdana" w:cs="Verdana" w:eastAsia="Verdana" w:hAnsi="Verdana"/>
        </w:rPr>
        <w:t xml:space="preserve"> a year. Before 2026 the company might have stayed in the old regime to build MAT credit, but since MAT is now a final tax, that reason has largely gone. If it has old MAT credit, it can use it after switching, up to one fourth of its tax each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Prepare a multi-year model before advising on the switch: remaining tax holiday years, additional depreciation pipeline, MAT credit balance and its expiry, and expected profits. The section 200 option is irreversible.</w:t>
            </w:r>
          </w:p>
          <w:p>
            <w:pPr>
              <w:spacing w:after="60" w:line="260"/>
            </w:pPr>
            <w:r>
              <w:rPr>
                <w:rFonts w:ascii="Verdana" w:cs="Verdana" w:eastAsia="Verdana" w:hAnsi="Verdana"/>
                <w:sz w:val="20"/>
                <w:szCs w:val="20"/>
              </w:rPr>
              <w:t xml:space="preserve">MAT is computed and certified in Form 66 (old 29B); AMT in Form 67 (old 29C).</w:t>
            </w:r>
          </w:p>
        </w:tc>
      </w:tr>
    </w:tbl>
    <w:p>
      <w:pPr>
        <w:spacing w:after="60"/>
      </w:pPr>
    </w:p>
    <w:p>
      <w:pPr>
        <w:pStyle w:val="Heading2"/>
        <w:keepNext/>
        <w:spacing w:after="120" w:before="240"/>
      </w:pPr>
      <w:r>
        <w:rPr>
          <w:rFonts w:ascii="Verdana" w:cs="Verdana" w:eastAsia="Verdana" w:hAnsi="Verdana"/>
        </w:rPr>
        <w:t xml:space="preserve">25.4 Tax provisioning in the books</w:t>
      </w:r>
    </w:p>
    <w:p>
      <w:pPr>
        <w:spacing w:after="120" w:line="276"/>
        <w:jc w:val="both"/>
      </w:pPr>
      <w:r>
        <w:rPr>
          <w:rFonts w:ascii="Verdana" w:cs="Verdana" w:eastAsia="Verdana" w:hAnsi="Verdana"/>
        </w:rPr>
        <w:t xml:space="preserve">Finance teams must also get the accounting right. Under Ind AS 12 or AS 22, the tax expense has two parts: </w:t>
      </w:r>
      <w:r>
        <w:rPr>
          <w:rFonts w:ascii="Verdana" w:cs="Verdana" w:eastAsia="Verdana" w:hAnsi="Verdana"/>
          <w:b/>
          <w:bCs/>
        </w:rPr>
        <w:t xml:space="preserve">current tax</w:t>
      </w:r>
      <w:r>
        <w:rPr>
          <w:rFonts w:ascii="Verdana" w:cs="Verdana" w:eastAsia="Verdana" w:hAnsi="Verdana"/>
        </w:rPr>
        <w:t xml:space="preserve"> (the amount payable for the year) and </w:t>
      </w:r>
      <w:r>
        <w:rPr>
          <w:rFonts w:ascii="Verdana" w:cs="Verdana" w:eastAsia="Verdana" w:hAnsi="Verdana"/>
          <w:b/>
          <w:bCs/>
        </w:rPr>
        <w:t xml:space="preserve">deferred tax</w:t>
      </w:r>
      <w:r>
        <w:rPr>
          <w:rFonts w:ascii="Verdana" w:cs="Verdana" w:eastAsia="Verdana" w:hAnsi="Verdana"/>
        </w:rPr>
        <w:t xml:space="preserve"> (the tax effect of timing differences between book and tax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98: Deferred tax on depreciation</w:t>
            </w:r>
          </w:p>
          <w:p>
            <w:pPr>
              <w:spacing w:after="60" w:line="260"/>
            </w:pPr>
            <w:r>
              <w:rPr>
                <w:rFonts w:ascii="Verdana" w:cs="Verdana" w:eastAsia="Verdana" w:hAnsi="Verdana"/>
                <w:sz w:val="20"/>
                <w:szCs w:val="20"/>
              </w:rPr>
              <w:t xml:space="preserve">A company in the section 200 regime (25.168%) has book WDV of plant of Rs. 8 crore and tax WDV of Rs. 6 crore at year-end. Taxable temporary difference = Rs. 2 crore.</w:t>
            </w:r>
          </w:p>
          <w:p>
            <w:pPr>
              <w:spacing w:after="60" w:line="260"/>
            </w:pPr>
            <w:r>
              <w:rPr>
                <w:rFonts w:ascii="Verdana" w:cs="Verdana" w:eastAsia="Verdana" w:hAnsi="Verdana"/>
                <w:sz w:val="20"/>
                <w:szCs w:val="20"/>
              </w:rPr>
              <w:t xml:space="preserve">Deferred tax liability = 2 crore x 25.168% = </w:t>
            </w:r>
            <w:r>
              <w:rPr>
                <w:rFonts w:ascii="Verdana" w:cs="Verdana" w:eastAsia="Verdana" w:hAnsi="Verdana"/>
                <w:b/>
                <w:bCs/>
                <w:sz w:val="20"/>
                <w:szCs w:val="20"/>
              </w:rPr>
              <w:t xml:space="preserve">Rs. 50,33,600</w:t>
            </w:r>
            <w:r>
              <w:rPr>
                <w:rFonts w:ascii="Verdana" w:cs="Verdana" w:eastAsia="Verdana" w:hAnsi="Verdana"/>
                <w:sz w:val="20"/>
                <w:szCs w:val="20"/>
              </w:rPr>
              <w:t xml:space="preserve">. The movement in this balance during the year is the deferred tax charge or credit in the statement of profit and loss.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Always prepare an effective tax rate reconciliation (accounting profit x applicable rate, reconciled to actual tax expense). Auditors and investors review it, and it quickly shows missed disallowances or wrong rates.</w:t>
            </w:r>
          </w:p>
        </w:tc>
      </w:tr>
    </w:tbl>
    <w:p>
      <w:pPr>
        <w:spacing w:after="60"/>
      </w:pPr>
    </w:p>
    <w:p>
      <w:pPr>
        <w:pStyle w:val="Heading2"/>
        <w:keepNext/>
        <w:spacing w:after="120" w:before="240"/>
      </w:pPr>
      <w:r>
        <w:rPr>
          <w:rFonts w:ascii="Verdana" w:cs="Verdana" w:eastAsia="Verdana" w:hAnsi="Verdana"/>
        </w:rPr>
        <w:t xml:space="preserve">25.5 Computing book profit for MAT: the main adjustments</w:t>
      </w:r>
    </w:p>
    <w:p>
      <w:pPr>
        <w:spacing w:after="120" w:line="276"/>
        <w:jc w:val="both"/>
      </w:pPr>
      <w:r>
        <w:rPr>
          <w:rFonts w:ascii="Verdana" w:cs="Verdana" w:eastAsia="Verdana" w:hAnsi="Verdana"/>
        </w:rPr>
        <w:t xml:space="preserve">MAT starts from the net profit in the statement of profit and loss prepared under the Companies Act (after exceptional items, before other comprehensive income for Ind AS companies). The Act then requires specific adjustments so that book profit is not manipulated through reserves and provisions.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48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Add back (if debited)</w:t>
            </w:r>
          </w:p>
        </w:tc>
        <w:tc>
          <w:tcPr>
            <w:tcW w:type="dxa" w:w="4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Reduce (if credited or included)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tax paid or payable, and provision for it, including deferred tax</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Amounts withdrawn from reserves or provisions, if they were added back earlier</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Amounts carried to any reserve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income (other than certain items), and share of income from AOPs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Provisions for unascertained liabilities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Lower of brought forward loss and unabsorbed depreciation, as per books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 for diminution in value of assets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Deferred tax credited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Expenditure relating to exempt income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Notional gains on conversion of assets into stock-in-trade (taxed later)</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 paid or proposed</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Certain gains on transfer or restructuring as specified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99: MAT computation</w:t>
            </w:r>
          </w:p>
          <w:p>
            <w:pPr>
              <w:spacing w:after="60" w:line="260"/>
            </w:pPr>
            <w:r>
              <w:rPr>
                <w:rFonts w:ascii="Verdana" w:cs="Verdana" w:eastAsia="Verdana" w:hAnsi="Verdana"/>
                <w:sz w:val="20"/>
                <w:szCs w:val="20"/>
              </w:rPr>
              <w:t xml:space="preserve">Kaveri Chemicals Ltd. (normal regime, turnover Rs. 250 crore) reports net profit of Rs. 18 crore after debiting provision for income tax Rs. 4 crore, deferred tax Rs. 50 lakh, and provision for doubtful debts Rs. 1 crore. It credited dividend from an Indian company of Rs. 2 crore (taxable, so no MAT reduction). Brought forward loss as per books is Rs. 3 crore and unabsorbed depreciation as per books is Rs. 5 crore.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profit as per statement of profit and loss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provision for income tax</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deferred tax</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provision for doubtful debts (unascertained / diminution)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lower of brought forward loss (3 crore) and unabsorbed depreciation (5 crore)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Book profit</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20,50,00,000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at 14%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2,87,00,000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surcharge at 12% (book profit above Rs. 10 crore)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34,44,000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cess at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12,85,760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MAT payable if higher than normal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3,34,29,760</w:t>
            </w:r>
          </w:p>
        </w:tc>
      </w:tr>
    </w:tbl>
    <w:p>
      <w:pPr>
        <w:spacing w:after="60"/>
      </w:pPr>
    </w:p>
    <w:p>
      <w:pPr>
        <w:spacing w:after="120" w:line="276"/>
        <w:jc w:val="both"/>
      </w:pPr>
      <w:r>
        <w:rPr>
          <w:rFonts w:ascii="Verdana" w:cs="Verdana" w:eastAsia="Verdana" w:hAnsi="Verdana"/>
        </w:rPr>
        <w:t xml:space="preserve">Surcharge on MAT follows the same thresholds as for normal tax, applied to book profit. MAT is compared with tax on total income under the normal provisions; the higher is payable. From Tax Year 2026-27, no MAT credit arises when MAT is higher.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Book profit</w:t>
            </w:r>
          </w:p>
          <w:p>
            <w:pPr>
              <w:spacing w:after="60" w:line="260"/>
            </w:pPr>
            <w:r>
              <w:rPr>
                <w:rFonts w:ascii="Verdana" w:cs="Verdana" w:eastAsia="Verdana" w:hAnsi="Verdana"/>
                <w:b/>
                <w:bCs/>
                <w:sz w:val="20"/>
                <w:szCs w:val="20"/>
              </w:rPr>
              <w:t xml:space="preserve">Apollo Tyres Ltd. v. CIT (Supreme Court, 2002):</w:t>
            </w:r>
            <w:r>
              <w:rPr>
                <w:rFonts w:ascii="Verdana" w:cs="Verdana" w:eastAsia="Verdana" w:hAnsi="Verdana"/>
                <w:sz w:val="20"/>
                <w:szCs w:val="20"/>
              </w:rPr>
              <w:t xml:space="preserve"> for MAT, the Assessing Officer must accept the profit shown in accounts prepared and certified under the Companies Act, and can make only the adjustments specified in the provision; he cannot recompute the book profit.</w:t>
            </w:r>
          </w:p>
        </w:tc>
      </w:tr>
    </w:tbl>
    <w:p>
      <w:pPr>
        <w:spacing w:after="60"/>
      </w:pPr>
    </w:p>
    <w:p>
      <w:pPr>
        <w:pStyle w:val="Heading2"/>
        <w:keepNext/>
        <w:spacing w:after="120" w:before="240"/>
      </w:pPr>
      <w:r>
        <w:rPr>
          <w:rFonts w:ascii="Verdana" w:cs="Verdana" w:eastAsia="Verdana" w:hAnsi="Verdana"/>
        </w:rPr>
        <w:t xml:space="preserve">25.6 Dividend policy and tax</w:t>
      </w:r>
    </w:p>
    <w:p>
      <w:pPr>
        <w:spacing w:after="120" w:line="276"/>
        <w:jc w:val="both"/>
      </w:pPr>
      <w:r>
        <w:rPr>
          <w:rFonts w:ascii="Verdana" w:cs="Verdana" w:eastAsia="Verdana" w:hAnsi="Verdana"/>
        </w:rPr>
        <w:t xml:space="preserve">Since 2020, dividends are taxed in the hands of shareholders, so a company's choice between dividend, buyback and retention has different effects on different shareholders.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2800"/>
        <w:gridCol w:w="2600"/>
        <w:gridCol w:w="2200"/>
      </w:tblGrid>
      <w:tr>
        <w:trPr>
          <w:cantSplit/>
          <w:tblHeader/>
        </w:trPr>
        <w:tc>
          <w:tcPr>
            <w:tcW w:type="dxa" w:w="2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Route</w:t>
            </w:r>
          </w:p>
        </w:tc>
        <w:tc>
          <w:tcPr>
            <w:tcW w:type="dxa" w:w="2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Resident individual shareholder (30% slab)</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Corporate shareholder</w:t>
            </w:r>
          </w:p>
        </w:tc>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Non-resident shareholder</w:t>
            </w:r>
          </w:p>
        </w:tc>
      </w:tr>
      <w:tr>
        <w:trPr>
          <w:cantSplit/>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at slab rate (up to about 35.9% with the 15% surcharge cap and cess)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at the company's applicable rate, with section 148 deduction if distributed onward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Treaty rate, often 5% to 15%</w:t>
            </w:r>
          </w:p>
        </w:tc>
      </w:tr>
      <w:tr>
        <w:trPr>
          <w:cantSplit/>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Buyback (from Tax Year 2026-27)</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12.5% (long-term, above Rs. 1.25 lakh for listed) or 20% (short-term listed); promoters pay more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corporate promoters effective about 22%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as per treaty</w:t>
            </w:r>
          </w:p>
        </w:tc>
      </w:tr>
      <w:tr>
        <w:trPr>
          <w:cantSplit/>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Retention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deferred until sale of shares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For closely held companies with resident individual promoters in the top slab, a buyback may be cheaper than dividends for non-promoter holders but not always for promoters, due to the additional promoter tax. Model after-tax cash for each shareholder group before recommending.</w:t>
            </w:r>
          </w:p>
        </w:tc>
      </w:tr>
    </w:tbl>
    <w:p>
      <w:pPr>
        <w:spacing w:after="60"/>
      </w:pPr>
    </w:p>
    <w:p>
      <w:pPr>
        <w:pStyle w:val="Heading2"/>
        <w:keepNext/>
        <w:spacing w:after="120" w:before="240"/>
      </w:pPr>
      <w:r>
        <w:rPr>
          <w:rFonts w:ascii="Verdana" w:cs="Verdana" w:eastAsia="Verdana" w:hAnsi="Verdana"/>
        </w:rPr>
        <w:t xml:space="preserve">25.7 Corporate tax computation: full illustration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100: Current tax for a company under section 200</w:t>
            </w:r>
          </w:p>
          <w:p>
            <w:pPr>
              <w:spacing w:after="60" w:line="260"/>
            </w:pPr>
            <w:r>
              <w:rPr>
                <w:rFonts w:ascii="Verdana" w:cs="Verdana" w:eastAsia="Verdana" w:hAnsi="Verdana"/>
                <w:sz w:val="20"/>
                <w:szCs w:val="20"/>
              </w:rPr>
              <w:t xml:space="preserve">Sunrise Foods Pvt. Ltd. has opted for section 200. For Tax Year 2026-27, profit before tax in the books is Rs. 12 crore. Book depreciation Rs. 2 crore; tax depreciation Rs. 2.6 crore. CSR spend Rs. 25 lakh. Provision for warranty (not reasonably certain) Rs. 40 lakh. Interest on late GST payment Rs. 5 lakh (compensatory, allowable). Penalty for violation of food safety law Rs. 3 lakh. Dividend received from an Indian company Rs. 50 lakh (taxable). Long-term capital gain on sale of listed shares Rs. 1 crore (included in profit).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 before tax</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book depreciation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CSR expenditure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warranty provision not allowable under ICDS X</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penalty for violation of law</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tax depreciation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(2,60,00,000)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LTCG included in profit (taxed separately)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dividend (taxed under other sources, shown separately)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Business income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10,58,00,000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dividend (other sources)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Income taxable at 22%</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11,08,00,000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at 22%</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2,43,76,000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listed shares (section 198): 12.5% on Rs. 98,75,000 (after Rs. 1,25,000 exemption)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12,34,375</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Surcharge 10% on total tax (concessional regime flat 10%)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25,61,038</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11,26,857</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Current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2,92,98,270</w:t>
            </w:r>
          </w:p>
        </w:tc>
      </w:tr>
    </w:tbl>
    <w:p>
      <w:pPr>
        <w:spacing w:after="60"/>
      </w:pPr>
    </w:p>
    <w:p>
      <w:pPr>
        <w:spacing w:after="120" w:line="276"/>
        <w:jc w:val="both"/>
      </w:pPr>
      <w:r>
        <w:rPr>
          <w:rFonts w:ascii="Verdana" w:cs="Verdana" w:eastAsia="Verdana" w:hAnsi="Verdana"/>
        </w:rPr>
        <w:t xml:space="preserve">Two practical points. First, the Rs. 1,25,000 exemption under section 198 applies to every assessee, including companies. Second, companies in section 200 pay a flat 10% surcharge irrespective of income, which is why the effective rate is 25.168%.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Domestic companies choose between normal rates (25% or 30%) and section 200 (22%, effective 25.168%).</w:t>
            </w:r>
          </w:p>
          <w:p>
            <w:pPr>
              <w:spacing w:after="60" w:line="260"/>
            </w:pPr>
            <w:r>
              <w:rPr>
                <w:rFonts w:ascii="Verdana" w:cs="Verdana" w:eastAsia="Verdana" w:hAnsi="Verdana"/>
                <w:sz w:val="20"/>
                <w:szCs w:val="20"/>
              </w:rPr>
              <w:t xml:space="preserve">•  MAT is 14% of book profit from Tax Year 2026-27 and is a final tax.</w:t>
            </w:r>
          </w:p>
          <w:p>
            <w:pPr>
              <w:spacing w:after="60" w:line="260"/>
            </w:pPr>
            <w:r>
              <w:rPr>
                <w:rFonts w:ascii="Verdana" w:cs="Verdana" w:eastAsia="Verdana" w:hAnsi="Verdana"/>
                <w:sz w:val="20"/>
                <w:szCs w:val="20"/>
              </w:rPr>
              <w:t xml:space="preserve">•  Old MAT credit can be used up to one fourth of tax after switching to section 200.</w:t>
            </w:r>
          </w:p>
          <w:p>
            <w:pPr>
              <w:spacing w:after="60" w:line="260"/>
            </w:pPr>
            <w:r>
              <w:rPr>
                <w:rFonts w:ascii="Verdana" w:cs="Verdana" w:eastAsia="Verdana" w:hAnsi="Verdana"/>
                <w:sz w:val="20"/>
                <w:szCs w:val="20"/>
              </w:rPr>
              <w:t xml:space="preserve">•  Model the switch year using multi-year projections; the option is irreversible.</w:t>
            </w:r>
          </w:p>
        </w:tc>
      </w:tr>
    </w:tbl>
    <w:p>
      <w:pPr>
        <w:pStyle w:val="Heading1"/>
        <w:pageBreakBefore/>
        <w:spacing w:after="200" w:before="0"/>
      </w:pPr>
      <w:r>
        <w:rPr>
          <w:rFonts w:ascii="Verdana" w:cs="Verdana" w:eastAsia="Verdana" w:hAnsi="Verdana"/>
        </w:rPr>
        <w:t xml:space="preserve">26. Other Corporate Tax Matters</w:t>
      </w:r>
    </w:p>
    <w:p>
      <w:pPr>
        <w:pStyle w:val="Heading2"/>
        <w:keepNext/>
        <w:spacing w:after="120" w:before="240"/>
      </w:pPr>
      <w:r>
        <w:rPr>
          <w:rFonts w:ascii="Verdana" w:cs="Verdana" w:eastAsia="Verdana" w:hAnsi="Verdana"/>
        </w:rPr>
        <w:t xml:space="preserve">26.1 Dividends, deemed dividends and inter-corporate dividends</w:t>
      </w:r>
    </w:p>
    <w:p>
      <w:pPr>
        <w:pStyle w:val="ListParagraph"/>
        <w:numPr>
          <w:ilvl w:val="0"/>
          <w:numId w:val="2"/>
        </w:numPr>
        <w:spacing w:after="60" w:line="264"/>
      </w:pPr>
      <w:r>
        <w:rPr>
          <w:rFonts w:ascii="Verdana" w:cs="Verdana" w:eastAsia="Verdana" w:hAnsi="Verdana"/>
        </w:rPr>
        <w:t xml:space="preserve">There is no dividend distribution tax. Dividends are taxed in the hands of shareholders, with TDS at 10% for residents above Rs. 10,000 and at 20% (or treaty rate) for non-residents.</w:t>
      </w:r>
    </w:p>
    <w:p>
      <w:pPr>
        <w:pStyle w:val="ListParagraph"/>
        <w:numPr>
          <w:ilvl w:val="0"/>
          <w:numId w:val="2"/>
        </w:numPr>
        <w:spacing w:after="60" w:line="264"/>
      </w:pPr>
      <w:r>
        <w:rPr>
          <w:rFonts w:ascii="Verdana" w:cs="Verdana" w:eastAsia="Verdana" w:hAnsi="Verdana"/>
        </w:rPr>
        <w:t xml:space="preserve">Deemed dividends under the definition in section 2 apply to closely held companies (see Income from Other Sources).</w:t>
      </w:r>
    </w:p>
    <w:p>
      <w:pPr>
        <w:pStyle w:val="ListParagraph"/>
        <w:numPr>
          <w:ilvl w:val="0"/>
          <w:numId w:val="2"/>
        </w:numPr>
        <w:spacing w:after="60" w:line="264"/>
      </w:pPr>
      <w:r>
        <w:rPr>
          <w:rFonts w:ascii="Verdana" w:cs="Verdana" w:eastAsia="Verdana" w:hAnsi="Verdana"/>
        </w:rPr>
        <w:t xml:space="preserve">A domestic company receiving dividend from another company can claim a deduction under section 148 (old 80M) to the extent it distributes dividend at least one month before the return due date. Check eligibility where the company is under section 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101: Inter-corporate dividend</w:t>
            </w:r>
          </w:p>
          <w:p>
            <w:pPr>
              <w:spacing w:after="60" w:line="260"/>
            </w:pPr>
            <w:r>
              <w:rPr>
                <w:rFonts w:ascii="Verdana" w:cs="Verdana" w:eastAsia="Verdana" w:hAnsi="Verdana"/>
                <w:sz w:val="20"/>
                <w:szCs w:val="20"/>
              </w:rPr>
              <w:t xml:space="preserve">Holdco Ltd. receives Rs. 5 crore dividend from its subsidiary and itself declares Rs. 3 crore dividend to its shareholders before 30 September 2027. Deduction under section 148 = </w:t>
            </w:r>
            <w:r>
              <w:rPr>
                <w:rFonts w:ascii="Verdana" w:cs="Verdana" w:eastAsia="Verdana" w:hAnsi="Verdana"/>
                <w:b/>
                <w:bCs/>
                <w:sz w:val="20"/>
                <w:szCs w:val="20"/>
              </w:rPr>
              <w:t xml:space="preserve">Rs. 3 crore</w:t>
            </w:r>
            <w:r>
              <w:rPr>
                <w:rFonts w:ascii="Verdana" w:cs="Verdana" w:eastAsia="Verdana" w:hAnsi="Verdana"/>
                <w:sz w:val="20"/>
                <w:szCs w:val="20"/>
              </w:rPr>
              <w:t xml:space="preserve">. Taxable dividend in Holdco = Rs. 2 crore.</w:t>
            </w:r>
          </w:p>
        </w:tc>
      </w:tr>
    </w:tbl>
    <w:p>
      <w:pPr>
        <w:spacing w:after="60"/>
      </w:pPr>
    </w:p>
    <w:p>
      <w:pPr>
        <w:pStyle w:val="Heading2"/>
        <w:keepNext/>
        <w:spacing w:after="120" w:before="240"/>
      </w:pPr>
      <w:r>
        <w:rPr>
          <w:rFonts w:ascii="Verdana" w:cs="Verdana" w:eastAsia="Verdana" w:hAnsi="Verdana"/>
        </w:rPr>
        <w:t xml:space="preserve">26.2 Buyback of shares</w:t>
      </w:r>
    </w:p>
    <w:p>
      <w:pPr>
        <w:spacing w:after="120" w:line="276"/>
        <w:jc w:val="both"/>
      </w:pPr>
      <w:r>
        <w:rPr>
          <w:rFonts w:ascii="Verdana" w:cs="Verdana" w:eastAsia="Verdana" w:hAnsi="Verdana"/>
        </w:rPr>
        <w:t xml:space="preserve">From Tax Year 2026-27, the amount received on buyback is taxed as </w:t>
      </w:r>
      <w:r>
        <w:rPr>
          <w:rFonts w:ascii="Verdana" w:cs="Verdana" w:eastAsia="Verdana" w:hAnsi="Verdana"/>
          <w:b/>
          <w:bCs/>
        </w:rPr>
        <w:t xml:space="preserve">capital gains</w:t>
      </w:r>
      <w:r>
        <w:rPr>
          <w:rFonts w:ascii="Verdana" w:cs="Verdana" w:eastAsia="Verdana" w:hAnsi="Verdana"/>
        </w:rPr>
        <w:t xml:space="preserve"> in the hands of shareholders. The company itself does not pay buyback tax. Promoter shareholders pay an additional tax so that the effective rate is about 22% for corporate promoters and 30% for non-corporate promoters (plus surcharge and cess as applicable). Compare with a dividend route using a multi-year model before recommending either.</w:t>
      </w:r>
    </w:p>
    <w:p>
      <w:pPr>
        <w:pStyle w:val="Heading2"/>
        <w:keepNext/>
        <w:spacing w:after="120" w:before="240"/>
      </w:pPr>
      <w:r>
        <w:rPr>
          <w:rFonts w:ascii="Verdana" w:cs="Verdana" w:eastAsia="Verdana" w:hAnsi="Verdana"/>
        </w:rPr>
        <w:t xml:space="preserve">26.3 Carry forward of losses in closely held companies (section 119, old 79)</w:t>
      </w:r>
    </w:p>
    <w:p>
      <w:pPr>
        <w:spacing w:after="120" w:line="276"/>
        <w:jc w:val="both"/>
      </w:pPr>
      <w:r>
        <w:rPr>
          <w:rFonts w:ascii="Verdana" w:cs="Verdana" w:eastAsia="Verdana" w:hAnsi="Verdana"/>
        </w:rPr>
        <w:t xml:space="preserve">A company in which the public is not substantially interested can carry forward and set off business losses only if shares carrying at least </w:t>
      </w:r>
      <w:r>
        <w:rPr>
          <w:rFonts w:ascii="Verdana" w:cs="Verdana" w:eastAsia="Verdana" w:hAnsi="Verdana"/>
          <w:b/>
          <w:bCs/>
        </w:rPr>
        <w:t xml:space="preserve">51% of voting power</w:t>
      </w:r>
      <w:r>
        <w:rPr>
          <w:rFonts w:ascii="Verdana" w:cs="Verdana" w:eastAsia="Verdana" w:hAnsi="Verdana"/>
        </w:rPr>
        <w:t xml:space="preserve"> were beneficially held by the same persons on the last day of the loss year and the year of set off. The 2025 Act makes clear that a change above 49% permanently extinguishes the right. Unabsorbed depreciation is not affected.</w:t>
      </w:r>
    </w:p>
    <w:p>
      <w:pPr>
        <w:spacing w:after="120" w:line="276"/>
        <w:jc w:val="both"/>
      </w:pPr>
      <w:r>
        <w:rPr>
          <w:rFonts w:ascii="Verdana" w:cs="Verdana" w:eastAsia="Verdana" w:hAnsi="Verdana"/>
          <w:b/>
          <w:bCs/>
        </w:rPr>
        <w:t xml:space="preserve">Eligible start-ups</w:t>
      </w:r>
      <w:r>
        <w:rPr>
          <w:rFonts w:ascii="Verdana" w:cs="Verdana" w:eastAsia="Verdana" w:hAnsi="Verdana"/>
        </w:rPr>
        <w:t xml:space="preserve"> get relaxation: loss of the first ten years can be carried forward if all the original shareholders continue to hold their shares, even if the 51% test fails because of fresh investment.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102: Investor exit</w:t>
            </w:r>
          </w:p>
          <w:p>
            <w:pPr>
              <w:spacing w:after="60" w:line="260"/>
            </w:pPr>
            <w:r>
              <w:rPr>
                <w:rFonts w:ascii="Verdana" w:cs="Verdana" w:eastAsia="Verdana" w:hAnsi="Verdana"/>
                <w:sz w:val="20"/>
                <w:szCs w:val="20"/>
              </w:rPr>
              <w:t xml:space="preserve">Nexa Tech Pvt. Ltd. has brought forward business loss of Rs. 5 crore. In Tax Year 2026-27, founders sell 60% of the shares to a strategic buyer. The 51% continuity test fails, so the </w:t>
            </w:r>
            <w:r>
              <w:rPr>
                <w:rFonts w:ascii="Verdana" w:cs="Verdana" w:eastAsia="Verdana" w:hAnsi="Verdana"/>
                <w:b/>
                <w:bCs/>
                <w:sz w:val="20"/>
                <w:szCs w:val="20"/>
              </w:rPr>
              <w:t xml:space="preserve">Rs. 5 crore loss lapses</w:t>
            </w:r>
            <w:r>
              <w:rPr>
                <w:rFonts w:ascii="Verdana" w:cs="Verdana" w:eastAsia="Verdana" w:hAnsi="Verdana"/>
                <w:sz w:val="20"/>
                <w:szCs w:val="20"/>
              </w:rPr>
              <w:t xml:space="preserve">. Unabsorbed depreciation of Rs. 80 lakh can still be carried forward. Factor this into deal valuation.</w:t>
            </w:r>
          </w:p>
        </w:tc>
      </w:tr>
    </w:tbl>
    <w:p>
      <w:pPr>
        <w:spacing w:after="60"/>
      </w:pPr>
    </w:p>
    <w:p>
      <w:pPr>
        <w:pStyle w:val="Heading2"/>
        <w:keepNext/>
        <w:spacing w:after="120" w:before="240"/>
      </w:pPr>
      <w:r>
        <w:rPr>
          <w:rFonts w:ascii="Verdana" w:cs="Verdana" w:eastAsia="Verdana" w:hAnsi="Verdana"/>
        </w:rPr>
        <w:t xml:space="preserve">26.4 Start-ups and angel investments</w:t>
      </w:r>
    </w:p>
    <w:p>
      <w:pPr>
        <w:pStyle w:val="ListParagraph"/>
        <w:numPr>
          <w:ilvl w:val="0"/>
          <w:numId w:val="2"/>
        </w:numPr>
        <w:spacing w:after="60" w:line="264"/>
      </w:pPr>
      <w:r>
        <w:rPr>
          <w:rFonts w:ascii="Verdana" w:cs="Verdana" w:eastAsia="Verdana" w:hAnsi="Verdana"/>
        </w:rPr>
        <w:t xml:space="preserve">Eligible start-ups (incorporated within the notified period, turnover up to Rs. 100 crore, recognised by DPIIT and certified by the Board) can claim 100% deduction of profits for any 3 consecutive years out of the first 10 under section 140 (old 80-IAC).</w:t>
      </w:r>
    </w:p>
    <w:p>
      <w:pPr>
        <w:pStyle w:val="ListParagraph"/>
        <w:numPr>
          <w:ilvl w:val="0"/>
          <w:numId w:val="2"/>
        </w:numPr>
        <w:spacing w:after="60" w:line="264"/>
      </w:pPr>
      <w:r>
        <w:rPr>
          <w:rFonts w:ascii="Verdana" w:cs="Verdana" w:eastAsia="Verdana" w:hAnsi="Verdana"/>
        </w:rPr>
        <w:t xml:space="preserve">The "angel tax" on share premium above FMV (old section 56(2)(viib)) has been abolished and does not appear in the 2025 Act. Share capital credits must still be explained under section 102.</w:t>
      </w:r>
    </w:p>
    <w:p>
      <w:pPr>
        <w:pStyle w:val="ListParagraph"/>
        <w:numPr>
          <w:ilvl w:val="0"/>
          <w:numId w:val="2"/>
        </w:numPr>
        <w:spacing w:after="60" w:line="264"/>
      </w:pPr>
      <w:r>
        <w:rPr>
          <w:rFonts w:ascii="Verdana" w:cs="Verdana" w:eastAsia="Verdana" w:hAnsi="Verdana"/>
        </w:rPr>
        <w:t xml:space="preserve">ESOP perquisite tax for employees of eligible start-ups can be deferred to the earliest of 48 months, exit or sale.</w:t>
      </w:r>
    </w:p>
    <w:p>
      <w:pPr>
        <w:pStyle w:val="Heading2"/>
        <w:keepNext/>
        <w:spacing w:after="120" w:before="240"/>
      </w:pPr>
      <w:r>
        <w:rPr>
          <w:rFonts w:ascii="Verdana" w:cs="Verdana" w:eastAsia="Verdana" w:hAnsi="Verdana"/>
        </w:rPr>
        <w:t xml:space="preserve">26.5 IFSC units (section 147, old 80LA)</w:t>
      </w:r>
    </w:p>
    <w:p>
      <w:pPr>
        <w:spacing w:after="120" w:line="276"/>
        <w:jc w:val="both"/>
      </w:pPr>
      <w:r>
        <w:rPr>
          <w:rFonts w:ascii="Verdana" w:cs="Verdana" w:eastAsia="Verdana" w:hAnsi="Verdana"/>
        </w:rPr>
        <w:t xml:space="preserve">Units in an International Financial Services Centre get a 100% deduction for 10 consecutive years out of 15, a MAT rate of 9%, and several exemptions for funds, ship leasing and aircraft leasing. Relocation of offshore funds to IFSC is tax-neutral within the notified window.</w:t>
      </w:r>
    </w:p>
    <w:p>
      <w:pPr>
        <w:pStyle w:val="Heading2"/>
        <w:keepNext/>
        <w:spacing w:after="120" w:before="240"/>
      </w:pPr>
      <w:r>
        <w:rPr>
          <w:rFonts w:ascii="Verdana" w:cs="Verdana" w:eastAsia="Verdana" w:hAnsi="Verdana"/>
        </w:rPr>
        <w:t xml:space="preserve">26.6 Income Computation and Disclosure Standards and method of accounting (section 276)</w:t>
      </w:r>
    </w:p>
    <w:p>
      <w:pPr>
        <w:spacing w:after="120" w:line="276"/>
        <w:jc w:val="both"/>
      </w:pPr>
      <w:r>
        <w:rPr>
          <w:rFonts w:ascii="Verdana" w:cs="Verdana" w:eastAsia="Verdana" w:hAnsi="Verdana"/>
        </w:rPr>
        <w:t xml:space="preserve">Business income must be computed using the cash or mercantile method regularly followed, subject to the notified ICDS. ICDS differ from Ind AS and AS in areas such as provisions (only when reasonably certain), foreign exchange (MTM on monetary items), construction contracts (percentage of completion, retention money), government grants and securities. Form 26 requires disclosure of ICDS adjustments.</w:t>
      </w:r>
    </w:p>
    <w:p>
      <w:pPr>
        <w:pStyle w:val="Heading2"/>
        <w:keepNext/>
        <w:spacing w:after="120" w:before="240"/>
      </w:pPr>
      <w:r>
        <w:rPr>
          <w:rFonts w:ascii="Verdana" w:cs="Verdana" w:eastAsia="Verdana" w:hAnsi="Verdana"/>
        </w:rPr>
        <w:t xml:space="preserve">26.7 Corporate compliance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2400"/>
        <w:gridCol w:w="3800"/>
      </w:tblGrid>
      <w:tr>
        <w:trPr>
          <w:cantSplit/>
          <w:tblHeader/>
        </w:trPr>
        <w:tc>
          <w:tcPr>
            <w:tcW w:type="dxa" w:w="3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 (new)</w:t>
            </w:r>
          </w:p>
        </w:tc>
        <w:tc>
          <w:tcPr>
            <w:tcW w:type="dxa" w:w="3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 for Tax Year 2026-27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tax</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Challan</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June, 15 September, 15 December 2026, 15 March 2027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and TCS deposit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Challan</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7th of next month (30 April for March)</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Quarterly TDS / TCS statements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138, 140, 144 / 143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July, 31 October, 31 January, 31 May</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audit report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September 2027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 report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48</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October 2027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(audit cases)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October 2027 (30 November 2027 for TP cases)</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report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 the return</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Statement of financial transactions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May 2027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Master file / CbCR (if applicable)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56 / 59</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Master file by the return due date (30 November 2027); CbCR within 12 months of year-end</w:t>
            </w:r>
          </w:p>
        </w:tc>
      </w:tr>
    </w:tbl>
    <w:p>
      <w:pPr>
        <w:spacing w:after="60"/>
      </w:pPr>
    </w:p>
    <w:p>
      <w:pPr>
        <w:pStyle w:val="Heading2"/>
        <w:keepNext/>
        <w:spacing w:after="120" w:before="240"/>
      </w:pPr>
      <w:r>
        <w:rPr>
          <w:rFonts w:ascii="Verdana" w:cs="Verdana" w:eastAsia="Verdana" w:hAnsi="Verdana"/>
        </w:rPr>
        <w:t xml:space="preserve">26.8 Deemed dividend: detailed conditions</w:t>
      </w:r>
    </w:p>
    <w:p>
      <w:pPr>
        <w:spacing w:after="120" w:line="276"/>
        <w:jc w:val="both"/>
      </w:pPr>
      <w:r>
        <w:rPr>
          <w:rFonts w:ascii="Verdana" w:cs="Verdana" w:eastAsia="Verdana" w:hAnsi="Verdana"/>
        </w:rPr>
        <w:t xml:space="preserve">A payment by a closely held company is deemed dividend to the extent of its accumulated profits, if it is:</w:t>
      </w:r>
    </w:p>
    <w:p>
      <w:pPr>
        <w:pStyle w:val="ListParagraph"/>
        <w:numPr>
          <w:ilvl w:val="0"/>
          <w:numId w:val="2"/>
        </w:numPr>
        <w:spacing w:after="60" w:line="264"/>
      </w:pPr>
      <w:r>
        <w:rPr>
          <w:rFonts w:ascii="Verdana" w:cs="Verdana" w:eastAsia="Verdana" w:hAnsi="Verdana"/>
        </w:rPr>
        <w:t xml:space="preserve">A loan or advance to a shareholder who beneficially holds 10% or more of voting power.</w:t>
      </w:r>
    </w:p>
    <w:p>
      <w:pPr>
        <w:pStyle w:val="ListParagraph"/>
        <w:numPr>
          <w:ilvl w:val="0"/>
          <w:numId w:val="2"/>
        </w:numPr>
        <w:spacing w:after="60" w:line="264"/>
      </w:pPr>
      <w:r>
        <w:rPr>
          <w:rFonts w:ascii="Verdana" w:cs="Verdana" w:eastAsia="Verdana" w:hAnsi="Verdana"/>
        </w:rPr>
        <w:t xml:space="preserve">A loan or advance to a concern (firm, company, HUF) in which such a shareholder is a member or partner and has a substantial interest (20% or more).</w:t>
      </w:r>
    </w:p>
    <w:p>
      <w:pPr>
        <w:pStyle w:val="ListParagraph"/>
        <w:numPr>
          <w:ilvl w:val="0"/>
          <w:numId w:val="2"/>
        </w:numPr>
        <w:spacing w:after="60" w:line="264"/>
      </w:pPr>
      <w:r>
        <w:rPr>
          <w:rFonts w:ascii="Verdana" w:cs="Verdana" w:eastAsia="Verdana" w:hAnsi="Verdana"/>
        </w:rPr>
        <w:t xml:space="preserve">A payment on behalf of, or for the individual benefit of, such a shareholder.</w:t>
      </w:r>
    </w:p>
    <w:p>
      <w:pPr>
        <w:spacing w:after="120" w:line="276"/>
        <w:jc w:val="both"/>
      </w:pPr>
      <w:r>
        <w:rPr>
          <w:rFonts w:ascii="Verdana" w:cs="Verdana" w:eastAsia="Verdana" w:hAnsi="Verdana"/>
          <w:b/>
          <w:bCs/>
        </w:rPr>
        <w:t xml:space="preserve">Exclusions:</w:t>
      </w:r>
      <w:r>
        <w:rPr>
          <w:rFonts w:ascii="Verdana" w:cs="Verdana" w:eastAsia="Verdana" w:hAnsi="Verdana"/>
        </w:rPr>
        <w:t xml:space="preserve"> loans by a company whose substantial business is money lending, in the ordinary course of that business; advances in the course of normal commercial transactions (trade advances); and amounts later set off against dividends actually declared, to the extent already taxed.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Deemed dividend and the recipient</w:t>
            </w:r>
          </w:p>
          <w:p>
            <w:pPr>
              <w:spacing w:after="60" w:line="260"/>
            </w:pPr>
            <w:r>
              <w:rPr>
                <w:rFonts w:ascii="Verdana" w:cs="Verdana" w:eastAsia="Verdana" w:hAnsi="Verdana"/>
                <w:sz w:val="20"/>
                <w:szCs w:val="20"/>
              </w:rPr>
              <w:t xml:space="preserve">In CIT v. Ankitech Pvt. Ltd. (Delhi High Court, 2011), approved by the Supreme Court in CIT v. Madhur Housing and Development Co. (2017), it was held that where a loan is given to a concern in which the shareholder has substantial interest, the deemed dividend is taxed in the hands of the </w:t>
            </w:r>
            <w:r>
              <w:rPr>
                <w:rFonts w:ascii="Verdana" w:cs="Verdana" w:eastAsia="Verdana" w:hAnsi="Verdana"/>
                <w:b/>
                <w:bCs/>
                <w:sz w:val="20"/>
                <w:szCs w:val="20"/>
              </w:rPr>
              <w:t xml:space="preserve">shareholder</w:t>
            </w:r>
            <w:r>
              <w:rPr>
                <w:rFonts w:ascii="Verdana" w:cs="Verdana" w:eastAsia="Verdana" w:hAnsi="Verdana"/>
                <w:sz w:val="20"/>
                <w:szCs w:val="20"/>
              </w:rPr>
              <w:t xml:space="preserve">, not the borrowing concern, since the concern is not a shareholder. However, in National Travel Services v. CIT (2018), a bench of the Supreme Court doubted this view and referred the question to a larger bench; check the current position before advising. Trade advances for business purposes have consistently been held to be outside the provision.</w:t>
            </w:r>
          </w:p>
        </w:tc>
      </w:tr>
    </w:tbl>
    <w:p>
      <w:pPr>
        <w:spacing w:after="60"/>
      </w:pPr>
    </w:p>
    <w:p>
      <w:pPr>
        <w:pStyle w:val="Heading2"/>
        <w:keepNext/>
        <w:spacing w:after="120" w:before="240"/>
      </w:pPr>
      <w:r>
        <w:rPr>
          <w:rFonts w:ascii="Verdana" w:cs="Verdana" w:eastAsia="Verdana" w:hAnsi="Verdana"/>
        </w:rPr>
        <w:t xml:space="preserve">26.9 Section 119 (old 79): how to apply the 51%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8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to check</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 the company one in which the public is substantially interested (listed, or a subsidiary of such company)? If yes, section 119 does not apply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Identify beneficial owners of shares carrying voting power on the last day of the loss year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Identify beneficial owners on the last day of the year in which set off is claimed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 that shares carrying at least 51% of voting power are held by the same persons on both dates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 eligible start-ups, check the alternative test: all shareholders of the loss year continue to hold those shares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Consider exceptions: change due to death or gift to relatives, amalgamation or demerger of a foreign holding company where 51% shareholders of the amalgamating company continue, and insolvency resolution plans approved under the IBC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In a funding round or share sale, compute the change in beneficial voting shareholding on a cumulative basis from the loss year. Small rounds add up, and one more round may cross 49% and wipe out years of losses.</w:t>
            </w:r>
          </w:p>
        </w:tc>
      </w:tr>
    </w:tbl>
    <w:p>
      <w:pPr>
        <w:spacing w:after="60"/>
      </w:pPr>
    </w:p>
    <w:p>
      <w:pPr>
        <w:pStyle w:val="Heading2"/>
        <w:keepNext/>
        <w:spacing w:after="120" w:before="240"/>
      </w:pPr>
      <w:r>
        <w:rPr>
          <w:rFonts w:ascii="Verdana" w:cs="Verdana" w:eastAsia="Verdana" w:hAnsi="Verdana"/>
        </w:rPr>
        <w:t xml:space="preserve">26.10 Start-ups: more detail</w:t>
      </w:r>
    </w:p>
    <w:p>
      <w:pPr>
        <w:pStyle w:val="ListParagraph"/>
        <w:numPr>
          <w:ilvl w:val="0"/>
          <w:numId w:val="2"/>
        </w:numPr>
        <w:spacing w:after="60" w:line="264"/>
      </w:pPr>
      <w:r>
        <w:rPr>
          <w:rFonts w:ascii="Verdana" w:cs="Verdana" w:eastAsia="Verdana" w:hAnsi="Verdana"/>
          <w:b/>
          <w:bCs/>
        </w:rPr>
        <w:t xml:space="preserve">Eligibility for section 140:</w:t>
      </w:r>
      <w:r>
        <w:rPr>
          <w:rFonts w:ascii="Verdana" w:cs="Verdana" w:eastAsia="Verdana" w:hAnsi="Verdana"/>
        </w:rPr>
        <w:t xml:space="preserve"> company or LLP incorporated on or after 1 April 2016 and before the notified date; turnover not above Rs. 100 crore in the year of claim; holds a certificate from the Inter Ministerial Board; not formed by splitting up or reconstruction of an existing business.</w:t>
      </w:r>
    </w:p>
    <w:p>
      <w:pPr>
        <w:pStyle w:val="ListParagraph"/>
        <w:numPr>
          <w:ilvl w:val="0"/>
          <w:numId w:val="2"/>
        </w:numPr>
        <w:spacing w:after="60" w:line="264"/>
      </w:pPr>
      <w:r>
        <w:rPr>
          <w:rFonts w:ascii="Verdana" w:cs="Verdana" w:eastAsia="Verdana" w:hAnsi="Verdana"/>
          <w:b/>
          <w:bCs/>
        </w:rPr>
        <w:t xml:space="preserve">Deduction:</w:t>
      </w:r>
      <w:r>
        <w:rPr>
          <w:rFonts w:ascii="Verdana" w:cs="Verdana" w:eastAsia="Verdana" w:hAnsi="Verdana"/>
        </w:rPr>
        <w:t xml:space="preserve"> 100% of profits for any 3 consecutive years out of the first 10 years from incorporation. Not available if the company opts for section 200.</w:t>
      </w:r>
    </w:p>
    <w:p>
      <w:pPr>
        <w:pStyle w:val="ListParagraph"/>
        <w:numPr>
          <w:ilvl w:val="0"/>
          <w:numId w:val="2"/>
        </w:numPr>
        <w:spacing w:after="60" w:line="264"/>
      </w:pPr>
      <w:r>
        <w:rPr>
          <w:rFonts w:ascii="Verdana" w:cs="Verdana" w:eastAsia="Verdana" w:hAnsi="Verdana"/>
          <w:b/>
          <w:bCs/>
        </w:rPr>
        <w:t xml:space="preserve">ESOP deferral:</w:t>
      </w:r>
      <w:r>
        <w:rPr>
          <w:rFonts w:ascii="Verdana" w:cs="Verdana" w:eastAsia="Verdana" w:hAnsi="Verdana"/>
        </w:rPr>
        <w:t xml:space="preserve"> employees of eligible start-ups pay tax on ESOP perquisite within 14 days after the earliest of 48 months from the end of the tax year of allotment, sale of shares, or leaving the company.</w:t>
      </w:r>
    </w:p>
    <w:p>
      <w:pPr>
        <w:pStyle w:val="ListParagraph"/>
        <w:numPr>
          <w:ilvl w:val="0"/>
          <w:numId w:val="2"/>
        </w:numPr>
        <w:spacing w:after="60" w:line="264"/>
      </w:pPr>
      <w:r>
        <w:rPr>
          <w:rFonts w:ascii="Verdana" w:cs="Verdana" w:eastAsia="Verdana" w:hAnsi="Verdana"/>
          <w:b/>
          <w:bCs/>
        </w:rPr>
        <w:t xml:space="preserve">Losses:</w:t>
      </w:r>
      <w:r>
        <w:rPr>
          <w:rFonts w:ascii="Verdana" w:cs="Verdana" w:eastAsia="Verdana" w:hAnsi="Verdana"/>
        </w:rPr>
        <w:t xml:space="preserve"> relaxed section 119 test, as explained.</w:t>
      </w:r>
    </w:p>
    <w:p>
      <w:pPr>
        <w:pStyle w:val="ListParagraph"/>
        <w:numPr>
          <w:ilvl w:val="0"/>
          <w:numId w:val="2"/>
        </w:numPr>
        <w:spacing w:after="60" w:line="264"/>
      </w:pPr>
      <w:r>
        <w:rPr>
          <w:rFonts w:ascii="Verdana" w:cs="Verdana" w:eastAsia="Verdana" w:hAnsi="Verdana"/>
          <w:b/>
          <w:bCs/>
        </w:rPr>
        <w:t xml:space="preserve">Capital gains exemption for investment in start-ups</w:t>
      </w:r>
      <w:r>
        <w:rPr>
          <w:rFonts w:ascii="Verdana" w:cs="Verdana" w:eastAsia="Verdana" w:hAnsi="Verdana"/>
        </w:rPr>
        <w:t xml:space="preserve"> by individuals on sale of residential property existed under old law for a limited period; check current availability before advising.</w:t>
      </w:r>
    </w:p>
    <w:p>
      <w:pPr>
        <w:pStyle w:val="Heading2"/>
        <w:keepNext/>
        <w:spacing w:after="120" w:before="240"/>
      </w:pPr>
      <w:r>
        <w:rPr>
          <w:rFonts w:ascii="Verdana" w:cs="Verdana" w:eastAsia="Verdana" w:hAnsi="Verdana"/>
        </w:rPr>
        <w:t xml:space="preserve">26.11 Corporate social responsibility</w:t>
      </w:r>
    </w:p>
    <w:p>
      <w:pPr>
        <w:spacing w:after="120" w:line="276"/>
        <w:jc w:val="both"/>
      </w:pPr>
      <w:r>
        <w:rPr>
          <w:rFonts w:ascii="Verdana" w:cs="Verdana" w:eastAsia="Verdana" w:hAnsi="Verdana"/>
        </w:rPr>
        <w:t xml:space="preserve">CSR spending required under section 135 of the Companies Act, 2013 is not deductible as business expenditure, because it is an application of income rather than an expense to earn it. However, some CSR contributions (for example, to the PM National Relief Fund or to approved institutions) may qualify for deduction under section 133 if the conditions are met, except where the section expressly excludes CSR contributions (such as for certain funds). Excess CSR spent and carried forward under company law has no separate tax effect.</w:t>
      </w:r>
    </w:p>
    <w:p>
      <w:pPr>
        <w:pStyle w:val="Heading2"/>
        <w:keepNext/>
        <w:spacing w:after="120" w:before="240"/>
      </w:pPr>
      <w:r>
        <w:rPr>
          <w:rFonts w:ascii="Verdana" w:cs="Verdana" w:eastAsia="Verdana" w:hAnsi="Verdana"/>
        </w:rPr>
        <w:t xml:space="preserve">26.12 Tax provisioning and the effective tax rate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103: Effective tax rate reconciliation</w:t>
            </w:r>
          </w:p>
          <w:p>
            <w:pPr>
              <w:spacing w:after="60" w:line="260"/>
            </w:pPr>
            <w:r>
              <w:rPr>
                <w:rFonts w:ascii="Verdana" w:cs="Verdana" w:eastAsia="Verdana" w:hAnsi="Verdana"/>
                <w:sz w:val="20"/>
                <w:szCs w:val="20"/>
              </w:rPr>
              <w:t xml:space="preserve">Sunrise Foods (previous illustration) has profit before tax of Rs. 12 crore. Current tax is Rs. 2,92,98,270. Deferred tax: the excess of tax depreciation over book depreciation (Rs. 60 lakh) creates a liability of Rs. 15,10,080, and the disallowed warranty provision (Rs. 40 lakh) creates an asset of Rs. 10,06,720, a net deferred tax charge of Rs. 5,03,360. Total tax expense = </w:t>
            </w:r>
            <w:r>
              <w:rPr>
                <w:rFonts w:ascii="Verdana" w:cs="Verdana" w:eastAsia="Verdana" w:hAnsi="Verdana"/>
                <w:b/>
                <w:bCs/>
                <w:sz w:val="20"/>
                <w:szCs w:val="20"/>
              </w:rPr>
              <w:t xml:space="preserve">Rs. 2,98,01,630</w:t>
            </w:r>
            <w:r>
              <w:rPr>
                <w:rFonts w:ascii="Verdana" w:cs="Verdana" w:eastAsia="Verdana" w:hAnsi="Verdana"/>
                <w:sz w:val="20"/>
                <w:szCs w:val="20"/>
              </w:rPr>
              <w:t xml:space="preserve">, an effective tax rate of 24.8%.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Reconciling item</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 before tax x 25.168%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3,02,01,600</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tax effect of CSR (25 lakh x 25.168%)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6,29,200</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tax effect of penalty (3 lakh x 25.168%)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75,504</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LTCG of Rs. 1 crore taxed at 12.5% after exemption (25,16,800 at statutory rate less 14,12,125 actual)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(11,04,675)</w:t>
            </w:r>
          </w:p>
        </w:tc>
      </w:tr>
      <w:tr>
        <w:trPr>
          <w:cantSplit/>
        </w:trPr>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Rounding</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w:t>
            </w:r>
          </w:p>
        </w:tc>
      </w:tr>
      <w:tr>
        <w:trPr>
          <w:cantSplit/>
        </w:trPr>
        <w:tc>
          <w:tcPr>
            <w:tcW w:type="dxa" w:w="6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 expense</w:t>
            </w:r>
          </w:p>
        </w:tc>
        <w:tc>
          <w:tcPr>
            <w:tcW w:type="dxa" w:w="3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2,98,01,630</w:t>
            </w:r>
          </w:p>
        </w:tc>
      </w:tr>
    </w:tbl>
    <w:p>
      <w:pPr>
        <w:spacing w:after="60"/>
      </w:pPr>
    </w:p>
    <w:p>
      <w:pPr>
        <w:spacing w:after="120" w:line="276"/>
        <w:jc w:val="both"/>
      </w:pPr>
      <w:r>
        <w:rPr>
          <w:rFonts w:ascii="Verdana" w:cs="Verdana" w:eastAsia="Verdana" w:hAnsi="Verdana"/>
        </w:rPr>
        <w:t xml:space="preserve">The reconciliation shows auditors why the effective rate differs from the statutory rate. Any unexplained difference usually points to an error in the tax computation or the deferred tax working.</w:t>
      </w:r>
    </w:p>
    <w:p>
      <w:pPr>
        <w:pStyle w:val="Heading2"/>
        <w:keepNext/>
        <w:spacing w:after="120" w:before="240"/>
      </w:pPr>
      <w:r>
        <w:rPr>
          <w:rFonts w:ascii="Verdana" w:cs="Verdana" w:eastAsia="Verdana" w:hAnsi="Verdana"/>
        </w:rPr>
        <w:t xml:space="preserve">26.13 Tax audit and corporate governance</w:t>
      </w:r>
    </w:p>
    <w:p>
      <w:pPr>
        <w:spacing w:after="120" w:line="276"/>
        <w:jc w:val="both"/>
      </w:pPr>
      <w:r>
        <w:rPr>
          <w:rFonts w:ascii="Verdana" w:cs="Verdana" w:eastAsia="Verdana" w:hAnsi="Verdana"/>
        </w:rPr>
        <w:t xml:space="preserve">For companies, the tax audit in Form 26 is often the most detailed review of tax positions each year. Good practice includes: a tax positions register listing every judgment taken (for example, capital versus revenue, TDS characterisation, section 37 timing), board or audit committee review of significant uncertain tax positions under Ind AS 12 (Appendix C, uncertain tax treatments), and a contingent liability note that matches the actual demands and appeals pending.</w:t>
      </w:r>
    </w:p>
    <w:p>
      <w:pPr>
        <w:pStyle w:val="Heading2"/>
        <w:keepNext/>
        <w:spacing w:after="120" w:before="240"/>
      </w:pPr>
      <w:r>
        <w:rPr>
          <w:rFonts w:ascii="Verdana" w:cs="Verdana" w:eastAsia="Verdana" w:hAnsi="Verdana"/>
        </w:rPr>
        <w:t xml:space="preserve">26.14 Specified domestic transactions</w:t>
      </w:r>
    </w:p>
    <w:p>
      <w:pPr>
        <w:spacing w:after="120" w:line="276"/>
        <w:jc w:val="both"/>
      </w:pPr>
      <w:r>
        <w:rPr>
          <w:rFonts w:ascii="Verdana" w:cs="Verdana" w:eastAsia="Verdana" w:hAnsi="Verdana"/>
        </w:rPr>
        <w:t xml:space="preserve">Transfer pricing also applies to certain domestic transactions, called specified domestic transactions (section 164), where their aggregate value exceeds </w:t>
      </w:r>
      <w:r>
        <w:rPr>
          <w:rFonts w:ascii="Verdana" w:cs="Verdana" w:eastAsia="Verdana" w:hAnsi="Verdana"/>
          <w:b/>
          <w:bCs/>
        </w:rPr>
        <w:t xml:space="preserve">Rs. 20 crore</w:t>
      </w:r>
      <w:r>
        <w:rPr>
          <w:rFonts w:ascii="Verdana" w:cs="Verdana" w:eastAsia="Verdana" w:hAnsi="Verdana"/>
        </w:rPr>
        <w:t xml:space="preserve"> in the year. These include transactions of a unit claiming profit-linked deductions (such as infrastructure or SEZ units) with related parties, and transactions of a company under section 201 with related persons. The purpose is to prevent profits being shifted into the tax holiday or low-tax unit through related party pricing. The accountant's report in Form 48 covers these transactions as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Origin of domestic transfer pricing</w:t>
            </w:r>
          </w:p>
          <w:p>
            <w:pPr>
              <w:spacing w:after="60" w:line="260"/>
            </w:pPr>
            <w:r>
              <w:rPr>
                <w:rFonts w:ascii="Verdana" w:cs="Verdana" w:eastAsia="Verdana" w:hAnsi="Verdana"/>
                <w:b/>
                <w:bCs/>
                <w:sz w:val="20"/>
                <w:szCs w:val="20"/>
              </w:rPr>
              <w:t xml:space="preserve">CIT v. Glaxo SmithKline Asia (P) Ltd. (Supreme Court, 2010):</w:t>
            </w:r>
            <w:r>
              <w:rPr>
                <w:rFonts w:ascii="Verdana" w:cs="Verdana" w:eastAsia="Verdana" w:hAnsi="Verdana"/>
                <w:sz w:val="20"/>
                <w:szCs w:val="20"/>
              </w:rPr>
              <w:t xml:space="preserve"> the Court suggested that transfer pricing rules be extended to domestic related party transactions to address profit shifting, which led to the introduction of specified domestic transactions in 2012.</w:t>
            </w:r>
          </w:p>
        </w:tc>
      </w:tr>
    </w:tbl>
    <w:p>
      <w:pPr>
        <w:spacing w:after="60"/>
      </w:pPr>
    </w:p>
    <w:p>
      <w:pPr>
        <w:pStyle w:val="Heading2"/>
        <w:keepNext/>
        <w:spacing w:after="120" w:before="240"/>
      </w:pPr>
      <w:r>
        <w:rPr>
          <w:rFonts w:ascii="Verdana" w:cs="Verdana" w:eastAsia="Verdana" w:hAnsi="Verdana"/>
        </w:rPr>
        <w:t xml:space="preserve">26.15 Tonnage tax scheme (sections 226 to 234)</w:t>
      </w:r>
    </w:p>
    <w:p>
      <w:pPr>
        <w:spacing w:after="120" w:line="276"/>
        <w:jc w:val="both"/>
      </w:pPr>
      <w:r>
        <w:rPr>
          <w:rFonts w:ascii="Verdana" w:cs="Verdana" w:eastAsia="Verdana" w:hAnsi="Verdana"/>
        </w:rPr>
        <w:t xml:space="preserve">Indian shipping companies can opt for tonnage taxation, under which their shipping income is computed notionally on the net tonnage of qualifying ships, regardless of actual profit. The option is for 10 years, with conditions on training and reserve creation. It offers certainty and a low effective rate for shipping businesses.</w:t>
      </w:r>
    </w:p>
    <w:p>
      <w:pPr>
        <w:pStyle w:val="Heading2"/>
        <w:keepNext/>
        <w:spacing w:after="120" w:before="240"/>
      </w:pPr>
      <w:r>
        <w:rPr>
          <w:rFonts w:ascii="Verdana" w:cs="Verdana" w:eastAsia="Verdana" w:hAnsi="Verdana"/>
        </w:rPr>
        <w:t xml:space="preserve">26.16 Advance tax and MAT for companies</w:t>
      </w:r>
    </w:p>
    <w:p>
      <w:pPr>
        <w:spacing w:after="120" w:line="276"/>
        <w:jc w:val="both"/>
      </w:pPr>
      <w:r>
        <w:rPr>
          <w:rFonts w:ascii="Verdana" w:cs="Verdana" w:eastAsia="Verdana" w:hAnsi="Verdana"/>
        </w:rPr>
        <w:t xml:space="preserve">A company must estimate both normal tax and MAT when paying advance tax, and pay on the higher. Interest under sections 424 and 425 is computed on the basis of the higher tax. Companies with large capital gains or dividends in a quarter should revise their estimates promptly.</w:t>
      </w:r>
    </w:p>
    <w:p>
      <w:pPr>
        <w:pStyle w:val="Heading2"/>
        <w:keepNext/>
        <w:spacing w:after="120" w:before="240"/>
      </w:pPr>
      <w:r>
        <w:rPr>
          <w:rFonts w:ascii="Verdana" w:cs="Verdana" w:eastAsia="Verdana" w:hAnsi="Verdana"/>
        </w:rPr>
        <w:t xml:space="preserve">26.17 Year-end tax closing for a company</w:t>
      </w:r>
    </w:p>
    <w:p>
      <w:pPr>
        <w:pStyle w:val="ListParagraph"/>
        <w:numPr>
          <w:ilvl w:val="0"/>
          <w:numId w:val="2"/>
        </w:numPr>
        <w:spacing w:after="60" w:line="264"/>
      </w:pPr>
      <w:r>
        <w:rPr>
          <w:rFonts w:ascii="Verdana" w:cs="Verdana" w:eastAsia="Verdana" w:hAnsi="Verdana"/>
        </w:rPr>
        <w:t xml:space="preserve">Update the tax computation with the latest estimate of taxable income and MAT; true up advance tax paid.</w:t>
      </w:r>
    </w:p>
    <w:p>
      <w:pPr>
        <w:pStyle w:val="ListParagraph"/>
        <w:numPr>
          <w:ilvl w:val="0"/>
          <w:numId w:val="2"/>
        </w:numPr>
        <w:spacing w:after="60" w:line="264"/>
      </w:pPr>
      <w:r>
        <w:rPr>
          <w:rFonts w:ascii="Verdana" w:cs="Verdana" w:eastAsia="Verdana" w:hAnsi="Verdana"/>
        </w:rPr>
        <w:t xml:space="preserve">Confirm TDS deducted on all year-end provisions (audit fees, professional fees, bonus to contractors, rent).</w:t>
      </w:r>
    </w:p>
    <w:p>
      <w:pPr>
        <w:pStyle w:val="ListParagraph"/>
        <w:numPr>
          <w:ilvl w:val="0"/>
          <w:numId w:val="2"/>
        </w:numPr>
        <w:spacing w:after="60" w:line="264"/>
      </w:pPr>
      <w:r>
        <w:rPr>
          <w:rFonts w:ascii="Verdana" w:cs="Verdana" w:eastAsia="Verdana" w:hAnsi="Verdana"/>
        </w:rPr>
        <w:t xml:space="preserve">Review MSME dues and statutory dues for section 37 timing.</w:t>
      </w:r>
    </w:p>
    <w:p>
      <w:pPr>
        <w:pStyle w:val="ListParagraph"/>
        <w:numPr>
          <w:ilvl w:val="0"/>
          <w:numId w:val="2"/>
        </w:numPr>
        <w:spacing w:after="60" w:line="264"/>
      </w:pPr>
      <w:r>
        <w:rPr>
          <w:rFonts w:ascii="Verdana" w:cs="Verdana" w:eastAsia="Verdana" w:hAnsi="Verdana"/>
        </w:rPr>
        <w:t xml:space="preserve">Review related party transactions for arm's length pricing and the TP study.</w:t>
      </w:r>
    </w:p>
    <w:p>
      <w:pPr>
        <w:pStyle w:val="ListParagraph"/>
        <w:numPr>
          <w:ilvl w:val="0"/>
          <w:numId w:val="2"/>
        </w:numPr>
        <w:spacing w:after="60" w:line="264"/>
      </w:pPr>
      <w:r>
        <w:rPr>
          <w:rFonts w:ascii="Verdana" w:cs="Verdana" w:eastAsia="Verdana" w:hAnsi="Verdana"/>
        </w:rPr>
        <w:t xml:space="preserve">Compute deferred tax, including on carried forward losses (only where recovery is probable).</w:t>
      </w:r>
    </w:p>
    <w:p>
      <w:pPr>
        <w:pStyle w:val="ListParagraph"/>
        <w:numPr>
          <w:ilvl w:val="0"/>
          <w:numId w:val="2"/>
        </w:numPr>
        <w:spacing w:after="60" w:line="264"/>
      </w:pPr>
      <w:r>
        <w:rPr>
          <w:rFonts w:ascii="Verdana" w:cs="Verdana" w:eastAsia="Verdana" w:hAnsi="Verdana"/>
        </w:rPr>
        <w:t xml:space="preserve">Prepare the uncertain tax positions note under Ind AS 12, with probabilities and provisions.</w:t>
      </w:r>
    </w:p>
    <w:p>
      <w:pPr>
        <w:pStyle w:val="ListParagraph"/>
        <w:numPr>
          <w:ilvl w:val="0"/>
          <w:numId w:val="2"/>
        </w:numPr>
        <w:spacing w:after="60" w:line="264"/>
      </w:pPr>
      <w:r>
        <w:rPr>
          <w:rFonts w:ascii="Verdana" w:cs="Verdana" w:eastAsia="Verdana" w:hAnsi="Verdana"/>
        </w:rPr>
        <w:t xml:space="preserve">Plan dividend declarations before the section 148 cut off, if relevant.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Deemed dividends, buyback taxation, and section 148 for inter-corporate dividends.</w:t>
            </w:r>
          </w:p>
          <w:p>
            <w:pPr>
              <w:spacing w:after="60" w:line="260"/>
            </w:pPr>
            <w:r>
              <w:rPr>
                <w:rFonts w:ascii="Verdana" w:cs="Verdana" w:eastAsia="Verdana" w:hAnsi="Verdana"/>
                <w:sz w:val="20"/>
                <w:szCs w:val="20"/>
              </w:rPr>
              <w:t xml:space="preserve">•  Section 119: 51% continuity test for closely held company losses; relief for start-ups.</w:t>
            </w:r>
          </w:p>
          <w:p>
            <w:pPr>
              <w:spacing w:after="60" w:line="260"/>
            </w:pPr>
            <w:r>
              <w:rPr>
                <w:rFonts w:ascii="Verdana" w:cs="Verdana" w:eastAsia="Verdana" w:hAnsi="Verdana"/>
                <w:sz w:val="20"/>
                <w:szCs w:val="20"/>
              </w:rPr>
              <w:t xml:space="preserve">•  Start-up deduction under section 140; ESOP deferral.</w:t>
            </w:r>
          </w:p>
          <w:p>
            <w:pPr>
              <w:spacing w:after="60" w:line="260"/>
            </w:pPr>
            <w:r>
              <w:rPr>
                <w:rFonts w:ascii="Verdana" w:cs="Verdana" w:eastAsia="Verdana" w:hAnsi="Verdana"/>
                <w:sz w:val="20"/>
                <w:szCs w:val="20"/>
              </w:rPr>
              <w:t xml:space="preserve">•  ICDS, tax provisioning and effective tax rate reconciliation.</w:t>
            </w:r>
          </w:p>
        </w:tc>
      </w:tr>
    </w:tbl>
    <w:p>
      <w:pPr>
        <w:pStyle w:val="Heading1"/>
        <w:pageBreakBefore/>
        <w:spacing w:after="200" w:before="0"/>
      </w:pPr>
      <w:r>
        <w:rPr>
          <w:rFonts w:ascii="Verdana" w:cs="Verdana" w:eastAsia="Verdana" w:hAnsi="Verdana"/>
        </w:rPr>
        <w:t xml:space="preserve">27. Sector Specific Tax Issues</w:t>
      </w:r>
    </w:p>
    <w:p>
      <w:pPr>
        <w:spacing w:after="120" w:line="276"/>
        <w:jc w:val="both"/>
      </w:pPr>
      <w:r>
        <w:rPr>
          <w:rFonts w:ascii="Verdana" w:cs="Verdana" w:eastAsia="Verdana" w:hAnsi="Verdana"/>
        </w:rPr>
        <w:t xml:space="preserve">Each industry has its own recurring tax issues. The notes below bring together the provisions most relevant to common sectors, as a starting checklist for advisers and finance teams.</w:t>
      </w:r>
    </w:p>
    <w:p>
      <w:pPr>
        <w:pStyle w:val="Heading2"/>
        <w:keepNext/>
        <w:spacing w:after="120" w:before="240"/>
      </w:pPr>
      <w:r>
        <w:rPr>
          <w:rFonts w:ascii="Verdana" w:cs="Verdana" w:eastAsia="Verdana" w:hAnsi="Verdana"/>
        </w:rPr>
        <w:t xml:space="preserve">27.1 Real estate</w:t>
      </w:r>
    </w:p>
    <w:p>
      <w:pPr>
        <w:pStyle w:val="ListParagraph"/>
        <w:numPr>
          <w:ilvl w:val="0"/>
          <w:numId w:val="2"/>
        </w:numPr>
        <w:spacing w:after="60" w:line="264"/>
      </w:pPr>
      <w:r>
        <w:rPr>
          <w:rFonts w:ascii="Verdana" w:cs="Verdana" w:eastAsia="Verdana" w:hAnsi="Verdana"/>
          <w:b/>
          <w:bCs/>
        </w:rPr>
        <w:t xml:space="preserve">Revenue recognition:</w:t>
      </w:r>
      <w:r>
        <w:rPr>
          <w:rFonts w:ascii="Verdana" w:cs="Verdana" w:eastAsia="Verdana" w:hAnsi="Verdana"/>
        </w:rPr>
        <w:t xml:space="preserve"> developers selling their own units recognise revenue as per the method consistently followed, usually percentage of completion in line with accounting guidance for real estate transactions; construction contractors follow ICDS III.</w:t>
      </w:r>
    </w:p>
    <w:p>
      <w:pPr>
        <w:pStyle w:val="ListParagraph"/>
        <w:numPr>
          <w:ilvl w:val="0"/>
          <w:numId w:val="2"/>
        </w:numPr>
        <w:spacing w:after="60" w:line="264"/>
      </w:pPr>
      <w:r>
        <w:rPr>
          <w:rFonts w:ascii="Verdana" w:cs="Verdana" w:eastAsia="Verdana" w:hAnsi="Verdana"/>
          <w:b/>
          <w:bCs/>
        </w:rPr>
        <w:t xml:space="preserve">Stamp value rule (section 53):</w:t>
      </w:r>
      <w:r>
        <w:rPr>
          <w:rFonts w:ascii="Verdana" w:cs="Verdana" w:eastAsia="Verdana" w:hAnsi="Verdana"/>
        </w:rPr>
        <w:t xml:space="preserve"> sale price below 90% of stamp value (the 110% tolerance) is replaced by stamp value; agreement date value can be used where part consideration was received by banking channels on or before the agreement.</w:t>
      </w:r>
    </w:p>
    <w:p>
      <w:pPr>
        <w:pStyle w:val="ListParagraph"/>
        <w:numPr>
          <w:ilvl w:val="0"/>
          <w:numId w:val="2"/>
        </w:numPr>
        <w:spacing w:after="60" w:line="264"/>
      </w:pPr>
      <w:r>
        <w:rPr>
          <w:rFonts w:ascii="Verdana" w:cs="Verdana" w:eastAsia="Verdana" w:hAnsi="Verdana"/>
          <w:b/>
          <w:bCs/>
        </w:rPr>
        <w:t xml:space="preserve">Unsold inventory:</w:t>
      </w:r>
      <w:r>
        <w:rPr>
          <w:rFonts w:ascii="Verdana" w:cs="Verdana" w:eastAsia="Verdana" w:hAnsi="Verdana"/>
        </w:rPr>
        <w:t xml:space="preserve"> notional rent is taxed on completed unsold units after 2 years from completion.</w:t>
      </w:r>
    </w:p>
    <w:p>
      <w:pPr>
        <w:pStyle w:val="ListParagraph"/>
        <w:numPr>
          <w:ilvl w:val="0"/>
          <w:numId w:val="2"/>
        </w:numPr>
        <w:spacing w:after="60" w:line="264"/>
      </w:pPr>
      <w:r>
        <w:rPr>
          <w:rFonts w:ascii="Verdana" w:cs="Verdana" w:eastAsia="Verdana" w:hAnsi="Verdana"/>
          <w:b/>
          <w:bCs/>
        </w:rPr>
        <w:t xml:space="preserve">Joint development:</w:t>
      </w:r>
      <w:r>
        <w:rPr>
          <w:rFonts w:ascii="Verdana" w:cs="Verdana" w:eastAsia="Verdana" w:hAnsi="Verdana"/>
        </w:rPr>
        <w:t xml:space="preserve"> landowner taxed when the completion certificate is issued; developer deducts TDS on cash component.</w:t>
      </w:r>
    </w:p>
    <w:p>
      <w:pPr>
        <w:pStyle w:val="ListParagraph"/>
        <w:numPr>
          <w:ilvl w:val="0"/>
          <w:numId w:val="2"/>
        </w:numPr>
        <w:spacing w:after="60" w:line="264"/>
      </w:pPr>
      <w:r>
        <w:rPr>
          <w:rFonts w:ascii="Verdana" w:cs="Verdana" w:eastAsia="Verdana" w:hAnsi="Verdana"/>
          <w:b/>
          <w:bCs/>
        </w:rPr>
        <w:t xml:space="preserve">Affordable housing (section 142):</w:t>
      </w:r>
      <w:r>
        <w:rPr>
          <w:rFonts w:ascii="Verdana" w:cs="Verdana" w:eastAsia="Verdana" w:hAnsi="Verdana"/>
        </w:rPr>
        <w:t xml:space="preserve"> 100% deduction for projects approved within the time limit.</w:t>
      </w:r>
    </w:p>
    <w:p>
      <w:pPr>
        <w:pStyle w:val="ListParagraph"/>
        <w:numPr>
          <w:ilvl w:val="0"/>
          <w:numId w:val="2"/>
        </w:numPr>
        <w:spacing w:after="60" w:line="264"/>
      </w:pPr>
      <w:r>
        <w:rPr>
          <w:rFonts w:ascii="Verdana" w:cs="Verdana" w:eastAsia="Verdana" w:hAnsi="Verdana"/>
          <w:b/>
          <w:bCs/>
        </w:rPr>
        <w:t xml:space="preserve">Buyer side:</w:t>
      </w:r>
      <w:r>
        <w:rPr>
          <w:rFonts w:ascii="Verdana" w:cs="Verdana" w:eastAsia="Verdana" w:hAnsi="Verdana"/>
        </w:rPr>
        <w:t xml:space="preserve"> TDS at 1% on purchases of Rs. 50 lakh or more (section 393); buyer taxed on stamp value difference under section 92.</w:t>
      </w:r>
    </w:p>
    <w:p>
      <w:pPr>
        <w:pStyle w:val="Heading2"/>
        <w:keepNext/>
        <w:spacing w:after="120" w:before="240"/>
      </w:pPr>
      <w:r>
        <w:rPr>
          <w:rFonts w:ascii="Verdana" w:cs="Verdana" w:eastAsia="Verdana" w:hAnsi="Verdana"/>
        </w:rPr>
        <w:t xml:space="preserve">27.2 Information technology and IT enabled services</w:t>
      </w:r>
    </w:p>
    <w:p>
      <w:pPr>
        <w:pStyle w:val="ListParagraph"/>
        <w:numPr>
          <w:ilvl w:val="0"/>
          <w:numId w:val="2"/>
        </w:numPr>
        <w:spacing w:after="60" w:line="264"/>
      </w:pPr>
      <w:r>
        <w:rPr>
          <w:rFonts w:ascii="Verdana" w:cs="Verdana" w:eastAsia="Verdana" w:hAnsi="Verdana"/>
          <w:b/>
          <w:bCs/>
        </w:rPr>
        <w:t xml:space="preserve">SEZ units (section 144):</w:t>
      </w:r>
      <w:r>
        <w:rPr>
          <w:rFonts w:ascii="Verdana" w:cs="Verdana" w:eastAsia="Verdana" w:hAnsi="Verdana"/>
        </w:rPr>
        <w:t xml:space="preserve"> units that began before 30 June 2020 continue with the 15-year profile; reinvestment reserve conditions in the third block.</w:t>
      </w:r>
    </w:p>
    <w:p>
      <w:pPr>
        <w:pStyle w:val="ListParagraph"/>
        <w:numPr>
          <w:ilvl w:val="0"/>
          <w:numId w:val="2"/>
        </w:numPr>
        <w:spacing w:after="60" w:line="264"/>
      </w:pPr>
      <w:r>
        <w:rPr>
          <w:rFonts w:ascii="Verdana" w:cs="Verdana" w:eastAsia="Verdana" w:hAnsi="Verdana"/>
          <w:b/>
          <w:bCs/>
        </w:rPr>
        <w:t xml:space="preserve">Transfer pricing:</w:t>
      </w:r>
      <w:r>
        <w:rPr>
          <w:rFonts w:ascii="Verdana" w:cs="Verdana" w:eastAsia="Verdana" w:hAnsi="Verdana"/>
        </w:rPr>
        <w:t xml:space="preserve"> captive service centres (GCCs) are the most frequent TP cases; the Budget 2026 safe harbour (Rs. 2,000 crore, 15.5%) and faster APAs are important.</w:t>
      </w:r>
    </w:p>
    <w:p>
      <w:pPr>
        <w:pStyle w:val="ListParagraph"/>
        <w:numPr>
          <w:ilvl w:val="0"/>
          <w:numId w:val="2"/>
        </w:numPr>
        <w:spacing w:after="60" w:line="264"/>
      </w:pPr>
      <w:r>
        <w:rPr>
          <w:rFonts w:ascii="Verdana" w:cs="Verdana" w:eastAsia="Verdana" w:hAnsi="Verdana"/>
          <w:b/>
          <w:bCs/>
        </w:rPr>
        <w:t xml:space="preserve">Software payments:</w:t>
      </w:r>
      <w:r>
        <w:rPr>
          <w:rFonts w:ascii="Verdana" w:cs="Verdana" w:eastAsia="Verdana" w:hAnsi="Verdana"/>
        </w:rPr>
        <w:t xml:space="preserve"> payments to non-resident suppliers for software licences are generally not royalty under treaties (Engineering Analysis).</w:t>
      </w:r>
    </w:p>
    <w:p>
      <w:pPr>
        <w:pStyle w:val="ListParagraph"/>
        <w:numPr>
          <w:ilvl w:val="0"/>
          <w:numId w:val="2"/>
        </w:numPr>
        <w:spacing w:after="60" w:line="264"/>
      </w:pPr>
      <w:r>
        <w:rPr>
          <w:rFonts w:ascii="Verdana" w:cs="Verdana" w:eastAsia="Verdana" w:hAnsi="Verdana"/>
          <w:b/>
          <w:bCs/>
        </w:rPr>
        <w:t xml:space="preserve">ESOPs:</w:t>
      </w:r>
      <w:r>
        <w:rPr>
          <w:rFonts w:ascii="Verdana" w:cs="Verdana" w:eastAsia="Verdana" w:hAnsi="Verdana"/>
        </w:rPr>
        <w:t xml:space="preserve"> perquisite TDS for employees; deduction of ESOP cost for the company has been allowed by courts (for example, CIT v. Biocon Ltd., Karnataka High Court, 2020).</w:t>
      </w:r>
    </w:p>
    <w:p>
      <w:pPr>
        <w:pStyle w:val="Heading2"/>
        <w:keepNext/>
        <w:spacing w:after="120" w:before="240"/>
      </w:pPr>
      <w:r>
        <w:rPr>
          <w:rFonts w:ascii="Verdana" w:cs="Verdana" w:eastAsia="Verdana" w:hAnsi="Verdana"/>
        </w:rPr>
        <w:t xml:space="preserve">27.3 E-commerce and digital businesses</w:t>
      </w:r>
    </w:p>
    <w:p>
      <w:pPr>
        <w:pStyle w:val="ListParagraph"/>
        <w:numPr>
          <w:ilvl w:val="0"/>
          <w:numId w:val="2"/>
        </w:numPr>
        <w:spacing w:after="60" w:line="264"/>
      </w:pPr>
      <w:r>
        <w:rPr>
          <w:rFonts w:ascii="Verdana" w:cs="Verdana" w:eastAsia="Verdana" w:hAnsi="Verdana"/>
        </w:rPr>
        <w:t xml:space="preserve">E-commerce operators deduct TDS at 0.1% on gross sales of sellers (section 393, old 194-O).</w:t>
      </w:r>
    </w:p>
    <w:p>
      <w:pPr>
        <w:pStyle w:val="ListParagraph"/>
        <w:numPr>
          <w:ilvl w:val="0"/>
          <w:numId w:val="2"/>
        </w:numPr>
        <w:spacing w:after="60" w:line="264"/>
      </w:pPr>
      <w:r>
        <w:rPr>
          <w:rFonts w:ascii="Verdana" w:cs="Verdana" w:eastAsia="Verdana" w:hAnsi="Verdana"/>
        </w:rPr>
        <w:t xml:space="preserve">Foreign digital businesses may have a significant economic presence in India; the 6% equalisation levy on online ads was abolished from 1 April 2025.</w:t>
      </w:r>
    </w:p>
    <w:p>
      <w:pPr>
        <w:pStyle w:val="ListParagraph"/>
        <w:numPr>
          <w:ilvl w:val="0"/>
          <w:numId w:val="2"/>
        </w:numPr>
        <w:spacing w:after="60" w:line="264"/>
      </w:pPr>
      <w:r>
        <w:rPr>
          <w:rFonts w:ascii="Verdana" w:cs="Verdana" w:eastAsia="Verdana" w:hAnsi="Verdana"/>
        </w:rPr>
        <w:t xml:space="preserve">Sellers should reconcile operator reports, TDS in Form 168 and GST turnover.</w:t>
      </w:r>
    </w:p>
    <w:p>
      <w:pPr>
        <w:pStyle w:val="Heading2"/>
        <w:keepNext/>
        <w:spacing w:after="120" w:before="240"/>
      </w:pPr>
      <w:r>
        <w:rPr>
          <w:rFonts w:ascii="Verdana" w:cs="Verdana" w:eastAsia="Verdana" w:hAnsi="Verdana"/>
        </w:rPr>
        <w:t xml:space="preserve">27.4 Micro, small and medium enterprises</w:t>
      </w:r>
    </w:p>
    <w:p>
      <w:pPr>
        <w:pStyle w:val="ListParagraph"/>
        <w:numPr>
          <w:ilvl w:val="0"/>
          <w:numId w:val="2"/>
        </w:numPr>
        <w:spacing w:after="60" w:line="264"/>
      </w:pPr>
      <w:r>
        <w:rPr>
          <w:rFonts w:ascii="Verdana" w:cs="Verdana" w:eastAsia="Verdana" w:hAnsi="Verdana"/>
        </w:rPr>
        <w:t xml:space="preserve">Presumptive schemes with higher limits for digital receipts.</w:t>
      </w:r>
    </w:p>
    <w:p>
      <w:pPr>
        <w:pStyle w:val="ListParagraph"/>
        <w:numPr>
          <w:ilvl w:val="0"/>
          <w:numId w:val="2"/>
        </w:numPr>
        <w:spacing w:after="60" w:line="264"/>
      </w:pPr>
      <w:r>
        <w:rPr>
          <w:rFonts w:ascii="Verdana" w:cs="Verdana" w:eastAsia="Verdana" w:hAnsi="Verdana"/>
        </w:rPr>
        <w:t xml:space="preserve">Buyers must pay micro and small enterprises within MSMED limits (section 37), which improves MSME cash flows.</w:t>
      </w:r>
    </w:p>
    <w:p>
      <w:pPr>
        <w:pStyle w:val="ListParagraph"/>
        <w:numPr>
          <w:ilvl w:val="0"/>
          <w:numId w:val="2"/>
        </w:numPr>
        <w:spacing w:after="60" w:line="264"/>
      </w:pPr>
      <w:r>
        <w:rPr>
          <w:rFonts w:ascii="Verdana" w:cs="Verdana" w:eastAsia="Verdana" w:hAnsi="Verdana"/>
        </w:rPr>
        <w:t xml:space="preserve">Tax audit threshold of Rs. 10 crore for businesses with minimal cash transactions.</w:t>
      </w:r>
    </w:p>
    <w:p>
      <w:pPr>
        <w:pStyle w:val="Heading2"/>
        <w:keepNext/>
        <w:spacing w:after="120" w:before="240"/>
      </w:pPr>
      <w:r>
        <w:rPr>
          <w:rFonts w:ascii="Verdana" w:cs="Verdana" w:eastAsia="Verdana" w:hAnsi="Verdana"/>
        </w:rPr>
        <w:t xml:space="preserve">27.5 Healthcare</w:t>
      </w:r>
    </w:p>
    <w:p>
      <w:pPr>
        <w:pStyle w:val="ListParagraph"/>
        <w:numPr>
          <w:ilvl w:val="0"/>
          <w:numId w:val="2"/>
        </w:numPr>
        <w:spacing w:after="60" w:line="264"/>
      </w:pPr>
      <w:r>
        <w:rPr>
          <w:rFonts w:ascii="Verdana" w:cs="Verdana" w:eastAsia="Verdana" w:hAnsi="Verdana"/>
        </w:rPr>
        <w:t xml:space="preserve">Doctors and clinics: profession scheme up to Rs. 50 lakh (Rs. 75 lakh), audit above.</w:t>
      </w:r>
    </w:p>
    <w:p>
      <w:pPr>
        <w:pStyle w:val="ListParagraph"/>
        <w:numPr>
          <w:ilvl w:val="0"/>
          <w:numId w:val="2"/>
        </w:numPr>
        <w:spacing w:after="60" w:line="264"/>
      </w:pPr>
      <w:r>
        <w:rPr>
          <w:rFonts w:ascii="Verdana" w:cs="Verdana" w:eastAsia="Verdana" w:hAnsi="Verdana"/>
        </w:rPr>
        <w:t xml:space="preserve">Hospitals with 100 or more beds in specified areas: section 46 deduction for capital expenditure.</w:t>
      </w:r>
    </w:p>
    <w:p>
      <w:pPr>
        <w:pStyle w:val="ListParagraph"/>
        <w:numPr>
          <w:ilvl w:val="0"/>
          <w:numId w:val="2"/>
        </w:numPr>
        <w:spacing w:after="60" w:line="264"/>
      </w:pPr>
      <w:r>
        <w:rPr>
          <w:rFonts w:ascii="Verdana" w:cs="Verdana" w:eastAsia="Verdana" w:hAnsi="Verdana"/>
        </w:rPr>
        <w:t xml:space="preserve">Freebies to doctors by pharmaceutical companies are disallowed as prohibited by medical council regulations (Apex Laboratories Pvt. Ltd. v. DCIT, Supreme Court, 2022), and the benefit is taxable in the doctor's hands.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Freebies to doctors</w:t>
            </w:r>
          </w:p>
          <w:p>
            <w:pPr>
              <w:spacing w:after="60" w:line="260"/>
            </w:pPr>
            <w:r>
              <w:rPr>
                <w:rFonts w:ascii="Verdana" w:cs="Verdana" w:eastAsia="Verdana" w:hAnsi="Verdana"/>
                <w:b/>
                <w:bCs/>
                <w:sz w:val="20"/>
                <w:szCs w:val="20"/>
              </w:rPr>
              <w:t xml:space="preserve">Apex Laboratories Pvt. Ltd. v. DCIT (Supreme Court, 2022):</w:t>
            </w:r>
            <w:r>
              <w:rPr>
                <w:rFonts w:ascii="Verdana" w:cs="Verdana" w:eastAsia="Verdana" w:hAnsi="Verdana"/>
                <w:sz w:val="20"/>
                <w:szCs w:val="20"/>
              </w:rPr>
              <w:t xml:space="preserve"> expenditure on gifts and freebies to medical practitioners, which is prohibited under the Indian Medical Council regulations, is not deductible as business expenditure, because it is incurred for a purpose prohibited by law.</w:t>
            </w:r>
          </w:p>
        </w:tc>
      </w:tr>
    </w:tbl>
    <w:p>
      <w:pPr>
        <w:spacing w:after="60"/>
      </w:pPr>
    </w:p>
    <w:p>
      <w:pPr>
        <w:pStyle w:val="Heading2"/>
        <w:keepNext/>
        <w:spacing w:after="120" w:before="240"/>
      </w:pPr>
      <w:r>
        <w:rPr>
          <w:rFonts w:ascii="Verdana" w:cs="Verdana" w:eastAsia="Verdana" w:hAnsi="Verdana"/>
        </w:rPr>
        <w:t xml:space="preserve">27.6 Education</w:t>
      </w:r>
    </w:p>
    <w:p>
      <w:pPr>
        <w:pStyle w:val="ListParagraph"/>
        <w:numPr>
          <w:ilvl w:val="0"/>
          <w:numId w:val="2"/>
        </w:numPr>
        <w:spacing w:after="60" w:line="264"/>
      </w:pPr>
      <w:r>
        <w:rPr>
          <w:rFonts w:ascii="Verdana" w:cs="Verdana" w:eastAsia="Verdana" w:hAnsi="Verdana"/>
        </w:rPr>
        <w:t xml:space="preserve">Educational institutions existing solely for education and not for profit are exempt under the NPO provisions; small institutions with receipts up to Rs. 5 crore have simpler conditions.</w:t>
      </w:r>
    </w:p>
    <w:p>
      <w:pPr>
        <w:pStyle w:val="ListParagraph"/>
        <w:numPr>
          <w:ilvl w:val="0"/>
          <w:numId w:val="2"/>
        </w:numPr>
        <w:spacing w:after="60" w:line="264"/>
      </w:pPr>
      <w:r>
        <w:rPr>
          <w:rFonts w:ascii="Verdana" w:cs="Verdana" w:eastAsia="Verdana" w:hAnsi="Verdana"/>
        </w:rPr>
        <w:t xml:space="preserve">Coaching centres and ed-tech companies are ordinary businesses; the exemption for education does not extend to them.</w:t>
      </w:r>
    </w:p>
    <w:p>
      <w:pPr>
        <w:pStyle w:val="Heading2"/>
        <w:keepNext/>
        <w:spacing w:after="120" w:before="240"/>
      </w:pPr>
      <w:r>
        <w:rPr>
          <w:rFonts w:ascii="Verdana" w:cs="Verdana" w:eastAsia="Verdana" w:hAnsi="Verdana"/>
        </w:rPr>
        <w:t xml:space="preserve">27.7 Financial services</w:t>
      </w:r>
    </w:p>
    <w:p>
      <w:pPr>
        <w:pStyle w:val="ListParagraph"/>
        <w:numPr>
          <w:ilvl w:val="0"/>
          <w:numId w:val="2"/>
        </w:numPr>
        <w:spacing w:after="60" w:line="264"/>
      </w:pPr>
      <w:r>
        <w:rPr>
          <w:rFonts w:ascii="Verdana" w:cs="Verdana" w:eastAsia="Verdana" w:hAnsi="Verdana"/>
        </w:rPr>
        <w:t xml:space="preserve">Banks and NBFCs: provisions for bad debts within limits; NPA interest on receipt basis (section 56); exempt from thin capitalisation.</w:t>
      </w:r>
    </w:p>
    <w:p>
      <w:pPr>
        <w:pStyle w:val="ListParagraph"/>
        <w:numPr>
          <w:ilvl w:val="0"/>
          <w:numId w:val="2"/>
        </w:numPr>
        <w:spacing w:after="60" w:line="264"/>
      </w:pPr>
      <w:r>
        <w:rPr>
          <w:rFonts w:ascii="Verdana" w:cs="Verdana" w:eastAsia="Verdana" w:hAnsi="Verdana"/>
        </w:rPr>
        <w:t xml:space="preserve">Stock brokers and traders: securities as stock-in-trade valued under ICDS VIII; STT deductible for business income.</w:t>
      </w:r>
    </w:p>
    <w:p>
      <w:pPr>
        <w:pStyle w:val="ListParagraph"/>
        <w:numPr>
          <w:ilvl w:val="0"/>
          <w:numId w:val="2"/>
        </w:numPr>
        <w:spacing w:after="60" w:line="264"/>
      </w:pPr>
      <w:r>
        <w:rPr>
          <w:rFonts w:ascii="Verdana" w:cs="Verdana" w:eastAsia="Verdana" w:hAnsi="Verdana"/>
        </w:rPr>
        <w:t xml:space="preserve">Mutual funds and specified funds are exempt; investors are taxed on distributions and gains.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Real estate: stamp value rules, JDA timing, unsold inventory.</w:t>
            </w:r>
          </w:p>
          <w:p>
            <w:pPr>
              <w:spacing w:after="60" w:line="260"/>
            </w:pPr>
            <w:r>
              <w:rPr>
                <w:rFonts w:ascii="Verdana" w:cs="Verdana" w:eastAsia="Verdana" w:hAnsi="Verdana"/>
                <w:sz w:val="20"/>
                <w:szCs w:val="20"/>
              </w:rPr>
              <w:t xml:space="preserve">•  IT: SEZ units, safe harbour, software payments, ESOP cost.</w:t>
            </w:r>
          </w:p>
          <w:p>
            <w:pPr>
              <w:spacing w:after="60" w:line="260"/>
            </w:pPr>
            <w:r>
              <w:rPr>
                <w:rFonts w:ascii="Verdana" w:cs="Verdana" w:eastAsia="Verdana" w:hAnsi="Verdana"/>
                <w:sz w:val="20"/>
                <w:szCs w:val="20"/>
              </w:rPr>
              <w:t xml:space="preserve">•  Healthcare: disallowance of freebies to doctors.</w:t>
            </w:r>
          </w:p>
          <w:p>
            <w:pPr>
              <w:spacing w:after="60" w:line="260"/>
            </w:pPr>
            <w:r>
              <w:rPr>
                <w:rFonts w:ascii="Verdana" w:cs="Verdana" w:eastAsia="Verdana" w:hAnsi="Verdana"/>
                <w:sz w:val="20"/>
                <w:szCs w:val="20"/>
              </w:rPr>
              <w:t xml:space="preserve">•  Financial services: NPA interest on receipt, bad debt provisions.</w:t>
            </w:r>
          </w:p>
        </w:tc>
      </w:tr>
    </w:tbl>
    <w:p>
      <w:pPr>
        <w:pStyle w:val="Heading1"/>
        <w:pageBreakBefore/>
        <w:spacing w:after="200" w:before="0"/>
      </w:pPr>
      <w:r>
        <w:rPr>
          <w:rFonts w:ascii="Verdana" w:cs="Verdana" w:eastAsia="Verdana" w:hAnsi="Verdana"/>
        </w:rPr>
        <w:t xml:space="preserve">28. Income Tax and GST</w:t>
      </w:r>
    </w:p>
    <w:p>
      <w:pPr>
        <w:spacing w:after="120" w:line="276"/>
        <w:jc w:val="both"/>
      </w:pPr>
      <w:r>
        <w:rPr>
          <w:rFonts w:ascii="Verdana" w:cs="Verdana" w:eastAsia="Verdana" w:hAnsi="Verdana"/>
        </w:rPr>
        <w:t xml:space="preserve">Income tax and GST are separate laws, but they meet in many places. Mismatches between the two are a common trigger for notices, because the department now receives GST data in the AIS.</w:t>
      </w:r>
    </w:p>
    <w:p>
      <w:pPr>
        <w:pStyle w:val="Heading2"/>
        <w:keepNext/>
        <w:spacing w:after="120" w:before="240"/>
      </w:pPr>
      <w:r>
        <w:rPr>
          <w:rFonts w:ascii="Verdana" w:cs="Verdana" w:eastAsia="Verdana" w:hAnsi="Verdana"/>
        </w:rPr>
        <w:t xml:space="preserve">28.1 Where the two laws interact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Area</w:t>
            </w:r>
          </w:p>
        </w:tc>
        <w:tc>
          <w:tcPr>
            <w:tcW w:type="dxa" w:w="6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Income tax treatment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tax credit (ITC) on capital goods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 ITC is claimed, GST is not part of the actual cost for depreciation; if ITC is not available, GST is added to cost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expenses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Where ITC is available, only the net amount is an expense; blocked ITC (for example, on some motor vehicles) is part of the expense or cost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liability</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 on payment basis under section 37 if routed through the profit and loss account; most businesses follow the exclusive method (GST not in P&amp;L)</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late GST payment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Compensatory, generally allowed as a business expense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penalties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Disallowed if for infringement of law</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invoices with GST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generally on the amount excluding GST when shown separately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for tax audit and presumptive limits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Usually excludes GST under the exclusive method; be consistent</w:t>
            </w:r>
          </w:p>
        </w:tc>
      </w:tr>
    </w:tbl>
    <w:p>
      <w:pPr>
        <w:spacing w:after="60"/>
      </w:pPr>
    </w:p>
    <w:p>
      <w:pPr>
        <w:pStyle w:val="Heading2"/>
        <w:keepNext/>
        <w:spacing w:after="120" w:before="240"/>
      </w:pPr>
      <w:r>
        <w:rPr>
          <w:rFonts w:ascii="Verdana" w:cs="Verdana" w:eastAsia="Verdana" w:hAnsi="Verdana"/>
        </w:rPr>
        <w:t xml:space="preserve">28.2 GST and income tax turnover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104: Reconciliation</w:t>
            </w:r>
          </w:p>
          <w:p>
            <w:pPr>
              <w:spacing w:after="60" w:line="260"/>
            </w:pPr>
            <w:r>
              <w:rPr>
                <w:rFonts w:ascii="Verdana" w:cs="Verdana" w:eastAsia="Verdana" w:hAnsi="Verdana"/>
                <w:sz w:val="20"/>
                <w:szCs w:val="20"/>
              </w:rPr>
              <w:t xml:space="preserve">A company's turnover in the books is Rs. 48.6 crore, while its GST returns (GSTR-3B) show taxable and exempt supplies of Rs. 50.1 crore.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as per books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48,60,00,000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stock transfers to branches in other states (GST supplies, not sales in books)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sale of old fixed assets (GST supply, not revenue in books)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advance received on which GST was paid, revenue not yet recognised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credit notes issued after the GST return period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Turnover as per GST returns</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50,10,00,000</w:t>
            </w:r>
          </w:p>
        </w:tc>
      </w:tr>
    </w:tbl>
    <w:p>
      <w:pPr>
        <w:spacing w:after="60"/>
      </w:pPr>
    </w:p>
    <w:p>
      <w:pPr>
        <w:spacing w:after="120" w:line="276"/>
        <w:jc w:val="both"/>
      </w:pPr>
      <w:r>
        <w:rPr>
          <w:rFonts w:ascii="Verdana" w:cs="Verdana" w:eastAsia="Verdana" w:hAnsi="Verdana"/>
        </w:rPr>
        <w:t xml:space="preserve">The tax audit (Form 26) asks for this reconciliation. Prepare it every year, and explain each reconciling item with documents, because unexplained excess GST turnover is often treated as unrecorded sales.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ITC claimed is not part of cost; blocked ITC is.</w:t>
            </w:r>
          </w:p>
          <w:p>
            <w:pPr>
              <w:spacing w:after="60" w:line="260"/>
            </w:pPr>
            <w:r>
              <w:rPr>
                <w:rFonts w:ascii="Verdana" w:cs="Verdana" w:eastAsia="Verdana" w:hAnsi="Verdana"/>
                <w:sz w:val="20"/>
                <w:szCs w:val="20"/>
              </w:rPr>
              <w:t xml:space="preserve">•  Reconcile GST turnover with books every year; the tax audit asks for it.</w:t>
            </w:r>
          </w:p>
          <w:p>
            <w:pPr>
              <w:spacing w:after="60" w:line="260"/>
            </w:pPr>
            <w:r>
              <w:rPr>
                <w:rFonts w:ascii="Verdana" w:cs="Verdana" w:eastAsia="Verdana" w:hAnsi="Verdana"/>
                <w:sz w:val="20"/>
                <w:szCs w:val="20"/>
              </w:rPr>
              <w:t xml:space="preserve">•  Interest on late GST is compensatory; penalties are disallowed.</w:t>
            </w:r>
          </w:p>
        </w:tc>
      </w:tr>
    </w:tbl>
    <w:p>
      <w:pPr>
        <w:pStyle w:val="Heading1"/>
        <w:pageBreakBefore/>
        <w:spacing w:after="200" w:before="0"/>
      </w:pPr>
      <w:r>
        <w:rPr>
          <w:rFonts w:ascii="Verdana" w:cs="Verdana" w:eastAsia="Verdana" w:hAnsi="Verdana"/>
        </w:rPr>
        <w:t xml:space="preserve">29. Income Tax and Ind AS</w:t>
      </w:r>
    </w:p>
    <w:p>
      <w:pPr>
        <w:spacing w:after="120" w:line="276"/>
        <w:jc w:val="both"/>
      </w:pPr>
      <w:r>
        <w:rPr>
          <w:rFonts w:ascii="Verdana" w:cs="Verdana" w:eastAsia="Verdana" w:hAnsi="Verdana"/>
        </w:rPr>
        <w:t xml:space="preserve">Companies preparing Ind AS financial statements must compute taxable income under the Act and ICDS, and book profit for MAT with Ind AS specific adjustments. The key differences are summarised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3600"/>
        <w:gridCol w:w="3600"/>
      </w:tblGrid>
      <w:tr>
        <w:trPr>
          <w:cantSplit/>
          <w:tblHeader/>
        </w:trPr>
        <w:tc>
          <w:tcPr>
            <w:tcW w:type="dxa" w:w="2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Area</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Ind AS</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Income tax</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Revenue (Ind AS 115)</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Five step model; variable consideration estimated; significant financing component separated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ICDS IV and III; revenue when reasonable certainty of collection; retention money recognised</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Leases (Ind AS 116)</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Lessee records a right of use asset and lease liability; depreciation and interest in P&amp;L</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Lease rent paid is deductible as expense; ROU depreciation and interest are added back; deferred tax arises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Financial instruments (Ind AS 109)</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Fair value changes in P&amp;L or OCI; effective interest method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Unrealised fair value gains on capital assets not taxed until transfer; stock-in-trade under ICDS VIII</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 based payments (Ind AS 102)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ESOP cost over vesting period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 of ESOP discount allowed by courts, generally when options are exercised</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Provisions (Ind AS 37)</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Recognised when probable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 only when reasonably certain (ICDS X), or on actual basis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exchange (Ind AS 21)</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Monetary items restated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ICDS VI; similar for monetary items; capital asset related differences adjust cost in some cases (section 42)</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Government grants (Ind AS 20)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Deferred and recognised over time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no later than the year of receipt, or reduce cost of asset (ICDS VII)</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combinations (Ind AS 103)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Fair value accounting; goodwill</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values carried over in amalgamation; goodwill not depreciable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105: Lease under Ind AS 116</w:t>
            </w:r>
          </w:p>
          <w:p>
            <w:pPr>
              <w:spacing w:after="60" w:line="260"/>
            </w:pPr>
            <w:r>
              <w:rPr>
                <w:rFonts w:ascii="Verdana" w:cs="Verdana" w:eastAsia="Verdana" w:hAnsi="Verdana"/>
                <w:sz w:val="20"/>
                <w:szCs w:val="20"/>
              </w:rPr>
              <w:t xml:space="preserve">A company leases an office for 5 years at Rs. 24 lakh a year. Under Ind AS 116, in Year 1 it books depreciation on the ROU asset of Rs. 20 lakh and interest on the lease liability of Rs. 8 lakh, a total charge of Rs. 28 lakh.</w:t>
            </w:r>
          </w:p>
          <w:p>
            <w:pPr>
              <w:spacing w:after="60" w:line="260"/>
            </w:pPr>
            <w:r>
              <w:rPr>
                <w:rFonts w:ascii="Verdana" w:cs="Verdana" w:eastAsia="Verdana" w:hAnsi="Verdana"/>
                <w:sz w:val="20"/>
                <w:szCs w:val="20"/>
              </w:rPr>
              <w:t xml:space="preserve">For tax, it adds back Rs. 28 lakh and deducts the rent paid of Rs. 24 lakh. The difference of Rs. 4 lakh reverses over the lease term. Deferred tax is recognised on the ROU asset and lease liability. TDS applies to the rent paid, not to the accounting entries.</w:t>
            </w:r>
          </w:p>
        </w:tc>
      </w:tr>
    </w:tbl>
    <w:p>
      <w:pPr>
        <w:spacing w:after="60"/>
      </w:pPr>
    </w:p>
    <w:p>
      <w:pPr>
        <w:pStyle w:val="Heading2"/>
        <w:keepNext/>
        <w:spacing w:after="120" w:before="240"/>
      </w:pPr>
      <w:r>
        <w:rPr>
          <w:rFonts w:ascii="Verdana" w:cs="Verdana" w:eastAsia="Verdana" w:hAnsi="Verdana"/>
        </w:rPr>
        <w:t xml:space="preserve">29.1 MAT adjustments for Ind AS companies</w:t>
      </w:r>
    </w:p>
    <w:p>
      <w:pPr>
        <w:pStyle w:val="ListParagraph"/>
        <w:numPr>
          <w:ilvl w:val="0"/>
          <w:numId w:val="2"/>
        </w:numPr>
        <w:spacing w:after="60" w:line="264"/>
      </w:pPr>
      <w:r>
        <w:rPr>
          <w:rFonts w:ascii="Verdana" w:cs="Verdana" w:eastAsia="Verdana" w:hAnsi="Verdana"/>
        </w:rPr>
        <w:t xml:space="preserve">Book profit is the profit before OCI, adjusted for OCI items that will never be reclassified to P&amp;L (such as revaluation surplus is excluded, while remeasurement of defined benefit plans is included).</w:t>
      </w:r>
    </w:p>
    <w:p>
      <w:pPr>
        <w:pStyle w:val="ListParagraph"/>
        <w:numPr>
          <w:ilvl w:val="0"/>
          <w:numId w:val="2"/>
        </w:numPr>
        <w:spacing w:after="60" w:line="264"/>
      </w:pPr>
      <w:r>
        <w:rPr>
          <w:rFonts w:ascii="Verdana" w:cs="Verdana" w:eastAsia="Verdana" w:hAnsi="Verdana"/>
        </w:rPr>
        <w:t xml:space="preserve">Transition amounts on first adoption of Ind AS are spread over five years.</w:t>
      </w:r>
    </w:p>
    <w:p>
      <w:pPr>
        <w:pStyle w:val="ListParagraph"/>
        <w:numPr>
          <w:ilvl w:val="0"/>
          <w:numId w:val="2"/>
        </w:numPr>
        <w:spacing w:after="60" w:line="264"/>
      </w:pPr>
      <w:r>
        <w:rPr>
          <w:rFonts w:ascii="Verdana" w:cs="Verdana" w:eastAsia="Verdana" w:hAnsi="Verdana"/>
        </w:rPr>
        <w:t xml:space="preserve">Fair value gains on equity instruments designated through OCI are included when the instrument is transferred.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Ind AS figures are the starting point but ICDS and the Act decide taxable income.</w:t>
            </w:r>
          </w:p>
          <w:p>
            <w:pPr>
              <w:spacing w:after="60" w:line="260"/>
            </w:pPr>
            <w:r>
              <w:rPr>
                <w:rFonts w:ascii="Verdana" w:cs="Verdana" w:eastAsia="Verdana" w:hAnsi="Verdana"/>
                <w:sz w:val="20"/>
                <w:szCs w:val="20"/>
              </w:rPr>
              <w:t xml:space="preserve">•  Leases, fair value changes, provisions and ESOPs commonly create differences.</w:t>
            </w:r>
          </w:p>
          <w:p>
            <w:pPr>
              <w:spacing w:after="60" w:line="260"/>
            </w:pPr>
            <w:r>
              <w:rPr>
                <w:rFonts w:ascii="Verdana" w:cs="Verdana" w:eastAsia="Verdana" w:hAnsi="Verdana"/>
                <w:sz w:val="20"/>
                <w:szCs w:val="20"/>
              </w:rPr>
              <w:t xml:space="preserve">•  MAT for Ind AS companies has specific OCI and transition adjustments.</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E: MERGERS, ACQUISITIONS AND BUSINESS REORGANISATION</w:t>
      </w:r>
    </w:p>
    <w:p>
      <w:pPr>
        <w:shd w:fill="F6E8D2" w:color="auto" w:val="clear"/>
        <w:spacing w:after="200"/>
      </w:pPr>
      <w:r>
        <w:rPr>
          <w:rFonts w:ascii="Verdana" w:cs="Verdana" w:eastAsia="Verdana" w:hAnsi="Verdana"/>
          <w:i/>
          <w:iCs/>
          <w:color w:val="92400E"/>
          <w:sz w:val="20"/>
          <w:szCs w:val="20"/>
        </w:rPr>
        <w:t xml:space="preserve">  Amalgamation, demerger, slump sale, share acquisitions and conversions</w:t>
      </w:r>
    </w:p>
    <w:p>
      <w:pPr>
        <w:spacing w:after="240" w:line="276"/>
        <w:jc w:val="both"/>
      </w:pPr>
      <w:r>
        <w:rPr>
          <w:rFonts w:ascii="Verdana" w:cs="Verdana" w:eastAsia="Verdana" w:hAnsi="Verdana"/>
          <w:i/>
          <w:iCs/>
          <w:color w:val="404040"/>
          <w:sz w:val="21"/>
          <w:szCs w:val="21"/>
        </w:rPr>
        <w:t xml:space="preserve">Restructuring can be tax-neutral or expensive depending on the route and the conditions. This part explains amalgamations, demergers, slump sales, conversions and share deals, with checklists for due diligence and worked examples on losses, cost and holding period.</w:t>
      </w:r>
    </w:p>
    <w:p>
      <w:pPr>
        <w:pStyle w:val="Heading1"/>
        <w:spacing w:after="200" w:before="120"/>
      </w:pPr>
      <w:r>
        <w:rPr>
          <w:rFonts w:ascii="Verdana" w:cs="Verdana" w:eastAsia="Verdana" w:hAnsi="Verdana"/>
        </w:rPr>
        <w:t xml:space="preserve">30. Mergers and Acquisitions</w:t>
      </w:r>
    </w:p>
    <w:p>
      <w:pPr>
        <w:spacing w:after="120" w:line="276"/>
        <w:jc w:val="both"/>
      </w:pPr>
      <w:r>
        <w:rPr>
          <w:rFonts w:ascii="Verdana" w:cs="Verdana" w:eastAsia="Verdana" w:hAnsi="Verdana"/>
        </w:rPr>
        <w:t xml:space="preserve">Most restructurings in India can be done in a tax-neutral way if the conditions in the Act are met. The skill lies in knowing those conditions and checking them before the scheme is filed with the Tribunal. This chapter covers the main routes and their tax effects.</w:t>
      </w:r>
    </w:p>
    <w:p>
      <w:pPr>
        <w:pStyle w:val="Heading2"/>
        <w:keepNext/>
        <w:spacing w:after="120" w:before="240"/>
      </w:pPr>
      <w:r>
        <w:rPr>
          <w:rFonts w:ascii="Verdana" w:cs="Verdana" w:eastAsia="Verdana" w:hAnsi="Verdana"/>
        </w:rPr>
        <w:t xml:space="preserve">30.1 Choosing the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138"/>
        <w:gridCol w:w="1800"/>
        <w:gridCol w:w="1600"/>
      </w:tblGrid>
      <w:tr>
        <w:trPr>
          <w:cantSplit/>
          <w:tblHeader/>
        </w:trPr>
        <w:tc>
          <w:tcPr>
            <w:tcW w:type="dxa" w:w="1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Route</w:t>
            </w:r>
          </w:p>
        </w:tc>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on seller or transferor</w:t>
            </w:r>
          </w:p>
        </w:tc>
        <w:tc>
          <w:tcPr>
            <w:tcW w:type="dxa" w:w="21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Buyer's position</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Losses</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Stamp duty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Amalgamation (merger)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Neutral if conditions met</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Assets at transferor's tax values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Can carry over if section 116 met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per state law on order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Demerger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Neutral if conditions met</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Assets at book values of transferor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Proportionate carry over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per state law</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Slump sale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on lump sum less net worth</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Allocate price to assets; no goodwill depreciation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Stay with seller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asset transfer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Itemised asset sale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Gains asset by asset; business income on stock</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 price paid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Stay with seller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each asset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 acquisition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to shareholders</w:t>
            </w:r>
          </w:p>
        </w:tc>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Company continues; tax history comes along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At risk under section 119</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shares only</w:t>
            </w:r>
          </w:p>
        </w:tc>
      </w:tr>
    </w:tbl>
    <w:p>
      <w:pPr>
        <w:spacing w:after="60"/>
      </w:pPr>
    </w:p>
    <w:p>
      <w:pPr>
        <w:pStyle w:val="Heading2"/>
        <w:keepNext/>
        <w:spacing w:after="120" w:before="240"/>
      </w:pPr>
      <w:r>
        <w:rPr>
          <w:rFonts w:ascii="Verdana" w:cs="Verdana" w:eastAsia="Verdana" w:hAnsi="Verdana"/>
        </w:rPr>
        <w:t xml:space="preserve">30.2 Amalgamation: meaning and tax neutrality</w:t>
      </w:r>
    </w:p>
    <w:p>
      <w:pPr>
        <w:spacing w:after="120" w:line="276"/>
        <w:jc w:val="both"/>
      </w:pPr>
      <w:r>
        <w:rPr>
          <w:rFonts w:ascii="Verdana" w:cs="Verdana" w:eastAsia="Verdana" w:hAnsi="Verdana"/>
        </w:rPr>
        <w:t xml:space="preserve">Amalgamation is defined in section 2 of the Act. A merger qualifies only if (a) all property and all liabilities of the amalgamating company become those of the amalgamated company, and (b) shareholders holding at least </w:t>
      </w:r>
      <w:r>
        <w:rPr>
          <w:rFonts w:ascii="Verdana" w:cs="Verdana" w:eastAsia="Verdana" w:hAnsi="Verdana"/>
          <w:b/>
          <w:bCs/>
        </w:rPr>
        <w:t xml:space="preserve">three fourths in value</w:t>
      </w:r>
      <w:r>
        <w:rPr>
          <w:rFonts w:ascii="Verdana" w:cs="Verdana" w:eastAsia="Verdana" w:hAnsi="Verdana"/>
        </w:rPr>
        <w:t xml:space="preserve"> of the shares of the amalgamating company (other than shares already held by the amalgamated company) become shareholders of the amalgamated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100"/>
        <w:gridCol w:w="39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effect</w:t>
            </w:r>
          </w:p>
        </w:tc>
        <w:tc>
          <w:tcPr>
            <w:tcW w:type="dxa" w:w="2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3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Result</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assets by amalgamating company to Indian amalgamated company</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70 (old 47(vi))</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 transfer, no capital gains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Shareholder gets shares of amalgamated company in exchange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70 (old 47(vii))</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 transfer if consideration is only shares (cash for fractions allowed)</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and holding period of new shares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and period of old shares carried over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 in year of amalgamation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Split between the two companies by number of days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cost and WDV of assets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39, 41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as in amalgamating company's hands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Unamortised deductions (35D, 35DDA etc.)</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Relevant sections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Continue in amalgamated company</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Expenses of amalgamation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52 (old 35DD)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each year for 5 years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Brought forward losses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116 (old 72A)</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 only if conditions met; see below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106: Shareholder in a merger</w:t>
            </w:r>
          </w:p>
          <w:p>
            <w:pPr>
              <w:spacing w:after="60" w:line="260"/>
            </w:pPr>
            <w:r>
              <w:rPr>
                <w:rFonts w:ascii="Verdana" w:cs="Verdana" w:eastAsia="Verdana" w:hAnsi="Verdana"/>
                <w:sz w:val="20"/>
                <w:szCs w:val="20"/>
              </w:rPr>
              <w:t xml:space="preserve">Mr. Iyer holds shares of Alpha Ltd. bought in 2019 for Rs. 10 lakh. On 1 October 2026, Alpha merges into Beta Ltd. and he receives Beta shares worth Rs. 25 lakh. </w:t>
            </w:r>
            <w:r>
              <w:rPr>
                <w:rFonts w:ascii="Verdana" w:cs="Verdana" w:eastAsia="Verdana" w:hAnsi="Verdana"/>
                <w:b/>
                <w:bCs/>
                <w:sz w:val="20"/>
                <w:szCs w:val="20"/>
              </w:rPr>
              <w:t xml:space="preserve">No tax</w:t>
            </w:r>
            <w:r>
              <w:rPr>
                <w:rFonts w:ascii="Verdana" w:cs="Verdana" w:eastAsia="Verdana" w:hAnsi="Verdana"/>
                <w:sz w:val="20"/>
                <w:szCs w:val="20"/>
              </w:rPr>
              <w:t xml:space="preserve"> on the exchange. He sells the Beta shares in 2027 for Rs. 30 lakh. Cost is Rs. 10 lakh and the holding period runs from 2019, so LTCG = </w:t>
            </w:r>
            <w:r>
              <w:rPr>
                <w:rFonts w:ascii="Verdana" w:cs="Verdana" w:eastAsia="Verdana" w:hAnsi="Verdana"/>
                <w:b/>
                <w:bCs/>
                <w:sz w:val="20"/>
                <w:szCs w:val="20"/>
              </w:rPr>
              <w:t xml:space="preserve">Rs. 20 lakh</w:t>
            </w:r>
            <w:r>
              <w:rPr>
                <w:rFonts w:ascii="Verdana" w:cs="Verdana" w:eastAsia="Verdana" w:hAnsi="Verdana"/>
                <w:sz w:val="20"/>
                <w:szCs w:val="20"/>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107: Depreciation split</w:t>
            </w:r>
          </w:p>
          <w:p>
            <w:pPr>
              <w:spacing w:after="60" w:line="260"/>
            </w:pPr>
            <w:r>
              <w:rPr>
                <w:rFonts w:ascii="Verdana" w:cs="Verdana" w:eastAsia="Verdana" w:hAnsi="Verdana"/>
                <w:sz w:val="20"/>
                <w:szCs w:val="20"/>
              </w:rPr>
              <w:t xml:space="preserve">Alpha Ltd. merges into Beta Ltd. with the appointed date 1 October 2026. Depreciation on Alpha's assets for the full year would be Rs. 20,00,000. Alpha gets 183/365 = </w:t>
            </w:r>
            <w:r>
              <w:rPr>
                <w:rFonts w:ascii="Verdana" w:cs="Verdana" w:eastAsia="Verdana" w:hAnsi="Verdana"/>
                <w:b/>
                <w:bCs/>
                <w:sz w:val="20"/>
                <w:szCs w:val="20"/>
              </w:rPr>
              <w:t xml:space="preserve">Rs. 10,02,740</w:t>
            </w:r>
            <w:r>
              <w:rPr>
                <w:rFonts w:ascii="Verdana" w:cs="Verdana" w:eastAsia="Verdana" w:hAnsi="Verdana"/>
                <w:sz w:val="20"/>
                <w:szCs w:val="20"/>
              </w:rPr>
              <w:t xml:space="preserve"> (1 April to 30 September) and Beta gets 182/365 = </w:t>
            </w:r>
            <w:r>
              <w:rPr>
                <w:rFonts w:ascii="Verdana" w:cs="Verdana" w:eastAsia="Verdana" w:hAnsi="Verdana"/>
                <w:b/>
                <w:bCs/>
                <w:sz w:val="20"/>
                <w:szCs w:val="20"/>
              </w:rPr>
              <w:t xml:space="preserve">Rs. 9,97,260</w:t>
            </w:r>
            <w:r>
              <w:rPr>
                <w:rFonts w:ascii="Verdana" w:cs="Verdana" w:eastAsia="Verdana" w:hAnsi="Verdana"/>
                <w:sz w:val="20"/>
                <w:szCs w:val="20"/>
              </w:rPr>
              <w:t xml:space="preserve">.</w:t>
            </w:r>
          </w:p>
        </w:tc>
      </w:tr>
    </w:tbl>
    <w:p>
      <w:pPr>
        <w:spacing w:after="60"/>
      </w:pPr>
    </w:p>
    <w:p>
      <w:pPr>
        <w:pStyle w:val="Heading2"/>
        <w:keepNext/>
        <w:spacing w:after="120" w:before="240"/>
      </w:pPr>
      <w:r>
        <w:rPr>
          <w:rFonts w:ascii="Verdana" w:cs="Verdana" w:eastAsia="Verdana" w:hAnsi="Verdana"/>
        </w:rPr>
        <w:t xml:space="preserve">30.3 Carry forward of losses in amalgamation (section 116)</w:t>
      </w:r>
    </w:p>
    <w:p>
      <w:pPr>
        <w:spacing w:after="120" w:line="276"/>
        <w:jc w:val="both"/>
      </w:pPr>
      <w:r>
        <w:rPr>
          <w:rFonts w:ascii="Verdana" w:cs="Verdana" w:eastAsia="Verdana" w:hAnsi="Verdana"/>
        </w:rPr>
        <w:t xml:space="preserve">Accumulated loss and unabsorbed depreciation of the amalgamating company are treated as the loss of the amalgamated company only if:</w:t>
      </w:r>
    </w:p>
    <w:p>
      <w:pPr>
        <w:pStyle w:val="ListParagraph"/>
        <w:numPr>
          <w:ilvl w:val="0"/>
          <w:numId w:val="2"/>
        </w:numPr>
        <w:spacing w:after="60" w:line="264"/>
      </w:pPr>
      <w:r>
        <w:rPr>
          <w:rFonts w:ascii="Verdana" w:cs="Verdana" w:eastAsia="Verdana" w:hAnsi="Verdana"/>
        </w:rPr>
        <w:t xml:space="preserve">The amalgamating company owns an industrial undertaking, a ship, a hotel, or is a banking company or specified public sector entity.</w:t>
      </w:r>
    </w:p>
    <w:p>
      <w:pPr>
        <w:pStyle w:val="ListParagraph"/>
        <w:numPr>
          <w:ilvl w:val="0"/>
          <w:numId w:val="2"/>
        </w:numPr>
        <w:spacing w:after="60" w:line="264"/>
      </w:pPr>
      <w:r>
        <w:rPr>
          <w:rFonts w:ascii="Verdana" w:cs="Verdana" w:eastAsia="Verdana" w:hAnsi="Verdana"/>
        </w:rPr>
        <w:t xml:space="preserve">It has been in the business in which the loss arose for </w:t>
      </w:r>
      <w:r>
        <w:rPr>
          <w:rFonts w:ascii="Verdana" w:cs="Verdana" w:eastAsia="Verdana" w:hAnsi="Verdana"/>
          <w:b/>
          <w:bCs/>
        </w:rPr>
        <w:t xml:space="preserve">3 or more years</w:t>
      </w:r>
      <w:r>
        <w:rPr>
          <w:rFonts w:ascii="Verdana" w:cs="Verdana" w:eastAsia="Verdana" w:hAnsi="Verdana"/>
        </w:rPr>
        <w:t xml:space="preserve"> and has held at least </w:t>
      </w:r>
      <w:r>
        <w:rPr>
          <w:rFonts w:ascii="Verdana" w:cs="Verdana" w:eastAsia="Verdana" w:hAnsi="Verdana"/>
          <w:b/>
          <w:bCs/>
        </w:rPr>
        <w:t xml:space="preserve">three fourths</w:t>
      </w:r>
      <w:r>
        <w:rPr>
          <w:rFonts w:ascii="Verdana" w:cs="Verdana" w:eastAsia="Verdana" w:hAnsi="Verdana"/>
        </w:rPr>
        <w:t xml:space="preserve"> of the book value of fixed assets held two years before the amalgamation, continuously till the date of amalgamation.</w:t>
      </w:r>
    </w:p>
    <w:p>
      <w:pPr>
        <w:pStyle w:val="ListParagraph"/>
        <w:numPr>
          <w:ilvl w:val="0"/>
          <w:numId w:val="2"/>
        </w:numPr>
        <w:spacing w:after="60" w:line="264"/>
      </w:pPr>
      <w:r>
        <w:rPr>
          <w:rFonts w:ascii="Verdana" w:cs="Verdana" w:eastAsia="Verdana" w:hAnsi="Verdana"/>
        </w:rPr>
        <w:t xml:space="preserve">The amalgamated company holds at least three fourths of the book value of those fixed assets for </w:t>
      </w:r>
      <w:r>
        <w:rPr>
          <w:rFonts w:ascii="Verdana" w:cs="Verdana" w:eastAsia="Verdana" w:hAnsi="Verdana"/>
          <w:b/>
          <w:bCs/>
        </w:rPr>
        <w:t xml:space="preserve">5 years</w:t>
      </w:r>
      <w:r>
        <w:rPr>
          <w:rFonts w:ascii="Verdana" w:cs="Verdana" w:eastAsia="Verdana" w:hAnsi="Verdana"/>
        </w:rPr>
        <w:t xml:space="preserve"> and continues the business for 5 years, and meets the conditions in the Rules (including the revival certificate, Form 29, old Form 62).</w:t>
      </w:r>
    </w:p>
    <w:p>
      <w:pPr>
        <w:pStyle w:val="ListParagraph"/>
        <w:numPr>
          <w:ilvl w:val="0"/>
          <w:numId w:val="2"/>
        </w:numPr>
        <w:spacing w:after="60" w:line="264"/>
      </w:pPr>
      <w:r>
        <w:rPr>
          <w:rFonts w:ascii="Verdana" w:cs="Verdana" w:eastAsia="Verdana" w:hAnsi="Verdana"/>
        </w:rPr>
        <w:t xml:space="preserve">For amalgamations effective on or after 1 April 2025, the loss can be carried forward only for the </w:t>
      </w:r>
      <w:r>
        <w:rPr>
          <w:rFonts w:ascii="Verdana" w:cs="Verdana" w:eastAsia="Verdana" w:hAnsi="Verdana"/>
          <w:b/>
          <w:bCs/>
        </w:rPr>
        <w:t xml:space="preserve">remaining period</w:t>
      </w:r>
      <w:r>
        <w:rPr>
          <w:rFonts w:ascii="Verdana" w:cs="Verdana" w:eastAsia="Verdana" w:hAnsi="Verdana"/>
        </w:rPr>
        <w:t xml:space="preserve"> of the original 8 years, counted from the year the loss first arose.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108: Remaining life of a loss</w:t>
            </w:r>
          </w:p>
          <w:p>
            <w:pPr>
              <w:spacing w:after="60" w:line="260"/>
            </w:pPr>
            <w:r>
              <w:rPr>
                <w:rFonts w:ascii="Verdana" w:cs="Verdana" w:eastAsia="Verdana" w:hAnsi="Verdana"/>
                <w:sz w:val="20"/>
                <w:szCs w:val="20"/>
              </w:rPr>
              <w:t xml:space="preserve">Alpha Ltd. incurred a business loss of Rs. 8 crore in Tax Year 2021-22 and merges into Beta Ltd. on 1 April 2026. Conditions of section 116 are met. Beta can set off the loss only up to </w:t>
            </w:r>
            <w:r>
              <w:rPr>
                <w:rFonts w:ascii="Verdana" w:cs="Verdana" w:eastAsia="Verdana" w:hAnsi="Verdana"/>
                <w:b/>
                <w:bCs/>
                <w:sz w:val="20"/>
                <w:szCs w:val="20"/>
              </w:rPr>
              <w:t xml:space="preserve">Tax Year 2029-30</w:t>
            </w:r>
            <w:r>
              <w:rPr>
                <w:rFonts w:ascii="Verdana" w:cs="Verdana" w:eastAsia="Verdana" w:hAnsi="Verdana"/>
                <w:sz w:val="20"/>
                <w:szCs w:val="20"/>
              </w:rPr>
              <w:t xml:space="preserve"> (8 years after 2021-22), not 8 fresh years from the merger. If Beta sells more than one fourth of Alpha's fixed assets within 5 years, the loss already set off is taxed as income in the year of breach.</w:t>
            </w:r>
          </w:p>
        </w:tc>
      </w:tr>
    </w:tbl>
    <w:p>
      <w:pPr>
        <w:spacing w:after="60"/>
      </w:pPr>
    </w:p>
    <w:p>
      <w:pPr>
        <w:pStyle w:val="Heading2"/>
        <w:keepNext/>
        <w:spacing w:after="120" w:before="240"/>
      </w:pPr>
      <w:r>
        <w:rPr>
          <w:rFonts w:ascii="Verdana" w:cs="Verdana" w:eastAsia="Verdana" w:hAnsi="Verdana"/>
        </w:rPr>
        <w:t xml:space="preserve">30.4 Demerger</w:t>
      </w:r>
    </w:p>
    <w:p>
      <w:pPr>
        <w:spacing w:after="120" w:line="276"/>
        <w:jc w:val="both"/>
      </w:pPr>
      <w:r>
        <w:rPr>
          <w:rFonts w:ascii="Verdana" w:cs="Verdana" w:eastAsia="Verdana" w:hAnsi="Verdana"/>
        </w:rPr>
        <w:t xml:space="preserve">A demerger is tax-neutral if, among other conditions: all property and liabilities of the undertaking are transferred at </w:t>
      </w:r>
      <w:r>
        <w:rPr>
          <w:rFonts w:ascii="Verdana" w:cs="Verdana" w:eastAsia="Verdana" w:hAnsi="Verdana"/>
          <w:b/>
          <w:bCs/>
        </w:rPr>
        <w:t xml:space="preserve">book values</w:t>
      </w:r>
      <w:r>
        <w:rPr>
          <w:rFonts w:ascii="Verdana" w:cs="Verdana" w:eastAsia="Verdana" w:hAnsi="Verdana"/>
        </w:rPr>
        <w:t xml:space="preserve">; the resulting company issues shares to shareholders of the demerged company </w:t>
      </w:r>
      <w:r>
        <w:rPr>
          <w:rFonts w:ascii="Verdana" w:cs="Verdana" w:eastAsia="Verdana" w:hAnsi="Verdana"/>
          <w:b/>
          <w:bCs/>
        </w:rPr>
        <w:t xml:space="preserve">proportionately</w:t>
      </w:r>
      <w:r>
        <w:rPr>
          <w:rFonts w:ascii="Verdana" w:cs="Verdana" w:eastAsia="Verdana" w:hAnsi="Verdana"/>
        </w:rPr>
        <w:t xml:space="preserve">; shareholders holding at least </w:t>
      </w:r>
      <w:r>
        <w:rPr>
          <w:rFonts w:ascii="Verdana" w:cs="Verdana" w:eastAsia="Verdana" w:hAnsi="Verdana"/>
          <w:b/>
          <w:bCs/>
        </w:rPr>
        <w:t xml:space="preserve">three fourths in value</w:t>
      </w:r>
      <w:r>
        <w:rPr>
          <w:rFonts w:ascii="Verdana" w:cs="Verdana" w:eastAsia="Verdana" w:hAnsi="Verdana"/>
        </w:rPr>
        <w:t xml:space="preserve"> of the demerged company's shares become shareholders of the resulting company; the undertaking is transferred as a going concern; and the scheme is under sections 230 to 232 of the Companies Act, 2013. The definition refers to sections 230 to 232 and not to section 233 (fast track), so whether a fast track demerger qualifies should be examined before relying on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Effect</w:t>
            </w:r>
          </w:p>
        </w:tc>
        <w:tc>
          <w:tcPr>
            <w:tcW w:type="dxa" w:w="6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Result</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undertaking</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 transfer for capital gains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Shares issued by resulting company to shareholders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 transfer; not dividend</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of shares in resulting company</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of original shares x (net book value of undertaking transferred / net worth of demerged company before demerger)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of shares in demerged company</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Original cost less cost allocated above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Losses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Directly related to the undertaking go to the resulting company; common losses apportioned by assets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109: Cost split on demerger</w:t>
            </w:r>
          </w:p>
          <w:p>
            <w:pPr>
              <w:spacing w:after="60" w:line="260"/>
            </w:pPr>
            <w:r>
              <w:rPr>
                <w:rFonts w:ascii="Verdana" w:cs="Verdana" w:eastAsia="Verdana" w:hAnsi="Verdana"/>
                <w:sz w:val="20"/>
                <w:szCs w:val="20"/>
              </w:rPr>
              <w:t xml:space="preserve">Neha holds shares of Delta Ltd. costing Rs. 10 lakh. Delta demerges its retail undertaking to Retailco Ltd. The net book value of the retail undertaking is 40% of Delta's net worth. Cost of Retailco shares = 40% x 10 lakh = </w:t>
            </w:r>
            <w:r>
              <w:rPr>
                <w:rFonts w:ascii="Verdana" w:cs="Verdana" w:eastAsia="Verdana" w:hAnsi="Verdana"/>
                <w:b/>
                <w:bCs/>
                <w:sz w:val="20"/>
                <w:szCs w:val="20"/>
              </w:rPr>
              <w:t xml:space="preserve">Rs. 4 lakh</w:t>
            </w:r>
            <w:r>
              <w:rPr>
                <w:rFonts w:ascii="Verdana" w:cs="Verdana" w:eastAsia="Verdana" w:hAnsi="Verdana"/>
                <w:sz w:val="20"/>
                <w:szCs w:val="20"/>
              </w:rPr>
              <w:t xml:space="preserve">. Revised cost of Delta shares = </w:t>
            </w:r>
            <w:r>
              <w:rPr>
                <w:rFonts w:ascii="Verdana" w:cs="Verdana" w:eastAsia="Verdana" w:hAnsi="Verdana"/>
                <w:b/>
                <w:bCs/>
                <w:sz w:val="20"/>
                <w:szCs w:val="20"/>
              </w:rPr>
              <w:t xml:space="preserve">Rs. 6 lakh</w:t>
            </w:r>
            <w:r>
              <w:rPr>
                <w:rFonts w:ascii="Verdana" w:cs="Verdana" w:eastAsia="Verdana" w:hAnsi="Verdana"/>
                <w:sz w:val="20"/>
                <w:szCs w:val="20"/>
              </w:rPr>
              <w:t xml:space="preserve">. Holding period of Retailco shares includes the period she held Delta shares.</w:t>
            </w:r>
          </w:p>
        </w:tc>
      </w:tr>
    </w:tbl>
    <w:p>
      <w:pPr>
        <w:spacing w:after="60"/>
      </w:pPr>
    </w:p>
    <w:p>
      <w:pPr>
        <w:pStyle w:val="Heading2"/>
        <w:keepNext/>
        <w:spacing w:after="120" w:before="240"/>
      </w:pPr>
      <w:r>
        <w:rPr>
          <w:rFonts w:ascii="Verdana" w:cs="Verdana" w:eastAsia="Verdana" w:hAnsi="Verdana"/>
        </w:rPr>
        <w:t xml:space="preserve">30.5 Slump sale (section 77, old 50B)</w:t>
      </w:r>
    </w:p>
    <w:p>
      <w:pPr>
        <w:spacing w:after="120" w:line="276"/>
        <w:jc w:val="both"/>
      </w:pPr>
      <w:r>
        <w:rPr>
          <w:rFonts w:ascii="Verdana" w:cs="Verdana" w:eastAsia="Verdana" w:hAnsi="Verdana"/>
        </w:rPr>
        <w:t xml:space="preserve">A slump sale is the transfer of one or more undertakings for a </w:t>
      </w:r>
      <w:r>
        <w:rPr>
          <w:rFonts w:ascii="Verdana" w:cs="Verdana" w:eastAsia="Verdana" w:hAnsi="Verdana"/>
          <w:b/>
          <w:bCs/>
        </w:rPr>
        <w:t xml:space="preserve">lump sum consideration</w:t>
      </w:r>
      <w:r>
        <w:rPr>
          <w:rFonts w:ascii="Verdana" w:cs="Verdana" w:eastAsia="Verdana" w:hAnsi="Verdana"/>
        </w:rPr>
        <w:t xml:space="preserve"> without assigning values to individual assets and liabilities. The gain is taxed as capital gains.</w:t>
      </w:r>
    </w:p>
    <w:p>
      <w:pPr>
        <w:pStyle w:val="ListParagraph"/>
        <w:numPr>
          <w:ilvl w:val="0"/>
          <w:numId w:val="2"/>
        </w:numPr>
        <w:spacing w:after="60" w:line="264"/>
      </w:pPr>
      <w:r>
        <w:rPr>
          <w:rFonts w:ascii="Verdana" w:cs="Verdana" w:eastAsia="Verdana" w:hAnsi="Verdana"/>
        </w:rPr>
        <w:t xml:space="preserve">Cost = </w:t>
      </w:r>
      <w:r>
        <w:rPr>
          <w:rFonts w:ascii="Verdana" w:cs="Verdana" w:eastAsia="Verdana" w:hAnsi="Verdana"/>
          <w:b/>
          <w:bCs/>
        </w:rPr>
        <w:t xml:space="preserve">net worth</w:t>
      </w:r>
      <w:r>
        <w:rPr>
          <w:rFonts w:ascii="Verdana" w:cs="Verdana" w:eastAsia="Verdana" w:hAnsi="Verdana"/>
        </w:rPr>
        <w:t xml:space="preserve"> of the undertaking: tax WDV of depreciable assets, book value of other assets (ignoring revaluation), less book value of liabilities. Goodwill that was not purchased is valued at nil.</w:t>
      </w:r>
    </w:p>
    <w:p>
      <w:pPr>
        <w:pStyle w:val="ListParagraph"/>
        <w:numPr>
          <w:ilvl w:val="0"/>
          <w:numId w:val="2"/>
        </w:numPr>
        <w:spacing w:after="60" w:line="264"/>
      </w:pPr>
      <w:r>
        <w:rPr>
          <w:rFonts w:ascii="Verdana" w:cs="Verdana" w:eastAsia="Verdana" w:hAnsi="Verdana"/>
        </w:rPr>
        <w:t xml:space="preserve">Sale value = higher of actual consideration and the </w:t>
      </w:r>
      <w:r>
        <w:rPr>
          <w:rFonts w:ascii="Verdana" w:cs="Verdana" w:eastAsia="Verdana" w:hAnsi="Verdana"/>
          <w:b/>
          <w:bCs/>
        </w:rPr>
        <w:t xml:space="preserve">FMV</w:t>
      </w:r>
      <w:r>
        <w:rPr>
          <w:rFonts w:ascii="Verdana" w:cs="Verdana" w:eastAsia="Verdana" w:hAnsi="Verdana"/>
        </w:rPr>
        <w:t xml:space="preserve"> computed under the Rules.</w:t>
      </w:r>
    </w:p>
    <w:p>
      <w:pPr>
        <w:pStyle w:val="ListParagraph"/>
        <w:numPr>
          <w:ilvl w:val="0"/>
          <w:numId w:val="2"/>
        </w:numPr>
        <w:spacing w:after="60" w:line="264"/>
      </w:pPr>
      <w:r>
        <w:rPr>
          <w:rFonts w:ascii="Verdana" w:cs="Verdana" w:eastAsia="Verdana" w:hAnsi="Verdana"/>
        </w:rPr>
        <w:t xml:space="preserve">Long-term if the undertaking was held for more than </w:t>
      </w:r>
      <w:r>
        <w:rPr>
          <w:rFonts w:ascii="Verdana" w:cs="Verdana" w:eastAsia="Verdana" w:hAnsi="Verdana"/>
          <w:b/>
          <w:bCs/>
        </w:rPr>
        <w:t xml:space="preserve">36 months</w:t>
      </w:r>
      <w:r>
        <w:rPr>
          <w:rFonts w:ascii="Verdana" w:cs="Verdana" w:eastAsia="Verdana" w:hAnsi="Verdana"/>
        </w:rPr>
        <w:t xml:space="preserve">, taxed at 12.5% without indexation; otherwise short-term at normal rates.</w:t>
      </w:r>
    </w:p>
    <w:p>
      <w:pPr>
        <w:pStyle w:val="ListParagraph"/>
        <w:numPr>
          <w:ilvl w:val="0"/>
          <w:numId w:val="2"/>
        </w:numPr>
        <w:spacing w:after="60" w:line="264"/>
      </w:pPr>
      <w:r>
        <w:rPr>
          <w:rFonts w:ascii="Verdana" w:cs="Verdana" w:eastAsia="Verdana" w:hAnsi="Verdana"/>
        </w:rPr>
        <w:t xml:space="preserve">An accountant's report on net worth must be obtained and filed at least one month before the return due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110: Slump sale</w:t>
            </w:r>
          </w:p>
          <w:p>
            <w:pPr>
              <w:spacing w:after="60" w:line="260"/>
            </w:pPr>
            <w:r>
              <w:rPr>
                <w:rFonts w:ascii="Verdana" w:cs="Verdana" w:eastAsia="Verdana" w:hAnsi="Verdana"/>
                <w:sz w:val="20"/>
                <w:szCs w:val="20"/>
              </w:rPr>
              <w:t xml:space="preserve">Orbit Ltd. sells its engineering division, held for 8 years, for Rs. 50 crore. Net worth of the division as computed above is Rs. 30 crore; FMV under the Rules is Rs. 48 crore, so actual consideration is used. LTCG = </w:t>
            </w:r>
            <w:r>
              <w:rPr>
                <w:rFonts w:ascii="Verdana" w:cs="Verdana" w:eastAsia="Verdana" w:hAnsi="Verdana"/>
                <w:b/>
                <w:bCs/>
                <w:sz w:val="20"/>
                <w:szCs w:val="20"/>
              </w:rPr>
              <w:t xml:space="preserve">Rs. 20 crore</w:t>
            </w:r>
            <w:r>
              <w:rPr>
                <w:rFonts w:ascii="Verdana" w:cs="Verdana" w:eastAsia="Verdana" w:hAnsi="Verdana"/>
                <w:sz w:val="20"/>
                <w:szCs w:val="20"/>
              </w:rPr>
              <w:t xml:space="preserve">. Tax at 12.5% = Rs. 2.5 crore, plus 12% surcharge and 4% cess = </w:t>
            </w:r>
            <w:r>
              <w:rPr>
                <w:rFonts w:ascii="Verdana" w:cs="Verdana" w:eastAsia="Verdana" w:hAnsi="Verdana"/>
                <w:b/>
                <w:bCs/>
                <w:sz w:val="20"/>
                <w:szCs w:val="20"/>
              </w:rPr>
              <w:t xml:space="preserve">Rs. 2.912 crore</w:t>
            </w:r>
            <w:r>
              <w:rPr>
                <w:rFonts w:ascii="Verdana" w:cs="Verdana" w:eastAsia="Verdana" w:hAnsi="Verdana"/>
                <w:sz w:val="20"/>
                <w:szCs w:val="20"/>
              </w:rPr>
              <w:t xml:space="preserve"> (company in the normal regime).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 "slump exchange", where the consideration is paid in shares instead of cash, is also treated as a transfer under section 77. Do not assume it is tax-neutral.</w:t>
            </w:r>
          </w:p>
        </w:tc>
      </w:tr>
    </w:tbl>
    <w:p>
      <w:pPr>
        <w:spacing w:after="60"/>
      </w:pPr>
    </w:p>
    <w:p>
      <w:pPr>
        <w:pStyle w:val="Heading2"/>
        <w:keepNext/>
        <w:spacing w:after="120" w:before="240"/>
      </w:pPr>
      <w:r>
        <w:rPr>
          <w:rFonts w:ascii="Verdana" w:cs="Verdana" w:eastAsia="Verdana" w:hAnsi="Verdana"/>
        </w:rPr>
        <w:t xml:space="preserve">30.6 Conversion into LLP or company</w:t>
      </w:r>
    </w:p>
    <w:p>
      <w:pPr>
        <w:spacing w:after="120" w:line="276"/>
        <w:jc w:val="both"/>
      </w:pPr>
      <w:r>
        <w:rPr>
          <w:rFonts w:ascii="Verdana" w:cs="Verdana" w:eastAsia="Verdana" w:hAnsi="Verdana"/>
        </w:rPr>
        <w:t xml:space="preserve">Conversion of a firm into a company, or of a private or unlisted company into an LLP, is not a transfer if the conditions in section 70 are met. For company to LLP conversion, broadly: all assets and liabilities pass to the LLP, all shareholders become partners in the same ratio, no consideration other than profit share and capital, shareholders hold at least 50% of profit share for 5 years, turnover did not exceed Rs. 60 lakh and total assets did not exceed Rs. 5 crore in any of the preceding three years, and no amount is paid to partners out of accumulated profits for 3 years. If conditions are later breached, the exempted gain becomes taxable.</w:t>
      </w:r>
    </w:p>
    <w:p>
      <w:pPr>
        <w:pStyle w:val="Heading2"/>
        <w:keepNext/>
        <w:spacing w:after="120" w:before="240"/>
      </w:pPr>
      <w:r>
        <w:rPr>
          <w:rFonts w:ascii="Verdana" w:cs="Verdana" w:eastAsia="Verdana" w:hAnsi="Verdana"/>
        </w:rPr>
        <w:t xml:space="preserve">30.7 Share acquisitions: points for the buyer and seller</w:t>
      </w:r>
    </w:p>
    <w:p>
      <w:pPr>
        <w:pStyle w:val="ListParagraph"/>
        <w:numPr>
          <w:ilvl w:val="0"/>
          <w:numId w:val="2"/>
        </w:numPr>
        <w:spacing w:after="60" w:line="264"/>
      </w:pPr>
      <w:r>
        <w:rPr>
          <w:rFonts w:ascii="Verdana" w:cs="Verdana" w:eastAsia="Verdana" w:hAnsi="Verdana"/>
          <w:b/>
          <w:bCs/>
        </w:rPr>
        <w:t xml:space="preserve">Seller:</w:t>
      </w:r>
      <w:r>
        <w:rPr>
          <w:rFonts w:ascii="Verdana" w:cs="Verdana" w:eastAsia="Verdana" w:hAnsi="Verdana"/>
        </w:rPr>
        <w:t xml:space="preserve"> capital gains at 12.5% (long-term) or normal rates. For unlisted shares, sale value cannot be below the FMV in the Rules (section 79).</w:t>
      </w:r>
    </w:p>
    <w:p>
      <w:pPr>
        <w:pStyle w:val="ListParagraph"/>
        <w:numPr>
          <w:ilvl w:val="0"/>
          <w:numId w:val="2"/>
        </w:numPr>
        <w:spacing w:after="60" w:line="264"/>
      </w:pPr>
      <w:r>
        <w:rPr>
          <w:rFonts w:ascii="Verdana" w:cs="Verdana" w:eastAsia="Verdana" w:hAnsi="Verdana"/>
          <w:b/>
          <w:bCs/>
        </w:rPr>
        <w:t xml:space="preserve">Buyer:</w:t>
      </w:r>
      <w:r>
        <w:rPr>
          <w:rFonts w:ascii="Verdana" w:cs="Verdana" w:eastAsia="Verdana" w:hAnsi="Verdana"/>
        </w:rPr>
        <w:t xml:space="preserve"> if shares are bought below FMV, the difference above Rs. 50,000 is taxable as other income in the buyer's hands (section 92).</w:t>
      </w:r>
    </w:p>
    <w:p>
      <w:pPr>
        <w:pStyle w:val="ListParagraph"/>
        <w:numPr>
          <w:ilvl w:val="0"/>
          <w:numId w:val="2"/>
        </w:numPr>
        <w:spacing w:after="60" w:line="264"/>
      </w:pPr>
      <w:r>
        <w:rPr>
          <w:rFonts w:ascii="Verdana" w:cs="Verdana" w:eastAsia="Verdana" w:hAnsi="Verdana"/>
          <w:b/>
          <w:bCs/>
        </w:rPr>
        <w:t xml:space="preserve">Non-resident seller:</w:t>
      </w:r>
      <w:r>
        <w:rPr>
          <w:rFonts w:ascii="Verdana" w:cs="Verdana" w:eastAsia="Verdana" w:hAnsi="Verdana"/>
        </w:rPr>
        <w:t xml:space="preserve"> the buyer must withhold tax under section 393(2) at the applicable rate or the treaty rate, obtain Forms 145 and 146 (old 15CA and 15CB), and may apply for a lower withholding certificate under section 395.</w:t>
      </w:r>
    </w:p>
    <w:p>
      <w:pPr>
        <w:pStyle w:val="ListParagraph"/>
        <w:numPr>
          <w:ilvl w:val="0"/>
          <w:numId w:val="2"/>
        </w:numPr>
        <w:spacing w:after="60" w:line="264"/>
      </w:pPr>
      <w:r>
        <w:rPr>
          <w:rFonts w:ascii="Verdana" w:cs="Verdana" w:eastAsia="Verdana" w:hAnsi="Verdana"/>
          <w:b/>
          <w:bCs/>
        </w:rPr>
        <w:t xml:space="preserve">Losses:</w:t>
      </w:r>
      <w:r>
        <w:rPr>
          <w:rFonts w:ascii="Verdana" w:cs="Verdana" w:eastAsia="Verdana" w:hAnsi="Verdana"/>
        </w:rPr>
        <w:t xml:space="preserve"> check the 51% continuity test (section 119). A change in control can wipe out losses.</w:t>
      </w:r>
    </w:p>
    <w:p>
      <w:pPr>
        <w:pStyle w:val="ListParagraph"/>
        <w:numPr>
          <w:ilvl w:val="0"/>
          <w:numId w:val="2"/>
        </w:numPr>
        <w:spacing w:after="60" w:line="264"/>
      </w:pPr>
      <w:r>
        <w:rPr>
          <w:rFonts w:ascii="Verdana" w:cs="Verdana" w:eastAsia="Verdana" w:hAnsi="Verdana"/>
          <w:b/>
          <w:bCs/>
        </w:rPr>
        <w:t xml:space="preserve">Indirect transfers:</w:t>
      </w:r>
      <w:r>
        <w:rPr>
          <w:rFonts w:ascii="Verdana" w:cs="Verdana" w:eastAsia="Verdana" w:hAnsi="Verdana"/>
        </w:rPr>
        <w:t xml:space="preserve"> shares of a foreign company that derive substantial value from Indian assets are taxable in India under section 9 and Schedule I.</w:t>
      </w:r>
    </w:p>
    <w:p>
      <w:pPr>
        <w:pStyle w:val="ListParagraph"/>
        <w:numPr>
          <w:ilvl w:val="0"/>
          <w:numId w:val="2"/>
        </w:numPr>
        <w:spacing w:after="60" w:line="264"/>
      </w:pPr>
      <w:r>
        <w:rPr>
          <w:rFonts w:ascii="Verdana" w:cs="Verdana" w:eastAsia="Verdana" w:hAnsi="Verdana"/>
          <w:b/>
          <w:bCs/>
        </w:rPr>
        <w:t xml:space="preserve">Warranties and escrow:</w:t>
      </w:r>
      <w:r>
        <w:rPr>
          <w:rFonts w:ascii="Verdana" w:cs="Verdana" w:eastAsia="Verdana" w:hAnsi="Verdana"/>
        </w:rPr>
        <w:t xml:space="preserve"> keep tax indemnities for pre-closing periods, since reassessment can go back up to 5 years in large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111: Buying from a non-resident</w:t>
            </w:r>
          </w:p>
          <w:p>
            <w:pPr>
              <w:spacing w:after="60" w:line="260"/>
            </w:pPr>
            <w:r>
              <w:rPr>
                <w:rFonts w:ascii="Verdana" w:cs="Verdana" w:eastAsia="Verdana" w:hAnsi="Verdana"/>
                <w:sz w:val="20"/>
                <w:szCs w:val="20"/>
              </w:rPr>
              <w:t xml:space="preserve">A UK company sells 100% of an Indian private company to an Indian buyer for Rs. 200 crore. Its cost was Rs. 120 crore and it held the shares for 6 years. LTCG = Rs. 80 crore. Under the India-UK treaty, gains on shares of an Indian company are taxable in India. The buyer withholds tax at 12.5% plus surcharge and cess on the gain (not on the full price, if a lower withholding certificate under section 395 or a properly computed gain is used), deposits it, and issues the TDS certificate.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Prepare a tax due diligence checklist for every acquisition: pending assessments and demands, TDS defaults, section 37 MSME exposure, transfer pricing adjustments, loss continuity, GST and stamp duty. Most post-deal disputes start from items that were in the files but not read.</w:t>
            </w:r>
          </w:p>
        </w:tc>
      </w:tr>
    </w:tbl>
    <w:p>
      <w:pPr>
        <w:spacing w:after="60"/>
      </w:pPr>
    </w:p>
    <w:p>
      <w:pPr>
        <w:pStyle w:val="Heading2"/>
        <w:keepNext/>
        <w:spacing w:after="120" w:before="240"/>
      </w:pPr>
      <w:r>
        <w:rPr>
          <w:rFonts w:ascii="Verdana" w:cs="Verdana" w:eastAsia="Verdana" w:hAnsi="Verdana"/>
        </w:rPr>
        <w:t xml:space="preserve">30.8 Tax due diligence: what to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Area</w:t>
            </w:r>
          </w:p>
        </w:tc>
        <w:tc>
          <w:tcPr>
            <w:tcW w:type="dxa" w:w="7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Key checks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tax assessments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Status for the last 6 to 10 years; pending notices, demands, appeals; reassessment exposure; search history</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and TCS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Defaults, short deductions, interest, section 35 disallowances, characterisation of payments (contractor vs professional)</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Adjustments in past years, secondary adjustment status, APAs, documentation quality</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Losses and MAT credit</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Quantum, expiry dates, section 119 continuity, MAT credit usability after Finance Act 2026</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Incentives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holidays, section 140 or 146 claims and their conditions, SEZ compliance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Indirect taxes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customs and stamp duty exposures, though outside this guide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Related party transactions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36 exposure, deemed dividends, loans to promoters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Structure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Holding structure, treaty eligibility of foreign holding companies, GAAR risk</w:t>
            </w:r>
          </w:p>
        </w:tc>
      </w:tr>
    </w:tbl>
    <w:p>
      <w:pPr>
        <w:spacing w:after="60"/>
      </w:pPr>
    </w:p>
    <w:p>
      <w:pPr>
        <w:spacing w:after="120" w:line="276"/>
        <w:jc w:val="both"/>
      </w:pPr>
      <w:r>
        <w:rPr>
          <w:rFonts w:ascii="Verdana" w:cs="Verdana" w:eastAsia="Verdana" w:hAnsi="Verdana"/>
        </w:rPr>
        <w:t xml:space="preserve">Findings feed into the price (a reduction for quantified exposures), the share purchase agreement (specific indemnities and escrow), and the post-deal integration plan.</w:t>
      </w:r>
    </w:p>
    <w:p>
      <w:pPr>
        <w:pStyle w:val="Heading2"/>
        <w:keepNext/>
        <w:spacing w:after="120" w:before="240"/>
      </w:pPr>
      <w:r>
        <w:rPr>
          <w:rFonts w:ascii="Verdana" w:cs="Verdana" w:eastAsia="Verdana" w:hAnsi="Verdana"/>
        </w:rPr>
        <w:t xml:space="preserve">30.9 Tax-neutral routes: conditions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6600"/>
      </w:tblGrid>
      <w:tr>
        <w:trPr>
          <w:cantSplit/>
          <w:tblHeader/>
        </w:trPr>
        <w:tc>
          <w:tcPr>
            <w:tcW w:type="dxa" w:w="3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Route</w:t>
            </w:r>
          </w:p>
        </w:tc>
        <w:tc>
          <w:tcPr>
            <w:tcW w:type="dxa" w:w="6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Key conditions for tax neutrality</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Amalgamation</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assets and liabilities transferred; 75% in value of shareholders become shareholders of amalgamated company; amalgamated company is Indian</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Demerger</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assets and liabilities of the undertaking transferred at book value; shares issued proportionately; 75% in value of shareholders become shareholders; going concern; scheme under sections 230 to 232</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between holding and wholly owned Indian subsidiary</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Holding company owns 100% of subsidiary; asset not stock-in-trade; conditions to continue for 8 years, failing which exemption withdrawn</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Conversion of firm to company</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assets and liabilities transferred; all partners become shareholders in the same proportion; partners hold at least 50% of voting power for 5 years; consideration only by way of shares</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Conversion of company to LLP</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up to Rs. 60 lakh and total assets up to Rs. 5 crore in each of the three preceding years; all shareholders become partners in the same proportion; at least 50% profit share for 5 years; no payment out of accumulated profits for 3 years</w:t>
            </w:r>
          </w:p>
        </w:tc>
      </w:tr>
      <w:tr>
        <w:trPr>
          <w:cantSplit/>
        </w:trPr>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 swap in amalgamation of foreign companies</w:t>
            </w:r>
          </w:p>
        </w:tc>
        <w:tc>
          <w:tcPr>
            <w:tcW w:type="dxa" w:w="6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shares of an Indian company by the amalgamating foreign company is not a transfer if 25% of shareholders continue and the foreign country does not tax the gain</w:t>
            </w:r>
          </w:p>
        </w:tc>
      </w:tr>
    </w:tbl>
    <w:p>
      <w:pPr>
        <w:spacing w:after="60"/>
      </w:pPr>
    </w:p>
    <w:p>
      <w:pPr>
        <w:pStyle w:val="Heading2"/>
        <w:keepNext/>
        <w:spacing w:after="120" w:before="240"/>
      </w:pPr>
      <w:r>
        <w:rPr>
          <w:rFonts w:ascii="Verdana" w:cs="Verdana" w:eastAsia="Verdana" w:hAnsi="Verdana"/>
        </w:rPr>
        <w:t xml:space="preserve">30.10 Merger step by step: timeline and tax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6800"/>
      </w:tblGrid>
      <w:tr>
        <w:trPr>
          <w:cantSplit/>
          <w:tblHeader/>
        </w:trPr>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6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actions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Structuring</w:t>
            </w:r>
          </w:p>
        </w:tc>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Choose route; model tax on each party; check loss carry forward conditions; GAAR and commercial rationale note</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Board approval and filing with the Tribunal</w:t>
            </w:r>
          </w:p>
        </w:tc>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of the scheme is given to the income tax department, which may file objections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Appointed date</w:t>
            </w:r>
          </w:p>
        </w:tc>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from which the scheme takes effect for accounting and tax; the amalgamated company files returns including the amalgamating company's income from the appointed date</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Effective date (Tribunal order filed)</w:t>
            </w:r>
          </w:p>
        </w:tc>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Returns already filed for the period after the appointed date may need to be revised; the Act allows a modified return within 6 months of the end of the month of the order</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Post merger</w:t>
            </w:r>
          </w:p>
        </w:tc>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PAN and TAN related compliances; claim TDS credit of the amalgamating company; file Form 29 (old 62) where losses are claimed; update registrations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Assessment on a non-existent company</w:t>
            </w:r>
          </w:p>
          <w:p>
            <w:pPr>
              <w:spacing w:after="60" w:line="260"/>
            </w:pPr>
            <w:r>
              <w:rPr>
                <w:rFonts w:ascii="Verdana" w:cs="Verdana" w:eastAsia="Verdana" w:hAnsi="Verdana"/>
                <w:b/>
                <w:bCs/>
                <w:sz w:val="20"/>
                <w:szCs w:val="20"/>
              </w:rPr>
              <w:t xml:space="preserve">PCIT v. Maruti Suzuki India Ltd. (Supreme Court, 2019):</w:t>
            </w:r>
            <w:r>
              <w:rPr>
                <w:rFonts w:ascii="Verdana" w:cs="Verdana" w:eastAsia="Verdana" w:hAnsi="Verdana"/>
                <w:sz w:val="20"/>
                <w:szCs w:val="20"/>
              </w:rPr>
              <w:t xml:space="preserve"> an assessment order passed in the name of an amalgamating company that had ceased to exist on amalgamation was held void, even though the department knew of the merger. After a merger is effective, notices and orders must be in the name of the amalgamated company.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Appointed date</w:t>
            </w:r>
          </w:p>
          <w:p>
            <w:pPr>
              <w:spacing w:after="60" w:line="260"/>
            </w:pPr>
            <w:r>
              <w:rPr>
                <w:rFonts w:ascii="Verdana" w:cs="Verdana" w:eastAsia="Verdana" w:hAnsi="Verdana"/>
                <w:b/>
                <w:bCs/>
                <w:sz w:val="20"/>
                <w:szCs w:val="20"/>
              </w:rPr>
              <w:t xml:space="preserve">Marshall Sons and Co. (India) Ltd. v. ITO (Supreme Court, 1997):</w:t>
            </w:r>
            <w:r>
              <w:rPr>
                <w:rFonts w:ascii="Verdana" w:cs="Verdana" w:eastAsia="Verdana" w:hAnsi="Verdana"/>
                <w:sz w:val="20"/>
                <w:szCs w:val="20"/>
              </w:rPr>
              <w:t xml:space="preserve"> a scheme of amalgamation sanctioned by the court takes effect from the transfer (appointed) date specified in the scheme, and income from that date is to be assessed in the hands of the amalgamated company.</w:t>
            </w:r>
          </w:p>
        </w:tc>
      </w:tr>
    </w:tbl>
    <w:p>
      <w:pPr>
        <w:spacing w:after="60"/>
      </w:pPr>
    </w:p>
    <w:p>
      <w:pPr>
        <w:pStyle w:val="Heading2"/>
        <w:keepNext/>
        <w:spacing w:after="120" w:before="240"/>
      </w:pPr>
      <w:r>
        <w:rPr>
          <w:rFonts w:ascii="Verdana" w:cs="Verdana" w:eastAsia="Verdana" w:hAnsi="Verdana"/>
        </w:rPr>
        <w:t xml:space="preserve">30.11 Valuation for tax purposes</w:t>
      </w:r>
    </w:p>
    <w:p>
      <w:pPr>
        <w:spacing w:after="120" w:line="276"/>
        <w:jc w:val="both"/>
      </w:pPr>
      <w:r>
        <w:rPr>
          <w:rFonts w:ascii="Verdana" w:cs="Verdana" w:eastAsia="Verdana" w:hAnsi="Verdana"/>
        </w:rPr>
        <w:t xml:space="preserve">Several provisions require a fair market value under the Rules: section 79 (sale of unquoted shares below FMV), section 92 (receipt of shares below FMV), section 77 (slump sale), section 8 (assets distributed by firms), and transfer pricing. The Rules prescribe methods such as net asset value for unquoted equity shares (with adjustments for immovable property at stamp value and jewellery and art at their FMV) and permit certain other methods backed by a valuer's report in specified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112: Unquoted shares below FMV</w:t>
            </w:r>
          </w:p>
          <w:p>
            <w:pPr>
              <w:spacing w:after="60" w:line="260"/>
            </w:pPr>
            <w:r>
              <w:rPr>
                <w:rFonts w:ascii="Verdana" w:cs="Verdana" w:eastAsia="Verdana" w:hAnsi="Verdana"/>
                <w:sz w:val="20"/>
                <w:szCs w:val="20"/>
              </w:rPr>
              <w:t xml:space="preserve">Prakash sells 10,000 unquoted shares of a private company to his friend at Rs. 100 per share. The FMV under the Rules is Rs. 180. Seller: sale value taken at Rs. 180 x 10,000 = Rs. 18 lakh under section 79. Buyer: difference of Rs. 8 lakh (above Rs. 50,000) is taxable as other income under section 92. The same transaction is taxed at FMV on both sides.</w:t>
            </w:r>
          </w:p>
        </w:tc>
      </w:tr>
    </w:tbl>
    <w:p>
      <w:pPr>
        <w:spacing w:after="60"/>
      </w:pPr>
    </w:p>
    <w:p>
      <w:pPr>
        <w:pStyle w:val="Heading2"/>
        <w:keepNext/>
        <w:spacing w:after="120" w:before="240"/>
      </w:pPr>
      <w:r>
        <w:rPr>
          <w:rFonts w:ascii="Verdana" w:cs="Verdana" w:eastAsia="Verdana" w:hAnsi="Verdana"/>
        </w:rPr>
        <w:t xml:space="preserve">30.12 Deferred and contingent consideration</w:t>
      </w:r>
    </w:p>
    <w:p>
      <w:pPr>
        <w:spacing w:after="120" w:line="276"/>
        <w:jc w:val="both"/>
      </w:pPr>
      <w:r>
        <w:rPr>
          <w:rFonts w:ascii="Verdana" w:cs="Verdana" w:eastAsia="Verdana" w:hAnsi="Verdana"/>
        </w:rPr>
        <w:t xml:space="preserve">In many deals part of the price is paid later, or depends on future performance (earn outs). Capital gains accrue in the year of transfer on the full consideration that has accrued, even if not received. Contingent amounts that have not accrued are taxed only when they become payable. If an amount already taxed is not received, the seller may face difficulty claiming a reduction; it is better to structure contingent consideration so that it accrues only on the happening of the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113: Earn out</w:t>
            </w:r>
          </w:p>
          <w:p>
            <w:pPr>
              <w:spacing w:after="60" w:line="260"/>
            </w:pPr>
            <w:r>
              <w:rPr>
                <w:rFonts w:ascii="Verdana" w:cs="Verdana" w:eastAsia="Verdana" w:hAnsi="Verdana"/>
                <w:sz w:val="20"/>
                <w:szCs w:val="20"/>
              </w:rPr>
              <w:t xml:space="preserve">A founder sells shares in January 2027 for Rs. 20 crore upfront plus an earn out of up to Rs. 5 crore payable in 2028 if revenue targets are met. Capital gain in Tax Year 2026-27 is computed on Rs. 20 crore. If Rs. 3 crore is paid in 2028 on meeting targets, it is taxed when it accrues. The buyer deducts TDS on each payment where required (for non-resident sellers).</w:t>
            </w:r>
          </w:p>
        </w:tc>
      </w:tr>
    </w:tbl>
    <w:p>
      <w:pPr>
        <w:spacing w:after="60"/>
      </w:pPr>
    </w:p>
    <w:p>
      <w:pPr>
        <w:pStyle w:val="Heading2"/>
        <w:keepNext/>
        <w:spacing w:after="120" w:before="240"/>
      </w:pPr>
      <w:r>
        <w:rPr>
          <w:rFonts w:ascii="Verdana" w:cs="Verdana" w:eastAsia="Verdana" w:hAnsi="Verdana"/>
        </w:rPr>
        <w:t xml:space="preserve">30.13 Business transfer vs slump sale: practical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3700"/>
        <w:gridCol w:w="3700"/>
      </w:tblGrid>
      <w:tr>
        <w:trPr>
          <w:cantSplit/>
          <w:tblHeader/>
        </w:trPr>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Point</w:t>
            </w:r>
          </w:p>
        </w:tc>
        <w:tc>
          <w:tcPr>
            <w:tcW w:type="dxa" w:w="3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Slump sale</w:t>
            </w:r>
          </w:p>
        </w:tc>
        <w:tc>
          <w:tcPr>
            <w:tcW w:type="dxa" w:w="3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Itemised sale</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 seller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One capital gain on net worth basis; long-term if undertaking held above 36 months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Gain or loss asset by asset; stock gives business income; depreciable assets reduce blocks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Buyer's tax cost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Price allocated to assets as per valuation; goodwill not depreciable</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is the price paid for each asset</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business as a going concern is generally exempt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on movable assets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Stamp duty</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the conveyance, depending on state law and assets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each conveyance</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Losses of the seller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Stay with seller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Stay with seller</w:t>
            </w:r>
          </w:p>
        </w:tc>
      </w:tr>
    </w:tbl>
    <w:p>
      <w:pPr>
        <w:spacing w:after="60"/>
      </w:pPr>
    </w:p>
    <w:p>
      <w:pPr>
        <w:pStyle w:val="Heading2"/>
        <w:keepNext/>
        <w:spacing w:after="120" w:before="240"/>
      </w:pPr>
      <w:r>
        <w:rPr>
          <w:rFonts w:ascii="Verdana" w:cs="Verdana" w:eastAsia="Verdana" w:hAnsi="Verdana"/>
        </w:rPr>
        <w:t xml:space="preserve">30.14 Carry forward of MAT credit and unabsorbed depreciation in mergers</w:t>
      </w:r>
    </w:p>
    <w:p>
      <w:pPr>
        <w:spacing w:after="120" w:line="276"/>
        <w:jc w:val="both"/>
      </w:pPr>
      <w:r>
        <w:rPr>
          <w:rFonts w:ascii="Verdana" w:cs="Verdana" w:eastAsia="Verdana" w:hAnsi="Verdana"/>
        </w:rPr>
        <w:t xml:space="preserve">MAT credit of an amalgamating company is not expressly provided to pass to the amalgamated company in all cases; the position has been debated in tribunals. Unabsorbed depreciation and losses pass only under section 116. Where section 116 conditions cannot be met (for example, the amalgamating company is a service company, not an industrial undertaking), the losses lapse, which should be factored into the decision to merge rather than, say, to transfer the business of the profitable company into the loss company.</w:t>
      </w:r>
    </w:p>
    <w:p>
      <w:pPr>
        <w:pStyle w:val="Heading2"/>
        <w:keepNext/>
        <w:spacing w:after="120" w:before="240"/>
      </w:pPr>
      <w:r>
        <w:rPr>
          <w:rFonts w:ascii="Verdana" w:cs="Verdana" w:eastAsia="Verdana" w:hAnsi="Verdana"/>
        </w:rPr>
        <w:t xml:space="preserve">30.15 Indirect transfers</w:t>
      </w:r>
    </w:p>
    <w:p>
      <w:pPr>
        <w:spacing w:after="120" w:line="276"/>
        <w:jc w:val="both"/>
      </w:pPr>
      <w:r>
        <w:rPr>
          <w:rFonts w:ascii="Verdana" w:cs="Verdana" w:eastAsia="Verdana" w:hAnsi="Verdana"/>
        </w:rPr>
        <w:t xml:space="preserve">Transfer of shares of a foreign company is taxed in India if the shares derive their value substantially from assets in India. "Substantially" means the Indian assets exceed Rs. 10 crore and represent at least 50% of the value of all assets of the foreign company. Small shareholders (not holding control and less than 5% of voting power or capital) are exempt. Reporting obligations apply to the Indian entity whose shares are indirectly transferred.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Background to indirect transfer taxation</w:t>
            </w:r>
          </w:p>
          <w:p>
            <w:pPr>
              <w:spacing w:after="60" w:line="260"/>
            </w:pPr>
            <w:r>
              <w:rPr>
                <w:rFonts w:ascii="Verdana" w:cs="Verdana" w:eastAsia="Verdana" w:hAnsi="Verdana"/>
                <w:b/>
                <w:bCs/>
                <w:sz w:val="20"/>
                <w:szCs w:val="20"/>
              </w:rPr>
              <w:t xml:space="preserve">Vodafone International Holdings B.V. v. Union of India (Supreme Court, 2012):</w:t>
            </w:r>
            <w:r>
              <w:rPr>
                <w:rFonts w:ascii="Verdana" w:cs="Verdana" w:eastAsia="Verdana" w:hAnsi="Verdana"/>
                <w:sz w:val="20"/>
                <w:szCs w:val="20"/>
              </w:rPr>
              <w:t xml:space="preserve"> the transfer of shares of a Cayman Islands company that indirectly held an Indian telecom business was held not taxable in India under the law then in force. Parliament responded with retrospective provisions deeming such transfers taxable; the retrospective demands were withdrawn by the Taxation Laws (Amendment) Act, 2021, while the prospective rules on indirect transfers continue.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114: Indirect transfer</w:t>
            </w:r>
          </w:p>
          <w:p>
            <w:pPr>
              <w:spacing w:after="60" w:line="260"/>
            </w:pPr>
            <w:r>
              <w:rPr>
                <w:rFonts w:ascii="Verdana" w:cs="Verdana" w:eastAsia="Verdana" w:hAnsi="Verdana"/>
                <w:sz w:val="20"/>
                <w:szCs w:val="20"/>
              </w:rPr>
              <w:t xml:space="preserve">A Singapore company owns 100% of an Indian subsidiary worth Rs. 400 crore, which forms 80% of the Singapore company's assets. A US buyer acquires the Singapore company's shares from its Dutch parent. The shares derive substantial value from India, so the gain attributable to the Indian assets is taxable in India, subject to any treaty protection. The Indian subsidiary must report the transaction within the prescribed time.</w:t>
            </w:r>
          </w:p>
        </w:tc>
      </w:tr>
    </w:tbl>
    <w:p>
      <w:pPr>
        <w:spacing w:after="60"/>
      </w:pPr>
    </w:p>
    <w:p>
      <w:pPr>
        <w:pStyle w:val="Heading2"/>
        <w:keepNext/>
        <w:spacing w:after="120" w:before="240"/>
      </w:pPr>
      <w:r>
        <w:rPr>
          <w:rFonts w:ascii="Verdana" w:cs="Verdana" w:eastAsia="Verdana" w:hAnsi="Verdana"/>
        </w:rPr>
        <w:t xml:space="preserve">30.16 Cross-border mergers</w:t>
      </w:r>
    </w:p>
    <w:p>
      <w:pPr>
        <w:spacing w:after="120" w:line="276"/>
        <w:jc w:val="both"/>
      </w:pPr>
      <w:r>
        <w:rPr>
          <w:rFonts w:ascii="Verdana" w:cs="Verdana" w:eastAsia="Verdana" w:hAnsi="Verdana"/>
        </w:rPr>
        <w:t xml:space="preserve">Mergers between Indian and foreign companies are allowed under the Companies Act and the FEMA cross-border merger regulations. The tax position differs by direction: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Type</w:t>
            </w:r>
          </w:p>
        </w:tc>
        <w:tc>
          <w:tcPr>
            <w:tcW w:type="dxa" w:w="6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treatment</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Inbound (foreign company merges into an Indian company)</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Can be tax-neutral under section 70 if the amalgamated company is Indian and the definition of amalgamation is met. Losses of the foreign company generally do not carry over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Outbound (Indian company merges into a foreign company)</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amalgamated company is not Indian, so the section 70 exemption for the transfer of assets is not available; the Indian company and its shareholders may be taxed. Such mergers are rare for this reason</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Merger of two foreign companies holding Indian shares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shares of an Indian company is exempt if at least 25% of the shareholders of the amalgamating foreign company continue in the amalgamated company and the gain is not taxable in the foreign country</w:t>
            </w:r>
          </w:p>
        </w:tc>
      </w:tr>
    </w:tbl>
    <w:p>
      <w:pPr>
        <w:spacing w:after="60"/>
      </w:pPr>
    </w:p>
    <w:p>
      <w:pPr>
        <w:pStyle w:val="Heading2"/>
        <w:keepNext/>
        <w:spacing w:after="120" w:before="240"/>
      </w:pPr>
      <w:r>
        <w:rPr>
          <w:rFonts w:ascii="Verdana" w:cs="Verdana" w:eastAsia="Verdana" w:hAnsi="Verdana"/>
        </w:rPr>
        <w:t xml:space="preserve">30.17 A merger decision: where do the losses 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115: Merging a loss-making sister company</w:t>
            </w:r>
          </w:p>
          <w:p>
            <w:pPr>
              <w:spacing w:after="60" w:line="260"/>
            </w:pPr>
            <w:r>
              <w:rPr>
                <w:rFonts w:ascii="Verdana" w:cs="Verdana" w:eastAsia="Verdana" w:hAnsi="Verdana"/>
                <w:sz w:val="20"/>
                <w:szCs w:val="20"/>
              </w:rPr>
              <w:t xml:space="preserve">Prime Ltd. is profitable. Its sister company Loss Ltd., a software services business (not an industrial undertaking), has accumulated losses of Rs. 20 crore. The group wants one entity.</w:t>
            </w:r>
          </w:p>
          <w:p>
            <w:pPr>
              <w:spacing w:after="60" w:line="260"/>
            </w:pPr>
            <w:r>
              <w:rPr>
                <w:rFonts w:ascii="Verdana" w:cs="Verdana" w:eastAsia="Verdana" w:hAnsi="Verdana"/>
                <w:b/>
                <w:bCs/>
                <w:sz w:val="20"/>
                <w:szCs w:val="20"/>
              </w:rPr>
              <w:t xml:space="preserve">Option 1: Loss Ltd. merges into Prime Ltd.</w:t>
            </w:r>
            <w:r>
              <w:rPr>
                <w:rFonts w:ascii="Verdana" w:cs="Verdana" w:eastAsia="Verdana" w:hAnsi="Verdana"/>
                <w:sz w:val="20"/>
                <w:szCs w:val="20"/>
              </w:rPr>
              <w:t xml:space="preserve"> Section 116 allows carry forward only for industrial undertakings, ships, hotels and certain banks. Loss Ltd. is a service company, so its losses </w:t>
            </w:r>
            <w:r>
              <w:rPr>
                <w:rFonts w:ascii="Verdana" w:cs="Verdana" w:eastAsia="Verdana" w:hAnsi="Verdana"/>
                <w:b/>
                <w:bCs/>
                <w:sz w:val="20"/>
                <w:szCs w:val="20"/>
              </w:rPr>
              <w:t xml:space="preserve">lapse</w:t>
            </w:r>
            <w:r>
              <w:rPr>
                <w:rFonts w:ascii="Verdana" w:cs="Verdana" w:eastAsia="Verdana" w:hAnsi="Verdana"/>
                <w:sz w:val="20"/>
                <w:szCs w:val="20"/>
              </w:rPr>
              <w:t xml:space="preserve">. Tax value lost at 25.168% = about </w:t>
            </w:r>
            <w:r>
              <w:rPr>
                <w:rFonts w:ascii="Verdana" w:cs="Verdana" w:eastAsia="Verdana" w:hAnsi="Verdana"/>
                <w:b/>
                <w:bCs/>
                <w:sz w:val="20"/>
                <w:szCs w:val="20"/>
              </w:rPr>
              <w:t xml:space="preserve">Rs. 5.03 crore</w:t>
            </w:r>
            <w:r>
              <w:rPr>
                <w:rFonts w:ascii="Verdana" w:cs="Verdana" w:eastAsia="Verdana" w:hAnsi="Verdana"/>
                <w:sz w:val="20"/>
                <w:szCs w:val="20"/>
              </w:rPr>
              <w:t xml:space="preserve">.</w:t>
            </w:r>
          </w:p>
          <w:p>
            <w:pPr>
              <w:spacing w:after="60" w:line="260"/>
            </w:pPr>
            <w:r>
              <w:rPr>
                <w:rFonts w:ascii="Verdana" w:cs="Verdana" w:eastAsia="Verdana" w:hAnsi="Verdana"/>
                <w:b/>
                <w:bCs/>
                <w:sz w:val="20"/>
                <w:szCs w:val="20"/>
              </w:rPr>
              <w:t xml:space="preserve">Option 2: Prime Ltd. merges into Loss Ltd. (reverse merger).</w:t>
            </w:r>
            <w:r>
              <w:rPr>
                <w:rFonts w:ascii="Verdana" w:cs="Verdana" w:eastAsia="Verdana" w:hAnsi="Verdana"/>
                <w:sz w:val="20"/>
                <w:szCs w:val="20"/>
              </w:rPr>
              <w:t xml:space="preserve"> Loss Ltd. survives, so its losses remain its own. But: (a) if Prime's shareholders receive more than 49% of Loss Ltd.'s voting shares and Loss Ltd. is closely held, section 119 extinguishes the losses; (b) GAAR may be examined if the main purpose is to use losses.</w:t>
            </w:r>
          </w:p>
          <w:p>
            <w:pPr>
              <w:spacing w:after="60" w:line="260"/>
            </w:pPr>
            <w:r>
              <w:rPr>
                <w:rFonts w:ascii="Verdana" w:cs="Verdana" w:eastAsia="Verdana" w:hAnsi="Verdana"/>
                <w:b/>
                <w:bCs/>
                <w:sz w:val="20"/>
                <w:szCs w:val="20"/>
              </w:rPr>
              <w:t xml:space="preserve">Conclusion:</w:t>
            </w:r>
            <w:r>
              <w:rPr>
                <w:rFonts w:ascii="Verdana" w:cs="Verdana" w:eastAsia="Verdana" w:hAnsi="Verdana"/>
                <w:sz w:val="20"/>
                <w:szCs w:val="20"/>
              </w:rPr>
              <w:t xml:space="preserve"> the structure must be tested against sections 116 and 119, and the commercial reasons documented. Often the value of losses is lower than it first appears.</w:t>
            </w:r>
          </w:p>
        </w:tc>
      </w:tr>
    </w:tbl>
    <w:p>
      <w:pPr>
        <w:spacing w:after="60"/>
      </w:pPr>
    </w:p>
    <w:p>
      <w:pPr>
        <w:pStyle w:val="Heading2"/>
        <w:keepNext/>
        <w:spacing w:after="120" w:before="240"/>
      </w:pPr>
      <w:r>
        <w:rPr>
          <w:rFonts w:ascii="Verdana" w:cs="Verdana" w:eastAsia="Verdana" w:hAnsi="Verdana"/>
        </w:rPr>
        <w:t xml:space="preserve">30.18 Merger of a subsidiary into its holding company</w:t>
      </w:r>
    </w:p>
    <w:p>
      <w:pPr>
        <w:spacing w:after="120" w:line="276"/>
        <w:jc w:val="both"/>
      </w:pPr>
      <w:r>
        <w:rPr>
          <w:rFonts w:ascii="Verdana" w:cs="Verdana" w:eastAsia="Verdana" w:hAnsi="Verdana"/>
        </w:rPr>
        <w:t xml:space="preserve">Where a wholly owned subsidiary merges into its parent, the parent cancels its investment in the subsidiary's shares and issues no new shares. The condition that shareholders holding 75% in value become shareholders of the amalgamated company does not apply to shares already held by the amalgamated company. The transfer of assets is tax-neutral. The difference between the cost of investment and the net assets taken over is an accounting matter (capital reserve or goodwill) and has no tax effect; goodwill arising is not depreciable.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Amalgamation and demerger are tax-neutral if the definitions and conditions are met.</w:t>
            </w:r>
          </w:p>
          <w:p>
            <w:pPr>
              <w:spacing w:after="60" w:line="260"/>
            </w:pPr>
            <w:r>
              <w:rPr>
                <w:rFonts w:ascii="Verdana" w:cs="Verdana" w:eastAsia="Verdana" w:hAnsi="Verdana"/>
                <w:sz w:val="20"/>
                <w:szCs w:val="20"/>
              </w:rPr>
              <w:t xml:space="preserve">•  Losses carry forward only under section 116 and only for the remaining original period.</w:t>
            </w:r>
          </w:p>
          <w:p>
            <w:pPr>
              <w:spacing w:after="60" w:line="260"/>
            </w:pPr>
            <w:r>
              <w:rPr>
                <w:rFonts w:ascii="Verdana" w:cs="Verdana" w:eastAsia="Verdana" w:hAnsi="Verdana"/>
                <w:sz w:val="20"/>
                <w:szCs w:val="20"/>
              </w:rPr>
              <w:t xml:space="preserve">•  Slump sale is taxed on consideration less net worth; long-term after 36 months.</w:t>
            </w:r>
          </w:p>
          <w:p>
            <w:pPr>
              <w:spacing w:after="60" w:line="260"/>
            </w:pPr>
            <w:r>
              <w:rPr>
                <w:rFonts w:ascii="Verdana" w:cs="Verdana" w:eastAsia="Verdana" w:hAnsi="Verdana"/>
                <w:sz w:val="20"/>
                <w:szCs w:val="20"/>
              </w:rPr>
              <w:t xml:space="preserve">•  Share deals must consider section 79, section 92, section 119 and withholding for non-resident sellers.</w:t>
            </w:r>
          </w:p>
          <w:p>
            <w:pPr>
              <w:spacing w:after="60" w:line="260"/>
            </w:pPr>
            <w:r>
              <w:rPr>
                <w:rFonts w:ascii="Verdana" w:cs="Verdana" w:eastAsia="Verdana" w:hAnsi="Verdana"/>
                <w:sz w:val="20"/>
                <w:szCs w:val="20"/>
              </w:rPr>
              <w:t xml:space="preserve">•  Indirect transfers of foreign shares deriving value from India are taxable.</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F: INTERNATIONAL TAXATION</w:t>
      </w:r>
    </w:p>
    <w:p>
      <w:pPr>
        <w:shd w:fill="F6E8D2" w:color="auto" w:val="clear"/>
        <w:spacing w:after="200"/>
      </w:pPr>
      <w:r>
        <w:rPr>
          <w:rFonts w:ascii="Verdana" w:cs="Verdana" w:eastAsia="Verdana" w:hAnsi="Verdana"/>
          <w:i/>
          <w:iCs/>
          <w:color w:val="92400E"/>
          <w:sz w:val="20"/>
          <w:szCs w:val="20"/>
        </w:rPr>
        <w:t xml:space="preserve">  Non-residents, treaties, withholding, foreign tax credit, transfer pricing and anti-avoidance</w:t>
      </w:r>
    </w:p>
    <w:p>
      <w:pPr>
        <w:spacing w:after="240" w:line="276"/>
        <w:jc w:val="both"/>
      </w:pPr>
      <w:r>
        <w:rPr>
          <w:rFonts w:ascii="Verdana" w:cs="Verdana" w:eastAsia="Verdana" w:hAnsi="Verdana"/>
          <w:i/>
          <w:iCs/>
          <w:color w:val="404040"/>
          <w:sz w:val="21"/>
          <w:szCs w:val="21"/>
        </w:rPr>
        <w:t xml:space="preserve">Cross-border income raises questions of source, residence, treaties and pricing between related parties. This part explains how non-residents are taxed, how treaties and withholding work, the position of NRIs, transfer pricing in practice, and the anti-avoidance rules that sit on top.</w:t>
      </w:r>
    </w:p>
    <w:p>
      <w:pPr>
        <w:pStyle w:val="Heading1"/>
        <w:spacing w:after="200" w:before="120"/>
      </w:pPr>
      <w:r>
        <w:rPr>
          <w:rFonts w:ascii="Verdana" w:cs="Verdana" w:eastAsia="Verdana" w:hAnsi="Verdana"/>
        </w:rPr>
        <w:t xml:space="preserve">31. Taxation of Non-Residents and Tax Treaties</w:t>
      </w:r>
    </w:p>
    <w:p>
      <w:pPr>
        <w:pStyle w:val="Heading2"/>
        <w:keepNext/>
        <w:spacing w:after="120" w:before="240"/>
      </w:pPr>
      <w:r>
        <w:rPr>
          <w:rFonts w:ascii="Verdana" w:cs="Verdana" w:eastAsia="Verdana" w:hAnsi="Verdana"/>
        </w:rPr>
        <w:t xml:space="preserve">31.1 The basic rule</w:t>
      </w:r>
    </w:p>
    <w:p>
      <w:pPr>
        <w:spacing w:after="120" w:line="276"/>
        <w:jc w:val="both"/>
      </w:pPr>
      <w:r>
        <w:rPr>
          <w:rFonts w:ascii="Verdana" w:cs="Verdana" w:eastAsia="Verdana" w:hAnsi="Verdana"/>
        </w:rPr>
        <w:t xml:space="preserve">A non-resident is taxed in India only on income that is received in India, or accrues or arises (or is deemed to accrue or arise) in India. Section 9, read with </w:t>
      </w:r>
      <w:r>
        <w:rPr>
          <w:rFonts w:ascii="Verdana" w:cs="Verdana" w:eastAsia="Verdana" w:hAnsi="Verdana"/>
          <w:b/>
          <w:bCs/>
        </w:rPr>
        <w:t xml:space="preserve">Schedule I</w:t>
      </w:r>
      <w:r>
        <w:rPr>
          <w:rFonts w:ascii="Verdana" w:cs="Verdana" w:eastAsia="Verdana" w:hAnsi="Verdana"/>
        </w:rPr>
        <w:t xml:space="preserve">, sets out when income is deemed to accrue in India. A non-resident may then claim the benefit of a tax treaty (DTAA) under section 159 if it is more beneficial.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Income deemed to accrue in India (section 9)</w:t>
            </w:r>
          </w:p>
        </w:tc>
        <w:tc>
          <w:tcPr>
            <w:tcW w:type="dxa" w:w="6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 simple words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connection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from a business connection in India, including a dependent agent who habitually concludes contracts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Significant economic presence (SEP)</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Payments from Indian users above Rs. 2 crore a year, or systematic interaction with 3 lakh or more users in India, even without a physical presence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Property and assets in India</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from any property, asset or source of income in India</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capital asset in India</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Including shares of a foreign company that derive substantial value from Indian assets (indirect transfer)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for services in India</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in India wherever paid</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royalty, fees for technical services (FTS)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Paid by a resident (with some exceptions) or by a non-resident for a business in India</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 by an Indian company</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in India</w:t>
            </w:r>
          </w:p>
        </w:tc>
      </w:tr>
    </w:tbl>
    <w:p>
      <w:pPr>
        <w:spacing w:after="60"/>
      </w:pPr>
    </w:p>
    <w:p>
      <w:pPr>
        <w:pStyle w:val="Heading2"/>
        <w:keepNext/>
        <w:spacing w:after="120" w:before="240"/>
      </w:pPr>
      <w:r>
        <w:rPr>
          <w:rFonts w:ascii="Verdana" w:cs="Verdana" w:eastAsia="Verdana" w:hAnsi="Verdana"/>
        </w:rPr>
        <w:t xml:space="preserve">31.2 Tax rates for non-residents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300"/>
        <w:gridCol w:w="1200"/>
        <w:gridCol w:w="33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Income</w:t>
            </w:r>
          </w:p>
        </w:tc>
        <w:tc>
          <w:tcPr>
            <w:tcW w:type="dxa" w:w="1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1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3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Domestic rate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(general)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and fees for technical services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(on gross, no expenses)</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listed equity (STT paid)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112A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above Rs. 1,25,000</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unlisted shares and other assets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on listed equity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111A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profits through a 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Normal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 for foreign company, on net profit</w:t>
            </w:r>
          </w:p>
        </w:tc>
      </w:tr>
    </w:tbl>
    <w:p>
      <w:pPr>
        <w:spacing w:after="60"/>
      </w:pPr>
    </w:p>
    <w:p>
      <w:pPr>
        <w:spacing w:after="120" w:line="276"/>
        <w:jc w:val="both"/>
      </w:pPr>
      <w:r>
        <w:rPr>
          <w:rFonts w:ascii="Verdana" w:cs="Verdana" w:eastAsia="Verdana" w:hAnsi="Verdana"/>
        </w:rPr>
        <w:t xml:space="preserve">Surcharge and cess apply on the domestic rates. Treaty rates are generally all inclusive, with no surcharge or cess on top.</w:t>
      </w:r>
    </w:p>
    <w:p>
      <w:pPr>
        <w:pStyle w:val="Heading2"/>
        <w:keepNext/>
        <w:spacing w:after="120" w:before="240"/>
      </w:pPr>
      <w:r>
        <w:rPr>
          <w:rFonts w:ascii="Verdana" w:cs="Verdana" w:eastAsia="Verdana" w:hAnsi="Verdana"/>
        </w:rPr>
        <w:t xml:space="preserve">31.3 Presumptive and special computations for non-residents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1100"/>
        <w:gridCol w:w="1200"/>
        <w:gridCol w:w="3300"/>
      </w:tblGrid>
      <w:tr>
        <w:trPr>
          <w:cantSplit/>
          <w:tblHeader/>
        </w:trPr>
        <w:tc>
          <w:tcPr>
            <w:tcW w:type="dxa" w:w="4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Business</w:t>
            </w:r>
          </w:p>
        </w:tc>
        <w:tc>
          <w:tcPr>
            <w:tcW w:type="dxa" w:w="1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1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3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Deemed profit</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Shipping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44B</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7.5% of gross receipts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and equipment for oil exploration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44BB</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of receipts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Operation of aircraft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44BBA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of receipts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Turnkey power projects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44BBB</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of receipts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Cruise ship operations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44BBC</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of receipts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to resident electronics manufacturers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44BBD</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 of receipts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Head office expenses of a foreign company's PE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44C</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Limited to 5% of adjusted total income</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or FTS connected with a PE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44DA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basis, with restrictions on expenses</w:t>
            </w:r>
          </w:p>
        </w:tc>
      </w:tr>
    </w:tbl>
    <w:p>
      <w:pPr>
        <w:spacing w:after="60"/>
      </w:pPr>
    </w:p>
    <w:p>
      <w:pPr>
        <w:pStyle w:val="Heading2"/>
        <w:keepNext/>
        <w:spacing w:after="120" w:before="240"/>
      </w:pPr>
      <w:r>
        <w:rPr>
          <w:rFonts w:ascii="Verdana" w:cs="Verdana" w:eastAsia="Verdana" w:hAnsi="Verdana"/>
        </w:rPr>
        <w:t xml:space="preserve">31.4 Using a tax treaty (section 159)</w:t>
      </w:r>
    </w:p>
    <w:p>
      <w:pPr>
        <w:spacing w:after="120" w:line="276"/>
        <w:jc w:val="both"/>
      </w:pPr>
      <w:r>
        <w:rPr>
          <w:rFonts w:ascii="Verdana" w:cs="Verdana" w:eastAsia="Verdana" w:hAnsi="Verdana"/>
        </w:rPr>
        <w:t xml:space="preserve">India has comprehensive tax treaties with more than 90 countries. Where a treaty applies, the non-resident pays tax under the Act or the treaty, </w:t>
      </w:r>
      <w:r>
        <w:rPr>
          <w:rFonts w:ascii="Verdana" w:cs="Verdana" w:eastAsia="Verdana" w:hAnsi="Verdana"/>
          <w:b/>
          <w:bCs/>
        </w:rPr>
        <w:t xml:space="preserve">whichever is more beneficial</w:t>
      </w:r>
      <w:r>
        <w:rPr>
          <w:rFonts w:ascii="Verdana" w:cs="Verdana" w:eastAsia="Verdana" w:hAnsi="Verdana"/>
        </w:rPr>
        <w:t xml:space="preserve">. To claim treaty benefits the non-resident must have:</w:t>
      </w:r>
    </w:p>
    <w:p>
      <w:pPr>
        <w:pStyle w:val="ListParagraph"/>
        <w:numPr>
          <w:ilvl w:val="0"/>
          <w:numId w:val="2"/>
        </w:numPr>
        <w:spacing w:after="60" w:line="264"/>
      </w:pPr>
      <w:r>
        <w:rPr>
          <w:rFonts w:ascii="Verdana" w:cs="Verdana" w:eastAsia="Verdana" w:hAnsi="Verdana"/>
        </w:rPr>
        <w:t xml:space="preserve">A </w:t>
      </w:r>
      <w:r>
        <w:rPr>
          <w:rFonts w:ascii="Verdana" w:cs="Verdana" w:eastAsia="Verdana" w:hAnsi="Verdana"/>
          <w:b/>
          <w:bCs/>
        </w:rPr>
        <w:t xml:space="preserve">Tax Residency Certificate</w:t>
      </w:r>
      <w:r>
        <w:rPr>
          <w:rFonts w:ascii="Verdana" w:cs="Verdana" w:eastAsia="Verdana" w:hAnsi="Verdana"/>
        </w:rPr>
        <w:t xml:space="preserve"> (TRC) from its home country.</w:t>
      </w:r>
    </w:p>
    <w:p>
      <w:pPr>
        <w:pStyle w:val="ListParagraph"/>
        <w:numPr>
          <w:ilvl w:val="0"/>
          <w:numId w:val="2"/>
        </w:numPr>
        <w:spacing w:after="60" w:line="264"/>
      </w:pPr>
      <w:r>
        <w:rPr>
          <w:rFonts w:ascii="Verdana" w:cs="Verdana" w:eastAsia="Verdana" w:hAnsi="Verdana"/>
        </w:rPr>
        <w:t xml:space="preserve">The information in </w:t>
      </w:r>
      <w:r>
        <w:rPr>
          <w:rFonts w:ascii="Verdana" w:cs="Verdana" w:eastAsia="Verdana" w:hAnsi="Verdana"/>
          <w:b/>
          <w:bCs/>
        </w:rPr>
        <w:t xml:space="preserve">Form 41</w:t>
      </w:r>
      <w:r>
        <w:rPr>
          <w:rFonts w:ascii="Verdana" w:cs="Verdana" w:eastAsia="Verdana" w:hAnsi="Verdana"/>
        </w:rPr>
        <w:t xml:space="preserve"> (old 10F) where the TRC does not contain all details, filed electronically.</w:t>
      </w:r>
    </w:p>
    <w:p>
      <w:pPr>
        <w:pStyle w:val="ListParagraph"/>
        <w:numPr>
          <w:ilvl w:val="0"/>
          <w:numId w:val="2"/>
        </w:numPr>
        <w:spacing w:after="60" w:line="264"/>
      </w:pPr>
      <w:r>
        <w:rPr>
          <w:rFonts w:ascii="Verdana" w:cs="Verdana" w:eastAsia="Verdana" w:hAnsi="Verdana"/>
        </w:rPr>
        <w:t xml:space="preserve">Beneficial ownership of the income (for dividend, interest and royalty articles).</w:t>
      </w:r>
    </w:p>
    <w:p>
      <w:pPr>
        <w:pStyle w:val="ListParagraph"/>
        <w:numPr>
          <w:ilvl w:val="0"/>
          <w:numId w:val="2"/>
        </w:numPr>
        <w:spacing w:after="60" w:line="264"/>
      </w:pPr>
      <w:r>
        <w:rPr>
          <w:rFonts w:ascii="Verdana" w:cs="Verdana" w:eastAsia="Verdana" w:hAnsi="Verdana"/>
        </w:rPr>
        <w:t xml:space="preserve">A PAN, or in its absence the alternative details prescribed, to avoid the higher 20% withholding rate.</w:t>
      </w:r>
    </w:p>
    <w:p>
      <w:pPr>
        <w:pStyle w:val="ListParagraph"/>
        <w:numPr>
          <w:ilvl w:val="0"/>
          <w:numId w:val="2"/>
        </w:numPr>
        <w:spacing w:after="60" w:line="264"/>
      </w:pPr>
      <w:r>
        <w:rPr>
          <w:rFonts w:ascii="Verdana" w:cs="Verdana" w:eastAsia="Verdana" w:hAnsi="Verdana"/>
        </w:rPr>
        <w:t xml:space="preserve">No abuse: the </w:t>
      </w:r>
      <w:r>
        <w:rPr>
          <w:rFonts w:ascii="Verdana" w:cs="Verdana" w:eastAsia="Verdana" w:hAnsi="Verdana"/>
          <w:b/>
          <w:bCs/>
        </w:rPr>
        <w:t xml:space="preserve">Principal Purpose Test</w:t>
      </w:r>
      <w:r>
        <w:rPr>
          <w:rFonts w:ascii="Verdana" w:cs="Verdana" w:eastAsia="Verdana" w:hAnsi="Verdana"/>
        </w:rPr>
        <w:t xml:space="preserve"> under the Multilateral Instrument (MLI) denies benefits where obtaining the benefit was one of the principal purposes of an arrangement.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116: Royalty to a US company</w:t>
            </w:r>
          </w:p>
          <w:p>
            <w:pPr>
              <w:spacing w:after="60" w:line="260"/>
            </w:pPr>
            <w:r>
              <w:rPr>
                <w:rFonts w:ascii="Verdana" w:cs="Verdana" w:eastAsia="Verdana" w:hAnsi="Verdana"/>
                <w:sz w:val="20"/>
                <w:szCs w:val="20"/>
              </w:rPr>
              <w:t xml:space="preserve">Indus Software Pvt. Ltd. pays Rs. 1 crore royalty to a US company for software licences. Domestic rate under section 207 is 20% plus surcharge and cess. The India-US treaty rate for this royalty is 15%.</w:t>
            </w:r>
          </w:p>
          <w:p>
            <w:pPr>
              <w:spacing w:after="60" w:line="260"/>
            </w:pPr>
            <w:r>
              <w:rPr>
                <w:rFonts w:ascii="Verdana" w:cs="Verdana" w:eastAsia="Verdana" w:hAnsi="Verdana"/>
                <w:sz w:val="20"/>
                <w:szCs w:val="20"/>
              </w:rPr>
              <w:t xml:space="preserve">The US company furnishes a TRC, Form 41 and its PAN. Indus withholds </w:t>
            </w:r>
            <w:r>
              <w:rPr>
                <w:rFonts w:ascii="Verdana" w:cs="Verdana" w:eastAsia="Verdana" w:hAnsi="Verdana"/>
                <w:b/>
                <w:bCs/>
                <w:sz w:val="20"/>
                <w:szCs w:val="20"/>
              </w:rPr>
              <w:t xml:space="preserve">Rs. 15 lakh</w:t>
            </w:r>
            <w:r>
              <w:rPr>
                <w:rFonts w:ascii="Verdana" w:cs="Verdana" w:eastAsia="Verdana" w:hAnsi="Verdana"/>
                <w:sz w:val="20"/>
                <w:szCs w:val="20"/>
              </w:rPr>
              <w:t xml:space="preserve"> (15%) under section 393(2), deposits it, and files Form 145 with the CA certificate in Form 146 before remittance. Without the TRC, it must withhold at the domestic rate with surcharge and cess.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117: Fees for technical services and the "make available" clause</w:t>
            </w:r>
          </w:p>
          <w:p>
            <w:pPr>
              <w:spacing w:after="60" w:line="260"/>
            </w:pPr>
            <w:r>
              <w:rPr>
                <w:rFonts w:ascii="Verdana" w:cs="Verdana" w:eastAsia="Verdana" w:hAnsi="Verdana"/>
                <w:sz w:val="20"/>
                <w:szCs w:val="20"/>
              </w:rPr>
              <w:t xml:space="preserve">A UK consultant prepares a market study for an Indian company for Rs. 40 lakh. Under the Act, this may be FTS. Under the India-UK treaty, a payment is FTS only if it "makes available" technical knowledge, skill or know-how that the payer can use on its own later.</w:t>
            </w:r>
          </w:p>
          <w:p>
            <w:pPr>
              <w:spacing w:after="60" w:line="260"/>
            </w:pPr>
            <w:r>
              <w:rPr>
                <w:rFonts w:ascii="Verdana" w:cs="Verdana" w:eastAsia="Verdana" w:hAnsi="Verdana"/>
                <w:sz w:val="20"/>
                <w:szCs w:val="20"/>
              </w:rPr>
              <w:t xml:space="preserve">A market report does not transfer such capability, so it is </w:t>
            </w:r>
            <w:r>
              <w:rPr>
                <w:rFonts w:ascii="Verdana" w:cs="Verdana" w:eastAsia="Verdana" w:hAnsi="Verdana"/>
                <w:b/>
                <w:bCs/>
                <w:sz w:val="20"/>
                <w:szCs w:val="20"/>
              </w:rPr>
              <w:t xml:space="preserve">not FTS under the treaty</w:t>
            </w:r>
            <w:r>
              <w:rPr>
                <w:rFonts w:ascii="Verdana" w:cs="Verdana" w:eastAsia="Verdana" w:hAnsi="Verdana"/>
                <w:sz w:val="20"/>
                <w:szCs w:val="20"/>
              </w:rPr>
              <w:t xml:space="preserve">. It is business profit of the UK firm, taxable in India only if the firm has a permanent establishment here. The Indian company can remit without withholding, after documenting this position in the Form 146 certificate.</w:t>
            </w:r>
          </w:p>
        </w:tc>
      </w:tr>
    </w:tbl>
    <w:p>
      <w:pPr>
        <w:spacing w:after="60"/>
      </w:pPr>
    </w:p>
    <w:p>
      <w:pPr>
        <w:pStyle w:val="Heading2"/>
        <w:keepNext/>
        <w:spacing w:after="120" w:before="240"/>
      </w:pPr>
      <w:r>
        <w:rPr>
          <w:rFonts w:ascii="Verdana" w:cs="Verdana" w:eastAsia="Verdana" w:hAnsi="Verdana"/>
        </w:rPr>
        <w:t xml:space="preserve">31.5 Permanent establishment (PE)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Type of PE</w:t>
            </w:r>
          </w:p>
        </w:tc>
        <w:tc>
          <w:tcPr>
            <w:tcW w:type="dxa" w:w="7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creates it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Fixed place PE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Office, branch, factory, workshop, or place of management available to the foreign enterprise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Construction PE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Building site or installation project beyond the treaty period (often 6 to 12 months)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 PE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Employees or personnel furnishing services in India beyond the treaty threshold (often 90 days in 12 months)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Dependent agent PE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person in India habitually concluding contracts or playing the principal role leading to contracts for the foreign enterprise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118: Service PE</w:t>
            </w:r>
          </w:p>
          <w:p>
            <w:pPr>
              <w:spacing w:after="60" w:line="260"/>
            </w:pPr>
            <w:r>
              <w:rPr>
                <w:rFonts w:ascii="Verdana" w:cs="Verdana" w:eastAsia="Verdana" w:hAnsi="Verdana"/>
                <w:sz w:val="20"/>
                <w:szCs w:val="20"/>
              </w:rPr>
              <w:t xml:space="preserve">A foreign engineering company sends three engineers to supervise installation at an Indian plant for 130 days in a year. Its treaty has a 90-day service PE clause. It will have a </w:t>
            </w:r>
            <w:r>
              <w:rPr>
                <w:rFonts w:ascii="Verdana" w:cs="Verdana" w:eastAsia="Verdana" w:hAnsi="Verdana"/>
                <w:b/>
                <w:bCs/>
                <w:sz w:val="20"/>
                <w:szCs w:val="20"/>
              </w:rPr>
              <w:t xml:space="preserve">service PE in India</w:t>
            </w:r>
            <w:r>
              <w:rPr>
                <w:rFonts w:ascii="Verdana" w:cs="Verdana" w:eastAsia="Verdana" w:hAnsi="Verdana"/>
                <w:sz w:val="20"/>
                <w:szCs w:val="20"/>
              </w:rPr>
              <w:t xml:space="preserve">, and profits attributable to those services are taxable in India at 35% plus surcharge and cess, on net basis, after deducting expenses (with head office expenses capped under section 60).</w:t>
            </w:r>
          </w:p>
        </w:tc>
      </w:tr>
    </w:tbl>
    <w:p>
      <w:pPr>
        <w:spacing w:after="60"/>
      </w:pPr>
    </w:p>
    <w:p>
      <w:pPr>
        <w:pStyle w:val="Heading2"/>
        <w:keepNext/>
        <w:spacing w:after="120" w:before="240"/>
      </w:pPr>
      <w:r>
        <w:rPr>
          <w:rFonts w:ascii="Verdana" w:cs="Verdana" w:eastAsia="Verdana" w:hAnsi="Verdana"/>
        </w:rPr>
        <w:t xml:space="preserve">31.6 Withholding on payments to non-residents (section 393(2))</w:t>
      </w:r>
    </w:p>
    <w:p>
      <w:pPr>
        <w:pStyle w:val="ListParagraph"/>
        <w:numPr>
          <w:ilvl w:val="0"/>
          <w:numId w:val="2"/>
        </w:numPr>
        <w:spacing w:after="60" w:line="264"/>
      </w:pPr>
      <w:r>
        <w:rPr>
          <w:rFonts w:ascii="Verdana" w:cs="Verdana" w:eastAsia="Verdana" w:hAnsi="Verdana"/>
        </w:rPr>
        <w:t xml:space="preserve">Tax must be withheld from any sum chargeable to tax in India paid to a non-resident, at the rates in force or the treaty rate, whichever is lower (with TRC).</w:t>
      </w:r>
    </w:p>
    <w:p>
      <w:pPr>
        <w:pStyle w:val="ListParagraph"/>
        <w:numPr>
          <w:ilvl w:val="0"/>
          <w:numId w:val="2"/>
        </w:numPr>
        <w:spacing w:after="60" w:line="264"/>
      </w:pPr>
      <w:r>
        <w:rPr>
          <w:rFonts w:ascii="Verdana" w:cs="Verdana" w:eastAsia="Verdana" w:hAnsi="Verdana"/>
        </w:rPr>
        <w:t xml:space="preserve">If the Indian payer agrees to bear the tax (net of tax contract), the payment must be </w:t>
      </w:r>
      <w:r>
        <w:rPr>
          <w:rFonts w:ascii="Verdana" w:cs="Verdana" w:eastAsia="Verdana" w:hAnsi="Verdana"/>
          <w:b/>
          <w:bCs/>
        </w:rPr>
        <w:t xml:space="preserve">grossed up</w:t>
      </w:r>
      <w:r>
        <w:rPr>
          <w:rFonts w:ascii="Verdana" w:cs="Verdana" w:eastAsia="Verdana" w:hAnsi="Verdana"/>
        </w:rPr>
        <w:t xml:space="preserve">.</w:t>
      </w:r>
    </w:p>
    <w:p>
      <w:pPr>
        <w:pStyle w:val="ListParagraph"/>
        <w:numPr>
          <w:ilvl w:val="0"/>
          <w:numId w:val="2"/>
        </w:numPr>
        <w:spacing w:after="60" w:line="264"/>
      </w:pPr>
      <w:r>
        <w:rPr>
          <w:rFonts w:ascii="Verdana" w:cs="Verdana" w:eastAsia="Verdana" w:hAnsi="Verdana"/>
        </w:rPr>
        <w:t xml:space="preserve">Forms 145 and 146 (old 15CA and 15CB) are required before remittance, except for specified exempt remittances.</w:t>
      </w:r>
    </w:p>
    <w:p>
      <w:pPr>
        <w:pStyle w:val="ListParagraph"/>
        <w:numPr>
          <w:ilvl w:val="0"/>
          <w:numId w:val="2"/>
        </w:numPr>
        <w:spacing w:after="60" w:line="264"/>
      </w:pPr>
      <w:r>
        <w:rPr>
          <w:rFonts w:ascii="Verdana" w:cs="Verdana" w:eastAsia="Verdana" w:hAnsi="Verdana"/>
        </w:rPr>
        <w:t xml:space="preserve">A lower or nil withholding certificate can be obtained under section 395 (old 197) where the actual tax on the payment is lower.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119: Grossing up</w:t>
            </w:r>
          </w:p>
          <w:p>
            <w:pPr>
              <w:spacing w:after="60" w:line="260"/>
            </w:pPr>
            <w:r>
              <w:rPr>
                <w:rFonts w:ascii="Verdana" w:cs="Verdana" w:eastAsia="Verdana" w:hAnsi="Verdana"/>
                <w:sz w:val="20"/>
                <w:szCs w:val="20"/>
              </w:rPr>
              <w:t xml:space="preserve">An Indian company agrees to pay a foreign consultant Rs. 10 lakh </w:t>
            </w:r>
            <w:r>
              <w:rPr>
                <w:rFonts w:ascii="Verdana" w:cs="Verdana" w:eastAsia="Verdana" w:hAnsi="Verdana"/>
                <w:b/>
                <w:bCs/>
                <w:sz w:val="20"/>
                <w:szCs w:val="20"/>
              </w:rPr>
              <w:t xml:space="preserve">net of tax</w:t>
            </w:r>
            <w:r>
              <w:rPr>
                <w:rFonts w:ascii="Verdana" w:cs="Verdana" w:eastAsia="Verdana" w:hAnsi="Verdana"/>
                <w:sz w:val="20"/>
                <w:szCs w:val="20"/>
              </w:rPr>
              <w:t xml:space="preserve"> for services that are FTS, with a combined rate of 20.8% (20% plus 4% cess, no surcharge at this level). Grossed up amount = 10,00,000 / (1 less 0.208) = </w:t>
            </w:r>
            <w:r>
              <w:rPr>
                <w:rFonts w:ascii="Verdana" w:cs="Verdana" w:eastAsia="Verdana" w:hAnsi="Verdana"/>
                <w:b/>
                <w:bCs/>
                <w:sz w:val="20"/>
                <w:szCs w:val="20"/>
              </w:rPr>
              <w:t xml:space="preserve">Rs. 12,62,626</w:t>
            </w:r>
            <w:r>
              <w:rPr>
                <w:rFonts w:ascii="Verdana" w:cs="Verdana" w:eastAsia="Verdana" w:hAnsi="Verdana"/>
                <w:sz w:val="20"/>
                <w:szCs w:val="20"/>
              </w:rPr>
              <w:t xml:space="preserve">. Tax to be deposited = Rs. 2,62,626. The grossed up amount is the expense and the income.</w:t>
            </w:r>
          </w:p>
        </w:tc>
      </w:tr>
    </w:tbl>
    <w:p>
      <w:pPr>
        <w:spacing w:after="60"/>
      </w:pPr>
    </w:p>
    <w:p>
      <w:pPr>
        <w:pStyle w:val="Heading2"/>
        <w:keepNext/>
        <w:spacing w:after="120" w:before="240"/>
      </w:pPr>
      <w:r>
        <w:rPr>
          <w:rFonts w:ascii="Verdana" w:cs="Verdana" w:eastAsia="Verdana" w:hAnsi="Verdana"/>
        </w:rPr>
        <w:t xml:space="preserve">31.7 Foreign tax credit for residents</w:t>
      </w:r>
    </w:p>
    <w:p>
      <w:pPr>
        <w:spacing w:after="120" w:line="276"/>
        <w:jc w:val="both"/>
      </w:pPr>
      <w:r>
        <w:rPr>
          <w:rFonts w:ascii="Verdana" w:cs="Verdana" w:eastAsia="Verdana" w:hAnsi="Verdana"/>
        </w:rPr>
        <w:t xml:space="preserve">A resident taxed on global income can claim credit for foreign tax paid on the same income, either under the treaty (section 159) or unilaterally (section 160). Credit is the </w:t>
      </w:r>
      <w:r>
        <w:rPr>
          <w:rFonts w:ascii="Verdana" w:cs="Verdana" w:eastAsia="Verdana" w:hAnsi="Verdana"/>
          <w:b/>
          <w:bCs/>
        </w:rPr>
        <w:t xml:space="preserve">lower</w:t>
      </w:r>
      <w:r>
        <w:rPr>
          <w:rFonts w:ascii="Verdana" w:cs="Verdana" w:eastAsia="Verdana" w:hAnsi="Verdana"/>
        </w:rPr>
        <w:t xml:space="preserve"> of foreign tax paid and Indian tax on that income, computed income by income and country-by-country. The statement in the prescribed form (old Form 67) must be filed by the return due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120: Foreign tax credit</w:t>
            </w:r>
          </w:p>
          <w:p>
            <w:pPr>
              <w:spacing w:after="60" w:line="260"/>
            </w:pPr>
            <w:r>
              <w:rPr>
                <w:rFonts w:ascii="Verdana" w:cs="Verdana" w:eastAsia="Verdana" w:hAnsi="Verdana"/>
                <w:sz w:val="20"/>
                <w:szCs w:val="20"/>
              </w:rPr>
              <w:t xml:space="preserve">Anil, a resident, earns consulting income of Rs. 20 lakh in the US, on which US tax of Rs. 3 lakh is paid. His average Indian tax rate on total income is 18%, so Indian tax on this income is Rs. 3,60,000. Credit = lower of Rs. 3,00,000 and Rs. 3,60,000 = </w:t>
            </w:r>
            <w:r>
              <w:rPr>
                <w:rFonts w:ascii="Verdana" w:cs="Verdana" w:eastAsia="Verdana" w:hAnsi="Verdana"/>
                <w:b/>
                <w:bCs/>
                <w:sz w:val="20"/>
                <w:szCs w:val="20"/>
              </w:rPr>
              <w:t xml:space="preserve">Rs. 3,00,000</w:t>
            </w:r>
            <w:r>
              <w:rPr>
                <w:rFonts w:ascii="Verdana" w:cs="Verdana" w:eastAsia="Verdana" w:hAnsi="Verdana"/>
                <w:sz w:val="20"/>
                <w:szCs w:val="20"/>
              </w:rPr>
              <w:t xml:space="preserve">. If US tax were Rs. 4 lakh, credit would be restricted to Rs. 3.6 lakh.</w:t>
            </w:r>
          </w:p>
        </w:tc>
      </w:tr>
    </w:tbl>
    <w:p>
      <w:pPr>
        <w:spacing w:after="60"/>
      </w:pPr>
    </w:p>
    <w:p>
      <w:pPr>
        <w:pStyle w:val="Heading2"/>
        <w:keepNext/>
        <w:spacing w:after="120" w:before="240"/>
      </w:pPr>
      <w:r>
        <w:rPr>
          <w:rFonts w:ascii="Verdana" w:cs="Verdana" w:eastAsia="Verdana" w:hAnsi="Verdana"/>
        </w:rPr>
        <w:t xml:space="preserve">31.8 Other international points</w:t>
      </w:r>
    </w:p>
    <w:p>
      <w:pPr>
        <w:pStyle w:val="ListParagraph"/>
        <w:numPr>
          <w:ilvl w:val="0"/>
          <w:numId w:val="2"/>
        </w:numPr>
        <w:spacing w:after="60" w:line="264"/>
      </w:pPr>
      <w:r>
        <w:rPr>
          <w:rFonts w:ascii="Verdana" w:cs="Verdana" w:eastAsia="Verdana" w:hAnsi="Verdana"/>
          <w:b/>
          <w:bCs/>
        </w:rPr>
        <w:t xml:space="preserve">POEM:</w:t>
      </w:r>
      <w:r>
        <w:rPr>
          <w:rFonts w:ascii="Verdana" w:cs="Verdana" w:eastAsia="Verdana" w:hAnsi="Verdana"/>
        </w:rPr>
        <w:t xml:space="preserve"> a foreign company whose key management and commercial decisions are in substance taken in India is a resident, and its global income is taxed in India. Active business outside India, board meetings held abroad with real decisions, and documented delegation help.</w:t>
      </w:r>
    </w:p>
    <w:p>
      <w:pPr>
        <w:pStyle w:val="ListParagraph"/>
        <w:numPr>
          <w:ilvl w:val="0"/>
          <w:numId w:val="2"/>
        </w:numPr>
        <w:spacing w:after="60" w:line="264"/>
      </w:pPr>
      <w:r>
        <w:rPr>
          <w:rFonts w:ascii="Verdana" w:cs="Verdana" w:eastAsia="Verdana" w:hAnsi="Verdana"/>
          <w:b/>
          <w:bCs/>
        </w:rPr>
        <w:t xml:space="preserve">Equalisation levy:</w:t>
      </w:r>
      <w:r>
        <w:rPr>
          <w:rFonts w:ascii="Verdana" w:cs="Verdana" w:eastAsia="Verdana" w:hAnsi="Verdana"/>
        </w:rPr>
        <w:t xml:space="preserve"> the 2% levy on e-commerce operators was abolished from 1 August 2024 and the 6% levy on online advertising from 1 April 2025.</w:t>
      </w:r>
    </w:p>
    <w:p>
      <w:pPr>
        <w:pStyle w:val="ListParagraph"/>
        <w:numPr>
          <w:ilvl w:val="0"/>
          <w:numId w:val="2"/>
        </w:numPr>
        <w:spacing w:after="60" w:line="264"/>
      </w:pPr>
      <w:r>
        <w:rPr>
          <w:rFonts w:ascii="Verdana" w:cs="Verdana" w:eastAsia="Verdana" w:hAnsi="Verdana"/>
          <w:b/>
          <w:bCs/>
        </w:rPr>
        <w:t xml:space="preserve">Foreign assets:</w:t>
      </w:r>
      <w:r>
        <w:rPr>
          <w:rFonts w:ascii="Verdana" w:cs="Verdana" w:eastAsia="Verdana" w:hAnsi="Verdana"/>
        </w:rPr>
        <w:t xml:space="preserve"> residents must report foreign assets and income in Schedule FA of the return. Non-reporting can attract penalties under the Black Money Act.</w:t>
      </w:r>
    </w:p>
    <w:p>
      <w:pPr>
        <w:pStyle w:val="ListParagraph"/>
        <w:numPr>
          <w:ilvl w:val="0"/>
          <w:numId w:val="2"/>
        </w:numPr>
        <w:spacing w:after="60" w:line="264"/>
      </w:pPr>
      <w:r>
        <w:rPr>
          <w:rFonts w:ascii="Verdana" w:cs="Verdana" w:eastAsia="Verdana" w:hAnsi="Verdana"/>
          <w:b/>
          <w:bCs/>
        </w:rPr>
        <w:t xml:space="preserve">Non-resident returns:</w:t>
      </w:r>
      <w:r>
        <w:rPr>
          <w:rFonts w:ascii="Verdana" w:cs="Verdana" w:eastAsia="Verdana" w:hAnsi="Verdana"/>
        </w:rPr>
        <w:t xml:space="preserve"> a non-resident need not file a return if its only income is dividend, interest or royalty and FTS on which full tax has been withheld at the applicable rate.</w:t>
      </w:r>
    </w:p>
    <w:p>
      <w:pPr>
        <w:pStyle w:val="Heading2"/>
        <w:keepNext/>
        <w:spacing w:after="120" w:before="240"/>
      </w:pPr>
      <w:r>
        <w:rPr>
          <w:rFonts w:ascii="Verdana" w:cs="Verdana" w:eastAsia="Verdana" w:hAnsi="Verdana"/>
        </w:rPr>
        <w:t xml:space="preserve">31.9 Business connection in more detail</w:t>
      </w:r>
    </w:p>
    <w:p>
      <w:pPr>
        <w:spacing w:after="120" w:line="276"/>
        <w:jc w:val="both"/>
      </w:pPr>
      <w:r>
        <w:rPr>
          <w:rFonts w:ascii="Verdana" w:cs="Verdana" w:eastAsia="Verdana" w:hAnsi="Verdana"/>
        </w:rPr>
        <w:t xml:space="preserve">A non-resident's business income is taxable in India only if it has a </w:t>
      </w:r>
      <w:r>
        <w:rPr>
          <w:rFonts w:ascii="Verdana" w:cs="Verdana" w:eastAsia="Verdana" w:hAnsi="Verdana"/>
          <w:b/>
          <w:bCs/>
        </w:rPr>
        <w:t xml:space="preserve">business connection</w:t>
      </w:r>
      <w:r>
        <w:rPr>
          <w:rFonts w:ascii="Verdana" w:cs="Verdana" w:eastAsia="Verdana" w:hAnsi="Verdana"/>
        </w:rPr>
        <w:t xml:space="preserve"> in India (under the Act) or a </w:t>
      </w:r>
      <w:r>
        <w:rPr>
          <w:rFonts w:ascii="Verdana" w:cs="Verdana" w:eastAsia="Verdana" w:hAnsi="Verdana"/>
          <w:b/>
          <w:bCs/>
        </w:rPr>
        <w:t xml:space="preserve">permanent establishment</w:t>
      </w:r>
      <w:r>
        <w:rPr>
          <w:rFonts w:ascii="Verdana" w:cs="Verdana" w:eastAsia="Verdana" w:hAnsi="Verdana"/>
        </w:rPr>
        <w:t xml:space="preserve"> (under a treaty). Where a treaty applies, the PE test prevails if more beneficial.</w:t>
      </w:r>
    </w:p>
    <w:p>
      <w:pPr>
        <w:pStyle w:val="ListParagraph"/>
        <w:numPr>
          <w:ilvl w:val="0"/>
          <w:numId w:val="2"/>
        </w:numPr>
        <w:spacing w:after="60" w:line="264"/>
      </w:pPr>
      <w:r>
        <w:rPr>
          <w:rFonts w:ascii="Verdana" w:cs="Verdana" w:eastAsia="Verdana" w:hAnsi="Verdana"/>
          <w:b/>
          <w:bCs/>
        </w:rPr>
        <w:t xml:space="preserve">Dependent agent:</w:t>
      </w:r>
      <w:r>
        <w:rPr>
          <w:rFonts w:ascii="Verdana" w:cs="Verdana" w:eastAsia="Verdana" w:hAnsi="Verdana"/>
        </w:rPr>
        <w:t xml:space="preserve"> a person in India who habitually concludes contracts, or habitually plays the principal role leading to conclusion of contracts that are routinely concluded without material modification, on behalf of the non-resident, creates a business connection. An agent of independent status acting in the ordinary course of his business does not.</w:t>
      </w:r>
    </w:p>
    <w:p>
      <w:pPr>
        <w:pStyle w:val="ListParagraph"/>
        <w:numPr>
          <w:ilvl w:val="0"/>
          <w:numId w:val="2"/>
        </w:numPr>
        <w:spacing w:after="60" w:line="264"/>
      </w:pPr>
      <w:r>
        <w:rPr>
          <w:rFonts w:ascii="Verdana" w:cs="Verdana" w:eastAsia="Verdana" w:hAnsi="Verdana"/>
          <w:b/>
          <w:bCs/>
        </w:rPr>
        <w:t xml:space="preserve">Significant economic presence:</w:t>
      </w:r>
      <w:r>
        <w:rPr>
          <w:rFonts w:ascii="Verdana" w:cs="Verdana" w:eastAsia="Verdana" w:hAnsi="Verdana"/>
        </w:rPr>
        <w:t xml:space="preserve"> transactions in respect of goods, services or property carried out by a non-resident with any person in India (including download of data or software) where payments exceed </w:t>
      </w:r>
      <w:r>
        <w:rPr>
          <w:rFonts w:ascii="Verdana" w:cs="Verdana" w:eastAsia="Verdana" w:hAnsi="Verdana"/>
          <w:b/>
          <w:bCs/>
        </w:rPr>
        <w:t xml:space="preserve">Rs. 2 crore</w:t>
      </w:r>
      <w:r>
        <w:rPr>
          <w:rFonts w:ascii="Verdana" w:cs="Verdana" w:eastAsia="Verdana" w:hAnsi="Verdana"/>
        </w:rPr>
        <w:t xml:space="preserve"> in the year, or systematic and continuous soliciting of business or interaction with </w:t>
      </w:r>
      <w:r>
        <w:rPr>
          <w:rFonts w:ascii="Verdana" w:cs="Verdana" w:eastAsia="Verdana" w:hAnsi="Verdana"/>
          <w:b/>
          <w:bCs/>
        </w:rPr>
        <w:t xml:space="preserve">3 lakh or more users</w:t>
      </w:r>
      <w:r>
        <w:rPr>
          <w:rFonts w:ascii="Verdana" w:cs="Verdana" w:eastAsia="Verdana" w:hAnsi="Verdana"/>
        </w:rPr>
        <w:t xml:space="preserve"> in India.</w:t>
      </w:r>
    </w:p>
    <w:p>
      <w:pPr>
        <w:pStyle w:val="ListParagraph"/>
        <w:numPr>
          <w:ilvl w:val="0"/>
          <w:numId w:val="2"/>
        </w:numPr>
        <w:spacing w:after="60" w:line="264"/>
      </w:pPr>
      <w:r>
        <w:rPr>
          <w:rFonts w:ascii="Verdana" w:cs="Verdana" w:eastAsia="Verdana" w:hAnsi="Verdana"/>
          <w:b/>
          <w:bCs/>
        </w:rPr>
        <w:t xml:space="preserve">Activities confined to purchase of goods in India for export</w:t>
      </w:r>
      <w:r>
        <w:rPr>
          <w:rFonts w:ascii="Verdana" w:cs="Verdana" w:eastAsia="Verdana" w:hAnsi="Verdana"/>
        </w:rPr>
        <w:t xml:space="preserve"> do not create taxable income.</w:t>
      </w:r>
    </w:p>
    <w:p>
      <w:pPr>
        <w:pStyle w:val="ListParagraph"/>
        <w:numPr>
          <w:ilvl w:val="0"/>
          <w:numId w:val="2"/>
        </w:numPr>
        <w:spacing w:after="60" w:line="264"/>
      </w:pPr>
      <w:r>
        <w:rPr>
          <w:rFonts w:ascii="Verdana" w:cs="Verdana" w:eastAsia="Verdana" w:hAnsi="Verdana"/>
        </w:rPr>
        <w:t xml:space="preserve">Only the income </w:t>
      </w:r>
      <w:r>
        <w:rPr>
          <w:rFonts w:ascii="Verdana" w:cs="Verdana" w:eastAsia="Verdana" w:hAnsi="Verdana"/>
          <w:b/>
          <w:bCs/>
        </w:rPr>
        <w:t xml:space="preserve">reasonably attributable</w:t>
      </w:r>
      <w:r>
        <w:rPr>
          <w:rFonts w:ascii="Verdana" w:cs="Verdana" w:eastAsia="Verdana" w:hAnsi="Verdana"/>
        </w:rPr>
        <w:t xml:space="preserve"> to the operations in India is taxed.</w:t>
      </w:r>
    </w:p>
    <w:p>
      <w:pPr>
        <w:pStyle w:val="Heading2"/>
        <w:keepNext/>
        <w:spacing w:after="120" w:before="240"/>
      </w:pPr>
      <w:r>
        <w:rPr>
          <w:rFonts w:ascii="Verdana" w:cs="Verdana" w:eastAsia="Verdana" w:hAnsi="Verdana"/>
        </w:rPr>
        <w:t xml:space="preserve">31.10 Royalty and fees for technical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8"/>
        <w:gridCol w:w="3700"/>
        <w:gridCol w:w="3800"/>
      </w:tblGrid>
      <w:tr>
        <w:trPr>
          <w:cantSplit/>
          <w:tblHeader/>
        </w:trPr>
        <w:tc>
          <w:tcPr>
            <w:tcW w:type="dxa" w:w="21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Type</w:t>
            </w:r>
          </w:p>
        </w:tc>
        <w:tc>
          <w:tcPr>
            <w:tcW w:type="dxa" w:w="3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Meaning under the Act</w:t>
            </w:r>
          </w:p>
        </w:tc>
        <w:tc>
          <w:tcPr>
            <w:tcW w:type="dxa" w:w="3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Common treaty position</w:t>
            </w:r>
          </w:p>
        </w:tc>
      </w:tr>
      <w:tr>
        <w:trPr>
          <w:cantSplit/>
        </w:trPr>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Consideration for use of patents, know-how, copyrights, trademarks, equipment, and certain software rights</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in source country at 10% to 15%; payments for end-user software licences are generally not royalty under treaties</w:t>
            </w:r>
          </w:p>
        </w:tc>
      </w:tr>
      <w:tr>
        <w:trPr>
          <w:cantSplit/>
        </w:trPr>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Fees for technical services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Consideration for managerial, technical or consultancy services, excluding construction or assembly projects and salary</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at 10% to 15%; many treaties (US, UK, Singapore, Canada) tax only if the service "makes available" knowledge or skill</w:t>
            </w:r>
          </w:p>
        </w:tc>
      </w:tr>
      <w:tr>
        <w:trPr>
          <w:cantSplit/>
        </w:trPr>
        <w:tc>
          <w:tcPr>
            <w:tcW w:type="dxa" w:w="2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paid by residents, or by non-residents for business in India</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at 5% to 15%; bank interest often at lower rates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Software payments</w:t>
            </w:r>
          </w:p>
          <w:p>
            <w:pPr>
              <w:spacing w:after="60" w:line="260"/>
            </w:pPr>
            <w:r>
              <w:rPr>
                <w:rFonts w:ascii="Verdana" w:cs="Verdana" w:eastAsia="Verdana" w:hAnsi="Verdana"/>
                <w:b/>
                <w:bCs/>
                <w:sz w:val="20"/>
                <w:szCs w:val="20"/>
              </w:rPr>
              <w:t xml:space="preserve">Engineering Analysis Centre of Excellence Pvt. Ltd. v. CIT (Supreme Court, 2021):</w:t>
            </w:r>
            <w:r>
              <w:rPr>
                <w:rFonts w:ascii="Verdana" w:cs="Verdana" w:eastAsia="Verdana" w:hAnsi="Verdana"/>
                <w:sz w:val="20"/>
                <w:szCs w:val="20"/>
              </w:rPr>
              <w:t xml:space="preserve"> amounts paid by Indian end users and distributors to non-resident software suppliers for the resale or use of software under a licence are not royalty under the tax treaties, because no copyright in the software is transferred; only the right to use a copyrighted article is given. Consequently, no TDS was required on such payments where treaty benefits applied.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Most favoured nation clauses</w:t>
            </w:r>
          </w:p>
          <w:p>
            <w:pPr>
              <w:spacing w:after="60" w:line="260"/>
            </w:pPr>
            <w:r>
              <w:rPr>
                <w:rFonts w:ascii="Verdana" w:cs="Verdana" w:eastAsia="Verdana" w:hAnsi="Verdana"/>
                <w:b/>
                <w:bCs/>
                <w:sz w:val="20"/>
                <w:szCs w:val="20"/>
              </w:rPr>
              <w:t xml:space="preserve">AO v. Nestle SA (Supreme Court, 2023):</w:t>
            </w:r>
            <w:r>
              <w:rPr>
                <w:rFonts w:ascii="Verdana" w:cs="Verdana" w:eastAsia="Verdana" w:hAnsi="Verdana"/>
                <w:sz w:val="20"/>
                <w:szCs w:val="20"/>
              </w:rPr>
              <w:t xml:space="preserve"> a most favoured nation clause in a treaty protocol, which promises a lower rate if India gives a lower rate to another OECD country, does not apply automatically. It requires a separate notification by the Central Government, and applies only if the other country was an OECD member when India signed the treaty with it.</w:t>
            </w:r>
          </w:p>
        </w:tc>
      </w:tr>
    </w:tbl>
    <w:p>
      <w:pPr>
        <w:spacing w:after="60"/>
      </w:pPr>
    </w:p>
    <w:p>
      <w:pPr>
        <w:pStyle w:val="Heading2"/>
        <w:keepNext/>
        <w:spacing w:after="120" w:before="240"/>
      </w:pPr>
      <w:r>
        <w:rPr>
          <w:rFonts w:ascii="Verdana" w:cs="Verdana" w:eastAsia="Verdana" w:hAnsi="Verdana"/>
        </w:rPr>
        <w:t xml:space="preserve">31.11 Permanent establishment in depth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Fixed place PE</w:t>
            </w:r>
          </w:p>
          <w:p>
            <w:pPr>
              <w:spacing w:after="60" w:line="260"/>
            </w:pPr>
            <w:r>
              <w:rPr>
                <w:rFonts w:ascii="Verdana" w:cs="Verdana" w:eastAsia="Verdana" w:hAnsi="Verdana"/>
                <w:b/>
                <w:bCs/>
                <w:sz w:val="20"/>
                <w:szCs w:val="20"/>
              </w:rPr>
              <w:t xml:space="preserve">Formula One World Championship Ltd. v. CIT (Supreme Court, 2017):</w:t>
            </w:r>
            <w:r>
              <w:rPr>
                <w:rFonts w:ascii="Verdana" w:cs="Verdana" w:eastAsia="Verdana" w:hAnsi="Verdana"/>
                <w:sz w:val="20"/>
                <w:szCs w:val="20"/>
              </w:rPr>
              <w:t xml:space="preserve"> the Buddh International Circuit, used by the foreign company for the race for a limited period each year, was held to be a fixed place PE, because the company had the circuit at its disposal and carried on business through it. Duration and exclusive control were assessed in the context of the business.</w:t>
            </w:r>
          </w:p>
        </w:tc>
      </w:tr>
    </w:tbl>
    <w:p>
      <w:pPr>
        <w:spacing w:after="60"/>
      </w:pPr>
    </w:p>
    <w:p>
      <w:pPr>
        <w:spacing w:after="120" w:line="276"/>
        <w:jc w:val="both"/>
      </w:pPr>
      <w:r>
        <w:rPr>
          <w:rFonts w:ascii="Verdana" w:cs="Verdana" w:eastAsia="Verdana" w:hAnsi="Verdana"/>
        </w:rPr>
        <w:t xml:space="preserve">Attribution of profits to a PE follows the principle that the PE is treated as a separate and independent enterprise dealing at arm's length. Where the Indian associated enterprise is remunerated at arm's length for the functions it performs, often no further profit is attributed to a dependent agent PE, as the Supreme Court indicated in </w:t>
      </w:r>
      <w:r>
        <w:rPr>
          <w:rFonts w:ascii="Verdana" w:cs="Verdana" w:eastAsia="Verdana" w:hAnsi="Verdana"/>
          <w:b/>
          <w:bCs/>
        </w:rPr>
        <w:t xml:space="preserve">DIT v. Morgan Stanley and Co. Inc. (2007)</w:t>
      </w:r>
      <w:r>
        <w:rPr>
          <w:rFonts w:ascii="Verdana" w:cs="Verdana" w:eastAsia="Verdana" w:hAnsi="Verdana"/>
        </w:rPr>
        <w:t xml:space="preserve">. However, if the PE performs functions or bears risks not captured in that remuneration, further attribution may arise.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Subsidiary as PE</w:t>
            </w:r>
          </w:p>
          <w:p>
            <w:pPr>
              <w:spacing w:after="60" w:line="260"/>
            </w:pPr>
            <w:r>
              <w:rPr>
                <w:rFonts w:ascii="Verdana" w:cs="Verdana" w:eastAsia="Verdana" w:hAnsi="Verdana"/>
                <w:b/>
                <w:bCs/>
                <w:sz w:val="20"/>
                <w:szCs w:val="20"/>
              </w:rPr>
              <w:t xml:space="preserve">ADIT v. E-Funds IT Solution Inc. (Supreme Court, 2017):</w:t>
            </w:r>
            <w:r>
              <w:rPr>
                <w:rFonts w:ascii="Verdana" w:cs="Verdana" w:eastAsia="Verdana" w:hAnsi="Verdana"/>
                <w:sz w:val="20"/>
                <w:szCs w:val="20"/>
              </w:rPr>
              <w:t xml:space="preserve"> an Indian subsidiary providing back-office support to its foreign parent did not constitute a fixed place or service PE of the parent, since no part of the parent's core business was carried on through a fixed place at its disposal in India and no employees were deputed to render services in India on its behalf.</w:t>
            </w:r>
          </w:p>
        </w:tc>
      </w:tr>
    </w:tbl>
    <w:p>
      <w:pPr>
        <w:spacing w:after="60"/>
      </w:pPr>
    </w:p>
    <w:p>
      <w:pPr>
        <w:pStyle w:val="Heading2"/>
        <w:keepNext/>
        <w:spacing w:after="120" w:before="240"/>
      </w:pPr>
      <w:r>
        <w:rPr>
          <w:rFonts w:ascii="Verdana" w:cs="Verdana" w:eastAsia="Verdana" w:hAnsi="Verdana"/>
        </w:rPr>
        <w:t xml:space="preserve">31.12 Walking through a tax treaty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Article (typical)</w:t>
            </w:r>
          </w:p>
        </w:tc>
        <w:tc>
          <w:tcPr>
            <w:tcW w:type="dxa" w:w="7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it covers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and 4</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Persons covered and residence, including tie breaker rules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Permanent establishment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profits taxable only if there is a PE, and only to the extent attributable to it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Shipping and air transport, usually taxed only in the country of residence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Associated enterprises and transfer pricing adjustments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10, 11, 12</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 interest, royalty and FTS, with source country rate limits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shares of Indian companies often taxable in India</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Employment income; the 183-day rule for short stays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Elimination of double taxation (credit method in India's treaties)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 to 27</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Non-discrimination, mutual agreement procedure, exchange of information, assistance in collection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121: Short stay employee under a treaty</w:t>
            </w:r>
          </w:p>
          <w:p>
            <w:pPr>
              <w:spacing w:after="60" w:line="260"/>
            </w:pPr>
            <w:r>
              <w:rPr>
                <w:rFonts w:ascii="Verdana" w:cs="Verdana" w:eastAsia="Verdana" w:hAnsi="Verdana"/>
                <w:sz w:val="20"/>
                <w:szCs w:val="20"/>
              </w:rPr>
              <w:t xml:space="preserve">A UK employee of a UK company visits India for 60 days to train an Indian customer's staff. His salary is paid by the UK employer and not charged to any Indian PE. Under the employment article, since he is in India for less than 183 days, the salary is </w:t>
            </w:r>
            <w:r>
              <w:rPr>
                <w:rFonts w:ascii="Verdana" w:cs="Verdana" w:eastAsia="Verdana" w:hAnsi="Verdana"/>
                <w:b/>
                <w:bCs/>
                <w:sz w:val="20"/>
                <w:szCs w:val="20"/>
              </w:rPr>
              <w:t xml:space="preserve">not taxable in India</w:t>
            </w:r>
            <w:r>
              <w:rPr>
                <w:rFonts w:ascii="Verdana" w:cs="Verdana" w:eastAsia="Verdana" w:hAnsi="Verdana"/>
                <w:sz w:val="20"/>
                <w:szCs w:val="20"/>
              </w:rPr>
              <w:t xml:space="preserve">. The Act also has a similar exemption for foreign employees of foreign enterprises staying up to 90 days, where the salary is not deducted from Indian income.</w:t>
            </w:r>
          </w:p>
        </w:tc>
      </w:tr>
    </w:tbl>
    <w:p>
      <w:pPr>
        <w:spacing w:after="60"/>
      </w:pPr>
    </w:p>
    <w:p>
      <w:pPr>
        <w:pStyle w:val="Heading2"/>
        <w:keepNext/>
        <w:spacing w:after="120" w:before="240"/>
      </w:pPr>
      <w:r>
        <w:rPr>
          <w:rFonts w:ascii="Verdana" w:cs="Verdana" w:eastAsia="Verdana" w:hAnsi="Verdana"/>
        </w:rPr>
        <w:t xml:space="preserve">31.13 Capital gains of foreign investors</w:t>
      </w:r>
    </w:p>
    <w:p>
      <w:pPr>
        <w:pStyle w:val="ListParagraph"/>
        <w:numPr>
          <w:ilvl w:val="0"/>
          <w:numId w:val="2"/>
        </w:numPr>
        <w:spacing w:after="60" w:line="264"/>
      </w:pPr>
      <w:r>
        <w:rPr>
          <w:rFonts w:ascii="Verdana" w:cs="Verdana" w:eastAsia="Verdana" w:hAnsi="Verdana"/>
          <w:b/>
          <w:bCs/>
        </w:rPr>
        <w:t xml:space="preserve">Mauritius, Singapore and Cyprus treaties</w:t>
      </w:r>
      <w:r>
        <w:rPr>
          <w:rFonts w:ascii="Verdana" w:cs="Verdana" w:eastAsia="Verdana" w:hAnsi="Verdana"/>
        </w:rPr>
        <w:t xml:space="preserve"> were amended from 1 April 2017 to give India the right to tax gains on shares of Indian companies. Investments made before 1 April 2017 are grandfathered.</w:t>
      </w:r>
    </w:p>
    <w:p>
      <w:pPr>
        <w:pStyle w:val="ListParagraph"/>
        <w:numPr>
          <w:ilvl w:val="0"/>
          <w:numId w:val="2"/>
        </w:numPr>
        <w:spacing w:after="60" w:line="264"/>
      </w:pPr>
      <w:r>
        <w:rPr>
          <w:rFonts w:ascii="Verdana" w:cs="Verdana" w:eastAsia="Verdana" w:hAnsi="Verdana"/>
          <w:b/>
          <w:bCs/>
        </w:rPr>
        <w:t xml:space="preserve">Netherlands and some other treaties</w:t>
      </w:r>
      <w:r>
        <w:rPr>
          <w:rFonts w:ascii="Verdana" w:cs="Verdana" w:eastAsia="Verdana" w:hAnsi="Verdana"/>
        </w:rPr>
        <w:t xml:space="preserve"> may still restrict India's right in limited cases (for example, under the India-Netherlands treaty India can tax gains on shares only where the holding is at least 10% and the buyer is a resident of India), subject to the Principal Purpose Test and beneficial ownership.</w:t>
      </w:r>
    </w:p>
    <w:p>
      <w:pPr>
        <w:pStyle w:val="ListParagraph"/>
        <w:numPr>
          <w:ilvl w:val="0"/>
          <w:numId w:val="2"/>
        </w:numPr>
        <w:spacing w:after="60" w:line="264"/>
      </w:pPr>
      <w:r>
        <w:rPr>
          <w:rFonts w:ascii="Verdana" w:cs="Verdana" w:eastAsia="Verdana" w:hAnsi="Verdana"/>
          <w:b/>
          <w:bCs/>
        </w:rPr>
        <w:t xml:space="preserve">Foreign portfolio investors</w:t>
      </w:r>
      <w:r>
        <w:rPr>
          <w:rFonts w:ascii="Verdana" w:cs="Verdana" w:eastAsia="Verdana" w:hAnsi="Verdana"/>
        </w:rPr>
        <w:t xml:space="preserve"> pay tax on capital gains at the rates in sections 196 to 198 and 210, with no TDS on their gains (they pay advance tax or through custodians).</w:t>
      </w:r>
    </w:p>
    <w:p>
      <w:pPr>
        <w:pStyle w:val="Heading2"/>
        <w:keepNext/>
        <w:spacing w:after="120" w:before="240"/>
      </w:pPr>
      <w:r>
        <w:rPr>
          <w:rFonts w:ascii="Verdana" w:cs="Verdana" w:eastAsia="Verdana" w:hAnsi="Verdana"/>
        </w:rPr>
        <w:t xml:space="preserve">31.14 Withholding: practical steps before a foreign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8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 the payment income of the non-resident taxable in India under the Act? If not (for example, purchase of goods from abroad), no TDS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 taxable under the Act, is it protected by a treaty (no PE, "make available" not met, capital gains not taxable)? Obtain TRC, Form 41, and a no-PE declaration where relevant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Determine the rate: lower of the Act rate (with surcharge and cess) and the treaty rate (inclusive)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 whether the payer bears the tax; if so, gross up</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 and deposit TDS by the 7th of the next month; file Form 145 online (Part A, B, C or D depending on amount and certificate), with Form 146 from a CA where required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Report in the quarterly statement Form 144 and issue the TDS certificate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TDS only on sums chargeable</w:t>
            </w:r>
          </w:p>
          <w:p>
            <w:pPr>
              <w:spacing w:after="60" w:line="260"/>
            </w:pPr>
            <w:r>
              <w:rPr>
                <w:rFonts w:ascii="Verdana" w:cs="Verdana" w:eastAsia="Verdana" w:hAnsi="Verdana"/>
                <w:b/>
                <w:bCs/>
                <w:sz w:val="20"/>
                <w:szCs w:val="20"/>
              </w:rPr>
              <w:t xml:space="preserve">GE India Technology Centre Pvt. Ltd. v. CIT (Supreme Court, 2010):</w:t>
            </w:r>
            <w:r>
              <w:rPr>
                <w:rFonts w:ascii="Verdana" w:cs="Verdana" w:eastAsia="Verdana" w:hAnsi="Verdana"/>
                <w:sz w:val="20"/>
                <w:szCs w:val="20"/>
              </w:rPr>
              <w:t xml:space="preserve"> the obligation to deduct tax on payments to non-residents arises only if the sum is chargeable to tax in India. If no part is chargeable, no TDS is required. The payer may apply to the Assessing Officer for a determination where there is doubt.</w:t>
            </w:r>
          </w:p>
        </w:tc>
      </w:tr>
    </w:tbl>
    <w:p>
      <w:pPr>
        <w:spacing w:after="60"/>
      </w:pPr>
    </w:p>
    <w:p>
      <w:pPr>
        <w:pStyle w:val="Heading2"/>
        <w:keepNext/>
        <w:spacing w:after="120" w:before="240"/>
      </w:pPr>
      <w:r>
        <w:rPr>
          <w:rFonts w:ascii="Verdana" w:cs="Verdana" w:eastAsia="Verdana" w:hAnsi="Verdana"/>
        </w:rPr>
        <w:t xml:space="preserve">31.15 Foreign tax credit: rules to remember</w:t>
      </w:r>
    </w:p>
    <w:p>
      <w:pPr>
        <w:pStyle w:val="ListParagraph"/>
        <w:numPr>
          <w:ilvl w:val="0"/>
          <w:numId w:val="2"/>
        </w:numPr>
        <w:spacing w:after="60" w:line="264"/>
      </w:pPr>
      <w:r>
        <w:rPr>
          <w:rFonts w:ascii="Verdana" w:cs="Verdana" w:eastAsia="Verdana" w:hAnsi="Verdana"/>
        </w:rPr>
        <w:t xml:space="preserve">Credit is allowed in the year in which the income is offered to tax in India.</w:t>
      </w:r>
    </w:p>
    <w:p>
      <w:pPr>
        <w:pStyle w:val="ListParagraph"/>
        <w:numPr>
          <w:ilvl w:val="0"/>
          <w:numId w:val="2"/>
        </w:numPr>
        <w:spacing w:after="60" w:line="264"/>
      </w:pPr>
      <w:r>
        <w:rPr>
          <w:rFonts w:ascii="Verdana" w:cs="Verdana" w:eastAsia="Verdana" w:hAnsi="Verdana"/>
        </w:rPr>
        <w:t xml:space="preserve">Credit is computed separately for each source of income and each country.</w:t>
      </w:r>
    </w:p>
    <w:p>
      <w:pPr>
        <w:pStyle w:val="ListParagraph"/>
        <w:numPr>
          <w:ilvl w:val="0"/>
          <w:numId w:val="2"/>
        </w:numPr>
        <w:spacing w:after="60" w:line="264"/>
      </w:pPr>
      <w:r>
        <w:rPr>
          <w:rFonts w:ascii="Verdana" w:cs="Verdana" w:eastAsia="Verdana" w:hAnsi="Verdana"/>
        </w:rPr>
        <w:t xml:space="preserve">Credit is the lower of the foreign tax and the Indian tax on that income (at the average rate).</w:t>
      </w:r>
    </w:p>
    <w:p>
      <w:pPr>
        <w:pStyle w:val="ListParagraph"/>
        <w:numPr>
          <w:ilvl w:val="0"/>
          <w:numId w:val="2"/>
        </w:numPr>
        <w:spacing w:after="60" w:line="264"/>
      </w:pPr>
      <w:r>
        <w:rPr>
          <w:rFonts w:ascii="Verdana" w:cs="Verdana" w:eastAsia="Verdana" w:hAnsi="Verdana"/>
        </w:rPr>
        <w:t xml:space="preserve">Foreign tax under dispute is allowed only after the dispute is settled, if evidence is furnished within six months.</w:t>
      </w:r>
    </w:p>
    <w:p>
      <w:pPr>
        <w:pStyle w:val="ListParagraph"/>
        <w:numPr>
          <w:ilvl w:val="0"/>
          <w:numId w:val="2"/>
        </w:numPr>
        <w:spacing w:after="60" w:line="264"/>
      </w:pPr>
      <w:r>
        <w:rPr>
          <w:rFonts w:ascii="Verdana" w:cs="Verdana" w:eastAsia="Verdana" w:hAnsi="Verdana"/>
        </w:rPr>
        <w:t xml:space="preserve">No credit for interest, fee or penalty paid abroad, or for foreign taxes refundable.</w:t>
      </w:r>
    </w:p>
    <w:p>
      <w:pPr>
        <w:pStyle w:val="ListParagraph"/>
        <w:numPr>
          <w:ilvl w:val="0"/>
          <w:numId w:val="2"/>
        </w:numPr>
        <w:spacing w:after="60" w:line="264"/>
      </w:pPr>
      <w:r>
        <w:rPr>
          <w:rFonts w:ascii="Verdana" w:cs="Verdana" w:eastAsia="Verdana" w:hAnsi="Verdana"/>
        </w:rPr>
        <w:t xml:space="preserve">The statement in the prescribed form (old Form 67) must be filed within the time allowed by the Rules (under the old Rules, as amended in 2022, by the end of the assessment year); tribunals have often treated a delay as procedural.</w:t>
      </w:r>
    </w:p>
    <w:p>
      <w:pPr>
        <w:pStyle w:val="Heading2"/>
        <w:keepNext/>
        <w:spacing w:after="120" w:before="240"/>
      </w:pPr>
      <w:r>
        <w:rPr>
          <w:rFonts w:ascii="Verdana" w:cs="Verdana" w:eastAsia="Verdana" w:hAnsi="Verdana"/>
        </w:rPr>
        <w:t xml:space="preserve">31.16 Taxation of expatriates and inbound employees</w:t>
      </w:r>
    </w:p>
    <w:p>
      <w:pPr>
        <w:spacing w:after="120" w:line="276"/>
        <w:jc w:val="both"/>
      </w:pPr>
      <w:r>
        <w:rPr>
          <w:rFonts w:ascii="Verdana" w:cs="Verdana" w:eastAsia="Verdana" w:hAnsi="Verdana"/>
        </w:rPr>
        <w:t xml:space="preserve">A foreign national working in India is taxed on salary for services rendered in India wherever it is paid, subject to treaty relief. Tax equalisation arrangements (where the employer bears the Indian tax) require gross up of the tax borne as a further perquisite. Social security contributions under the Indian PF scheme apply to "international workers" unless a social security agreement with the home country exempts them.</w:t>
      </w:r>
    </w:p>
    <w:p>
      <w:pPr>
        <w:pStyle w:val="Heading2"/>
        <w:keepNext/>
        <w:spacing w:after="120" w:before="240"/>
      </w:pPr>
      <w:r>
        <w:rPr>
          <w:rFonts w:ascii="Verdana" w:cs="Verdana" w:eastAsia="Verdana" w:hAnsi="Verdana"/>
        </w:rPr>
        <w:t xml:space="preserve">31.17 Outbound remittances and investments by residents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6200"/>
      </w:tblGrid>
      <w:tr>
        <w:trPr>
          <w:cantSplit/>
          <w:tblHeader/>
        </w:trPr>
        <w:tc>
          <w:tcPr>
            <w:tcW w:type="dxa" w:w="3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Transaction</w:t>
            </w:r>
          </w:p>
        </w:tc>
        <w:tc>
          <w:tcPr>
            <w:tcW w:type="dxa" w:w="6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points</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Liberalised Remittance Scheme (up to USD 250,000 a year)</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TCS by the bank on remittances above Rs. 10 lakh, at rates depending on purpose (lower or nil for education funded by loan and medical treatment; 2% for tour packages from 2026). TCS is credited against the remitter's tax</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Investment in foreign shares or funds</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 and gains taxable in India; foreign tax credit for tax withheld; report in Schedule FA</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Overseas direct investment by an Indian company</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 from the foreign subsidiary taxable at normal rates; guarantee fees and loans subject to TP; outbound funds must meet FEMA rules</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Branch abroad</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Profits of the foreign branch are part of the Indian company's income; foreign tax credit for tax paid abroad</w:t>
            </w:r>
          </w:p>
        </w:tc>
      </w:tr>
    </w:tbl>
    <w:p>
      <w:pPr>
        <w:spacing w:after="60"/>
      </w:pPr>
    </w:p>
    <w:p>
      <w:pPr>
        <w:pStyle w:val="Heading2"/>
        <w:keepNext/>
        <w:spacing w:after="120" w:before="240"/>
      </w:pPr>
      <w:r>
        <w:rPr>
          <w:rFonts w:ascii="Verdana" w:cs="Verdana" w:eastAsia="Verdana" w:hAnsi="Verdana"/>
        </w:rPr>
        <w:t xml:space="preserve">31.18 Schedule FA and the Black Money Act</w:t>
      </w:r>
    </w:p>
    <w:p>
      <w:pPr>
        <w:spacing w:after="120" w:line="276"/>
        <w:jc w:val="both"/>
      </w:pPr>
      <w:r>
        <w:rPr>
          <w:rFonts w:ascii="Verdana" w:cs="Verdana" w:eastAsia="Verdana" w:hAnsi="Verdana"/>
        </w:rPr>
        <w:t xml:space="preserve">A resident (not RNOR) must report foreign assets held at any time during the relevant calendar year: bank accounts, shares, mutual funds, ESOPs and RSUs, insurance policies, immovable property, trusts in which he is a trustee or beneficiary, and signing authority in foreign accounts. Non-reporting can attract a penalty of Rs. 10 lakh under the Black Money Act, and undisclosed foreign income or assets are taxed at 30% with a further penalty of three times the tax. Recent amendments give relief for small values of certain non-immovable assets; confirm the current thresholds before relying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122: Schedule FA</w:t>
            </w:r>
          </w:p>
          <w:p>
            <w:pPr>
              <w:spacing w:after="60" w:line="260"/>
            </w:pPr>
            <w:r>
              <w:rPr>
                <w:rFonts w:ascii="Verdana" w:cs="Verdana" w:eastAsia="Verdana" w:hAnsi="Verdana"/>
                <w:sz w:val="20"/>
                <w:szCs w:val="20"/>
              </w:rPr>
              <w:t xml:space="preserve">Priya, a resident, held RSUs of her US employer worth Rs. 18 lakh and a US bank account with Rs. 40,000 during calendar year 2026. She must report both in Schedule FA of her return for Tax Year 2026-27, with the peak and closing values, and the dividends in Schedule FSI. Missing it, even if all income was taxed, can attract the Rs. 10 lakh penalty.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Non-residents are taxed on Indian income, including deemed accrual categories.</w:t>
            </w:r>
          </w:p>
          <w:p>
            <w:pPr>
              <w:spacing w:after="60" w:line="260"/>
            </w:pPr>
            <w:r>
              <w:rPr>
                <w:rFonts w:ascii="Verdana" w:cs="Verdana" w:eastAsia="Verdana" w:hAnsi="Verdana"/>
                <w:sz w:val="20"/>
                <w:szCs w:val="20"/>
              </w:rPr>
              <w:t xml:space="preserve">•  Treaty benefits need TRC, Form 41 and beneficial ownership, subject to PPT.</w:t>
            </w:r>
          </w:p>
          <w:p>
            <w:pPr>
              <w:spacing w:after="60" w:line="260"/>
            </w:pPr>
            <w:r>
              <w:rPr>
                <w:rFonts w:ascii="Verdana" w:cs="Verdana" w:eastAsia="Verdana" w:hAnsi="Verdana"/>
                <w:sz w:val="20"/>
                <w:szCs w:val="20"/>
              </w:rPr>
              <w:t xml:space="preserve">•  Business profits are taxable only with a PE under treaties.</w:t>
            </w:r>
          </w:p>
          <w:p>
            <w:pPr>
              <w:spacing w:after="60" w:line="260"/>
            </w:pPr>
            <w:r>
              <w:rPr>
                <w:rFonts w:ascii="Verdana" w:cs="Verdana" w:eastAsia="Verdana" w:hAnsi="Verdana"/>
                <w:sz w:val="20"/>
                <w:szCs w:val="20"/>
              </w:rPr>
              <w:t xml:space="preserve">•  Withholding on payments to non-residents under section 393(2) with Forms 145 and 146.</w:t>
            </w:r>
          </w:p>
          <w:p>
            <w:pPr>
              <w:spacing w:after="60" w:line="260"/>
            </w:pPr>
            <w:r>
              <w:rPr>
                <w:rFonts w:ascii="Verdana" w:cs="Verdana" w:eastAsia="Verdana" w:hAnsi="Verdana"/>
                <w:sz w:val="20"/>
                <w:szCs w:val="20"/>
              </w:rPr>
              <w:t xml:space="preserve">•  Foreign tax credit for residents is the lower of foreign tax and Indian tax on that income.</w:t>
            </w:r>
          </w:p>
        </w:tc>
      </w:tr>
    </w:tbl>
    <w:p>
      <w:pPr>
        <w:pStyle w:val="Heading1"/>
        <w:pageBreakBefore/>
        <w:spacing w:after="200" w:before="0"/>
      </w:pPr>
      <w:r>
        <w:rPr>
          <w:rFonts w:ascii="Verdana" w:cs="Verdana" w:eastAsia="Verdana" w:hAnsi="Verdana"/>
        </w:rPr>
        <w:t xml:space="preserve">32. Non-Resident Individuals and NRIs</w:t>
      </w:r>
    </w:p>
    <w:p>
      <w:pPr>
        <w:spacing w:after="120" w:line="276"/>
        <w:jc w:val="both"/>
      </w:pPr>
      <w:r>
        <w:rPr>
          <w:rFonts w:ascii="Verdana" w:cs="Verdana" w:eastAsia="Verdana" w:hAnsi="Verdana"/>
        </w:rPr>
        <w:t xml:space="preserve">This chapter looks at individuals who are non-resident or who move between India and abroad. It brings together points from residence, capital gains, TDS and treaties that matter to NRIs and their advisers.</w:t>
      </w:r>
    </w:p>
    <w:p>
      <w:pPr>
        <w:pStyle w:val="Heading2"/>
        <w:keepNext/>
        <w:spacing w:after="120" w:before="240"/>
      </w:pPr>
      <w:r>
        <w:rPr>
          <w:rFonts w:ascii="Verdana" w:cs="Verdana" w:eastAsia="Verdana" w:hAnsi="Verdana"/>
        </w:rPr>
        <w:t xml:space="preserve">32.1 Income of NRIs that is taxable in India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600"/>
        <w:gridCol w:w="42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Income</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Taxable?</w:t>
            </w:r>
          </w:p>
        </w:tc>
        <w:tc>
          <w:tcPr>
            <w:tcW w:type="dxa" w:w="4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Notes</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for services outside India, received outside India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Even if credited later to an NRE account in India</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NRE account and FCNR deposits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While the person is a person resident outside India under FEMA</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NRO account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at 30% plus surcharge and cess (or treaty rate)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from property in India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Tenant must deduct TDS at 30% (not the resident rate)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on Indian shares, funds, property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Rates as per sections 196 to 198; TDS by buyer or fund house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 from Indian companies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at 20% or treaty rate</w:t>
            </w:r>
          </w:p>
        </w:tc>
      </w:tr>
    </w:tbl>
    <w:p>
      <w:pPr>
        <w:spacing w:after="60"/>
      </w:pPr>
    </w:p>
    <w:p>
      <w:pPr>
        <w:pStyle w:val="Heading2"/>
        <w:keepNext/>
        <w:spacing w:after="120" w:before="240"/>
      </w:pPr>
      <w:r>
        <w:rPr>
          <w:rFonts w:ascii="Verdana" w:cs="Verdana" w:eastAsia="Verdana" w:hAnsi="Verdana"/>
        </w:rPr>
        <w:t xml:space="preserve">32.2 Special regime for investment income of NRIs</w:t>
      </w:r>
    </w:p>
    <w:p>
      <w:pPr>
        <w:spacing w:after="120" w:line="276"/>
        <w:jc w:val="both"/>
      </w:pPr>
      <w:r>
        <w:rPr>
          <w:rFonts w:ascii="Verdana" w:cs="Verdana" w:eastAsia="Verdana" w:hAnsi="Verdana"/>
        </w:rPr>
        <w:t xml:space="preserve">An NRI (Indian citizen or PIO) may opt for a special regime (old sections 115C to 115I) for income from specified foreign exchange assets (shares of Indian companies, debentures, deposits and government securities bought in convertible foreign exchange). Under it, investment income is taxed at 20% and long-term gains at concessional rates, with no deductions, and the NRI need not file a return if the only income is such income and TDS has been deducted. Check the corresponding provision in the 2025 Act before applying it, as the regime is less commonly used after the general reduction in capital gains rates.</w:t>
      </w:r>
    </w:p>
    <w:p>
      <w:pPr>
        <w:pStyle w:val="Heading2"/>
        <w:keepNext/>
        <w:spacing w:after="120" w:before="240"/>
      </w:pPr>
      <w:r>
        <w:rPr>
          <w:rFonts w:ascii="Verdana" w:cs="Verdana" w:eastAsia="Verdana" w:hAnsi="Verdana"/>
        </w:rPr>
        <w:t xml:space="preserve">32.3 Buying property from an NRI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123: TDS on purchase from an NRI</w:t>
            </w:r>
          </w:p>
          <w:p>
            <w:pPr>
              <w:spacing w:after="60" w:line="260"/>
            </w:pPr>
            <w:r>
              <w:rPr>
                <w:rFonts w:ascii="Verdana" w:cs="Verdana" w:eastAsia="Verdana" w:hAnsi="Verdana"/>
                <w:sz w:val="20"/>
                <w:szCs w:val="20"/>
              </w:rPr>
              <w:t xml:space="preserve">Rakesh buys a flat in Pune for Rs. 1.5 crore from Sonia, an NRI in Canada, who had bought it in 2015 for Rs. 70 lakh. Long-term capital gain (without indexation) = Rs. 80 lakh.</w:t>
            </w:r>
          </w:p>
          <w:p>
            <w:pPr>
              <w:spacing w:after="60" w:line="260"/>
            </w:pPr>
            <w:r>
              <w:rPr>
                <w:rFonts w:ascii="Verdana" w:cs="Verdana" w:eastAsia="Verdana" w:hAnsi="Verdana"/>
                <w:sz w:val="20"/>
                <w:szCs w:val="20"/>
              </w:rPr>
              <w:t xml:space="preserve">Rakesh must deduct TDS under section 393(2), not the 1% resident rate. If he deducts on the full price at 12.5% plus surcharge (15% for income above Rs. 1 crore) and cess, TDS = 1.5 crore x 12.5% x 1.15 x 1.04 = </w:t>
            </w:r>
            <w:r>
              <w:rPr>
                <w:rFonts w:ascii="Verdana" w:cs="Verdana" w:eastAsia="Verdana" w:hAnsi="Verdana"/>
                <w:b/>
                <w:bCs/>
                <w:sz w:val="20"/>
                <w:szCs w:val="20"/>
              </w:rPr>
              <w:t xml:space="preserve">Rs. 22,42,500</w:t>
            </w:r>
            <w:r>
              <w:rPr>
                <w:rFonts w:ascii="Verdana" w:cs="Verdana" w:eastAsia="Verdana" w:hAnsi="Verdana"/>
                <w:sz w:val="20"/>
                <w:szCs w:val="20"/>
              </w:rPr>
              <w:t xml:space="preserve">.</w:t>
            </w:r>
          </w:p>
          <w:p>
            <w:pPr>
              <w:spacing w:after="60" w:line="260"/>
            </w:pPr>
            <w:r>
              <w:rPr>
                <w:rFonts w:ascii="Verdana" w:cs="Verdana" w:eastAsia="Verdana" w:hAnsi="Verdana"/>
                <w:sz w:val="20"/>
                <w:szCs w:val="20"/>
              </w:rPr>
              <w:t xml:space="preserve">Sonia can apply under section 395 for a lower deduction certificate based on the gain only. Tax on Rs. 80 lakh at 12.5% plus 10% surcharge and 4% cess (14.3%) = </w:t>
            </w:r>
            <w:r>
              <w:rPr>
                <w:rFonts w:ascii="Verdana" w:cs="Verdana" w:eastAsia="Verdana" w:hAnsi="Verdana"/>
                <w:b/>
                <w:bCs/>
                <w:sz w:val="20"/>
                <w:szCs w:val="20"/>
              </w:rPr>
              <w:t xml:space="preserve">Rs. 11,44,000</w:t>
            </w:r>
            <w:r>
              <w:rPr>
                <w:rFonts w:ascii="Verdana" w:cs="Verdana" w:eastAsia="Verdana" w:hAnsi="Verdana"/>
                <w:sz w:val="20"/>
                <w:szCs w:val="20"/>
              </w:rPr>
              <w:t xml:space="preserve">. The certificate saves her from having about Rs. 11 lakh blocked until a refund is processed.</w:t>
            </w:r>
          </w:p>
          <w:p>
            <w:pPr>
              <w:spacing w:after="60" w:line="260"/>
            </w:pPr>
            <w:r>
              <w:rPr>
                <w:rFonts w:ascii="Verdana" w:cs="Verdana" w:eastAsia="Verdana" w:hAnsi="Verdana"/>
                <w:sz w:val="20"/>
                <w:szCs w:val="20"/>
              </w:rPr>
              <w:t xml:space="preserve">Rakesh needs a TAN, must file Form 144 and issue a TDS certificate, and must obtain Forms 145 and 146 for the remittance if Sonia repatriates the money.</w:t>
            </w:r>
          </w:p>
        </w:tc>
      </w:tr>
    </w:tbl>
    <w:p>
      <w:pPr>
        <w:spacing w:after="60"/>
      </w:pPr>
    </w:p>
    <w:p>
      <w:pPr>
        <w:pStyle w:val="Heading2"/>
        <w:keepNext/>
        <w:spacing w:after="120" w:before="240"/>
      </w:pPr>
      <w:r>
        <w:rPr>
          <w:rFonts w:ascii="Verdana" w:cs="Verdana" w:eastAsia="Verdana" w:hAnsi="Verdana"/>
        </w:rPr>
        <w:t xml:space="preserve">32.4 Repatriation and banking</w:t>
      </w:r>
    </w:p>
    <w:p>
      <w:pPr>
        <w:pStyle w:val="ListParagraph"/>
        <w:numPr>
          <w:ilvl w:val="0"/>
          <w:numId w:val="2"/>
        </w:numPr>
        <w:spacing w:after="60" w:line="264"/>
      </w:pPr>
      <w:r>
        <w:rPr>
          <w:rFonts w:ascii="Verdana" w:cs="Verdana" w:eastAsia="Verdana" w:hAnsi="Verdana"/>
        </w:rPr>
        <w:t xml:space="preserve">NRE and FCNR balances are freely repatriable. NRO balances can be repatriated up to USD 1 million a year, after tax, with Forms 145 and 146.</w:t>
      </w:r>
    </w:p>
    <w:p>
      <w:pPr>
        <w:pStyle w:val="ListParagraph"/>
        <w:numPr>
          <w:ilvl w:val="0"/>
          <w:numId w:val="2"/>
        </w:numPr>
        <w:spacing w:after="60" w:line="264"/>
      </w:pPr>
      <w:r>
        <w:rPr>
          <w:rFonts w:ascii="Verdana" w:cs="Verdana" w:eastAsia="Verdana" w:hAnsi="Verdana"/>
        </w:rPr>
        <w:t xml:space="preserve">Sale proceeds of property can be repatriated subject to FEMA limits and tax clearance through these forms.</w:t>
      </w:r>
    </w:p>
    <w:p>
      <w:pPr>
        <w:pStyle w:val="ListParagraph"/>
        <w:numPr>
          <w:ilvl w:val="0"/>
          <w:numId w:val="2"/>
        </w:numPr>
        <w:spacing w:after="60" w:line="264"/>
      </w:pPr>
      <w:r>
        <w:rPr>
          <w:rFonts w:ascii="Verdana" w:cs="Verdana" w:eastAsia="Verdana" w:hAnsi="Verdana"/>
        </w:rPr>
        <w:t xml:space="preserve">On returning to India, NRE deposits become resident deposits or RFC accounts; interest becomes taxable once the person ceases to be a person resident outside India.</w:t>
      </w:r>
    </w:p>
    <w:p>
      <w:pPr>
        <w:pStyle w:val="Heading2"/>
        <w:keepNext/>
        <w:spacing w:after="120" w:before="240"/>
      </w:pPr>
      <w:r>
        <w:rPr>
          <w:rFonts w:ascii="Verdana" w:cs="Verdana" w:eastAsia="Verdana" w:hAnsi="Verdana"/>
        </w:rPr>
        <w:t xml:space="preserve">32.5 Return filing by NRIs</w:t>
      </w:r>
    </w:p>
    <w:p>
      <w:pPr>
        <w:pStyle w:val="ListParagraph"/>
        <w:numPr>
          <w:ilvl w:val="0"/>
          <w:numId w:val="2"/>
        </w:numPr>
        <w:spacing w:after="60" w:line="264"/>
      </w:pPr>
      <w:r>
        <w:rPr>
          <w:rFonts w:ascii="Verdana" w:cs="Verdana" w:eastAsia="Verdana" w:hAnsi="Verdana"/>
        </w:rPr>
        <w:t xml:space="preserve">Required if total income exceeds the basic exemption limit, or to claim refund of excess TDS, or to carry forward losses.</w:t>
      </w:r>
    </w:p>
    <w:p>
      <w:pPr>
        <w:pStyle w:val="ListParagraph"/>
        <w:numPr>
          <w:ilvl w:val="0"/>
          <w:numId w:val="2"/>
        </w:numPr>
        <w:spacing w:after="60" w:line="264"/>
      </w:pPr>
      <w:r>
        <w:rPr>
          <w:rFonts w:ascii="Verdana" w:cs="Verdana" w:eastAsia="Verdana" w:hAnsi="Verdana"/>
        </w:rPr>
        <w:t xml:space="preserve">The resident only rebate under section 156 is not available, and the basic exemption cannot be adjusted against special rate capital gains.</w:t>
      </w:r>
    </w:p>
    <w:p>
      <w:pPr>
        <w:pStyle w:val="ListParagraph"/>
        <w:numPr>
          <w:ilvl w:val="0"/>
          <w:numId w:val="2"/>
        </w:numPr>
        <w:spacing w:after="60" w:line="264"/>
      </w:pPr>
      <w:r>
        <w:rPr>
          <w:rFonts w:ascii="Verdana" w:cs="Verdana" w:eastAsia="Verdana" w:hAnsi="Verdana"/>
        </w:rPr>
        <w:t xml:space="preserve">Report Indian bank accounts; foreign assets need not be reported by non-residents.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Many NRIs have excess TDS on NRO interest and rent because the payer deducts at 30% without considering the slab. Filing a return, claiming treaty benefits where applicable, and obtaining a lower deduction certificate for the next year can recover significant amounts.</w:t>
            </w:r>
          </w:p>
        </w:tc>
      </w:tr>
    </w:tbl>
    <w:p>
      <w:pPr>
        <w:spacing w:after="60"/>
      </w:pPr>
    </w:p>
    <w:p>
      <w:pPr>
        <w:pStyle w:val="Heading2"/>
        <w:keepNext/>
        <w:spacing w:after="120" w:before="240"/>
      </w:pPr>
      <w:r>
        <w:rPr>
          <w:rFonts w:ascii="Verdana" w:cs="Verdana" w:eastAsia="Verdana" w:hAnsi="Verdana"/>
        </w:rPr>
        <w:t xml:space="preserve">32.6 Seafarers and employees working abroad</w:t>
      </w:r>
    </w:p>
    <w:p>
      <w:pPr>
        <w:pStyle w:val="ListParagraph"/>
        <w:numPr>
          <w:ilvl w:val="0"/>
          <w:numId w:val="2"/>
        </w:numPr>
        <w:spacing w:after="60" w:line="264"/>
      </w:pPr>
      <w:r>
        <w:rPr>
          <w:rFonts w:ascii="Verdana" w:cs="Verdana" w:eastAsia="Verdana" w:hAnsi="Verdana"/>
        </w:rPr>
        <w:t xml:space="preserve">For an Indian citizen who is a crew member of a ship, days of stay in India exclude the days on an international voyage as per the Rules, which often makes such seafarers non-residents.</w:t>
      </w:r>
    </w:p>
    <w:p>
      <w:pPr>
        <w:pStyle w:val="ListParagraph"/>
        <w:numPr>
          <w:ilvl w:val="0"/>
          <w:numId w:val="2"/>
        </w:numPr>
        <w:spacing w:after="60" w:line="264"/>
      </w:pPr>
      <w:r>
        <w:rPr>
          <w:rFonts w:ascii="Verdana" w:cs="Verdana" w:eastAsia="Verdana" w:hAnsi="Verdana"/>
        </w:rPr>
        <w:t xml:space="preserve">Salary of a non-resident seafarer for services rendered outside India on a foreign ship, credited to his NRE account in India, is not taxable in India merely because it is received in the NRE account.</w:t>
      </w:r>
    </w:p>
    <w:p>
      <w:pPr>
        <w:pStyle w:val="ListParagraph"/>
        <w:numPr>
          <w:ilvl w:val="0"/>
          <w:numId w:val="2"/>
        </w:numPr>
        <w:spacing w:after="60" w:line="264"/>
      </w:pPr>
      <w:r>
        <w:rPr>
          <w:rFonts w:ascii="Verdana" w:cs="Verdana" w:eastAsia="Verdana" w:hAnsi="Verdana"/>
        </w:rPr>
        <w:t xml:space="preserve">An employee sent abroad on deputation by an Indian employer may remain resident if the 182-day test is met; the salary for services abroad is then taxable in India with credit for foreign tax paid.</w:t>
      </w:r>
    </w:p>
    <w:p>
      <w:pPr>
        <w:pStyle w:val="ListParagraph"/>
        <w:numPr>
          <w:ilvl w:val="0"/>
          <w:numId w:val="2"/>
        </w:numPr>
        <w:spacing w:after="60" w:line="264"/>
      </w:pPr>
      <w:r>
        <w:rPr>
          <w:rFonts w:ascii="Verdana" w:cs="Verdana" w:eastAsia="Verdana" w:hAnsi="Verdana"/>
        </w:rPr>
        <w:t xml:space="preserve">Social security contributions abroad may be covered by social security agreements between India and the host country.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124: Seafarer</w:t>
            </w:r>
          </w:p>
          <w:p>
            <w:pPr>
              <w:spacing w:after="60" w:line="260"/>
            </w:pPr>
            <w:r>
              <w:rPr>
                <w:rFonts w:ascii="Verdana" w:cs="Verdana" w:eastAsia="Verdana" w:hAnsi="Verdana"/>
                <w:sz w:val="20"/>
                <w:szCs w:val="20"/>
              </w:rPr>
              <w:t xml:space="preserve">Captain Menon, an Indian citizen, serves on a Singapore flagged ship. In Tax Year 2026-27 he spends 150 days in India and the rest on voyages. He is non-resident. His salary of Rs. 60 lakh, paid by the Singapore company for services on the ship and credited to his NRE account, is </w:t>
            </w:r>
            <w:r>
              <w:rPr>
                <w:rFonts w:ascii="Verdana" w:cs="Verdana" w:eastAsia="Verdana" w:hAnsi="Verdana"/>
                <w:b/>
                <w:bCs/>
                <w:sz w:val="20"/>
                <w:szCs w:val="20"/>
              </w:rPr>
              <w:t xml:space="preserve">not taxable in India</w:t>
            </w:r>
            <w:r>
              <w:rPr>
                <w:rFonts w:ascii="Verdana" w:cs="Verdana" w:eastAsia="Verdana" w:hAnsi="Verdana"/>
                <w:sz w:val="20"/>
                <w:szCs w:val="20"/>
              </w:rPr>
              <w:t xml:space="preserve">. His FD interest from an NRO account is taxable.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NRE and FCNR interest exempt; NRO interest, rent and gains taxable with high TDS.</w:t>
            </w:r>
          </w:p>
          <w:p>
            <w:pPr>
              <w:spacing w:after="60" w:line="260"/>
            </w:pPr>
            <w:r>
              <w:rPr>
                <w:rFonts w:ascii="Verdana" w:cs="Verdana" w:eastAsia="Verdana" w:hAnsi="Verdana"/>
                <w:sz w:val="20"/>
                <w:szCs w:val="20"/>
              </w:rPr>
              <w:t xml:space="preserve">•  Buyers from NRIs must withhold under section 393(2); lower deduction certificates help.</w:t>
            </w:r>
          </w:p>
          <w:p>
            <w:pPr>
              <w:spacing w:after="60" w:line="260"/>
            </w:pPr>
            <w:r>
              <w:rPr>
                <w:rFonts w:ascii="Verdana" w:cs="Verdana" w:eastAsia="Verdana" w:hAnsi="Verdana"/>
                <w:sz w:val="20"/>
                <w:szCs w:val="20"/>
              </w:rPr>
              <w:t xml:space="preserve">•  NRIs cannot use the rebate or adjust the basic exemption against special rate gains.</w:t>
            </w:r>
          </w:p>
        </w:tc>
      </w:tr>
    </w:tbl>
    <w:p>
      <w:pPr>
        <w:pStyle w:val="Heading1"/>
        <w:pageBreakBefore/>
        <w:spacing w:after="200" w:before="0"/>
      </w:pPr>
      <w:r>
        <w:rPr>
          <w:rFonts w:ascii="Verdana" w:cs="Verdana" w:eastAsia="Verdana" w:hAnsi="Verdana"/>
        </w:rPr>
        <w:t xml:space="preserve">33. Transfer Pricing (Sections 161 to 173)</w:t>
      </w:r>
    </w:p>
    <w:p>
      <w:pPr>
        <w:spacing w:after="120" w:line="276"/>
        <w:jc w:val="both"/>
      </w:pPr>
      <w:r>
        <w:rPr>
          <w:rFonts w:ascii="Verdana" w:cs="Verdana" w:eastAsia="Verdana" w:hAnsi="Verdana"/>
        </w:rPr>
        <w:t xml:space="preserve">Transfer pricing ensures that transactions between related parties across borders (and some domestic ones) are priced as if they were between unrelated parties. This is the </w:t>
      </w:r>
      <w:r>
        <w:rPr>
          <w:rFonts w:ascii="Verdana" w:cs="Verdana" w:eastAsia="Verdana" w:hAnsi="Verdana"/>
          <w:b/>
          <w:bCs/>
        </w:rPr>
        <w:t xml:space="preserve">arm's length price</w:t>
      </w:r>
      <w:r>
        <w:rPr>
          <w:rFonts w:ascii="Verdana" w:cs="Verdana" w:eastAsia="Verdana" w:hAnsi="Verdana"/>
        </w:rPr>
        <w:t xml:space="preserve"> (ALP). The principles are unchanged from the 1961 Act; only section numbers and forms have changed.</w:t>
      </w:r>
    </w:p>
    <w:p>
      <w:pPr>
        <w:pStyle w:val="Heading2"/>
        <w:keepNext/>
        <w:spacing w:after="120" w:before="240"/>
      </w:pPr>
      <w:r>
        <w:rPr>
          <w:rFonts w:ascii="Verdana" w:cs="Verdana" w:eastAsia="Verdana" w:hAnsi="Verdana"/>
        </w:rPr>
        <w:t xml:space="preserve">33.1 Section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000"/>
        <w:gridCol w:w="2000"/>
      </w:tblGrid>
      <w:tr>
        <w:trPr>
          <w:cantSplit/>
          <w:tblHeader/>
        </w:trPr>
        <w:tc>
          <w:tcPr>
            <w:tcW w:type="dxa" w:w="5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Topic</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Computation of income having regard to ALP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Associated enterprise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92A</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International transaction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92B</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domestic transaction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92BA</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Determination of ALP, methods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92C</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Reference to Transfer Pricing Officer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92CA</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Safe harbour rules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92CB</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pricing agreement and its effect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168, 169</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92CC, 92CD</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Secondary adjustment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92CE</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Documentation, master file, CbCR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92D</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Accountant's report (Form 48, old 3CEB)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92E</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Definitions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92F</w:t>
            </w:r>
          </w:p>
        </w:tc>
      </w:tr>
    </w:tbl>
    <w:p>
      <w:pPr>
        <w:spacing w:after="60"/>
      </w:pPr>
    </w:p>
    <w:p>
      <w:pPr>
        <w:pStyle w:val="Heading2"/>
        <w:keepNext/>
        <w:spacing w:after="120" w:before="240"/>
      </w:pPr>
      <w:r>
        <w:rPr>
          <w:rFonts w:ascii="Verdana" w:cs="Verdana" w:eastAsia="Verdana" w:hAnsi="Verdana"/>
        </w:rPr>
        <w:t xml:space="preserve">33.2 Who is covered</w:t>
      </w:r>
    </w:p>
    <w:p>
      <w:pPr>
        <w:pStyle w:val="ListParagraph"/>
        <w:numPr>
          <w:ilvl w:val="0"/>
          <w:numId w:val="2"/>
        </w:numPr>
        <w:spacing w:after="60" w:line="264"/>
      </w:pPr>
      <w:r>
        <w:rPr>
          <w:rFonts w:ascii="Verdana" w:cs="Verdana" w:eastAsia="Verdana" w:hAnsi="Verdana"/>
          <w:b/>
          <w:bCs/>
        </w:rPr>
        <w:t xml:space="preserve">Associated enterprises (section 162):</w:t>
      </w:r>
      <w:r>
        <w:rPr>
          <w:rFonts w:ascii="Verdana" w:cs="Verdana" w:eastAsia="Verdana" w:hAnsi="Verdana"/>
        </w:rPr>
        <w:t xml:space="preserve"> one enterprise participates in the management, control or capital of the other, directly or indirectly, or common persons participate in both. Deemed tests include holding 26% or more of voting power, loans of 51% or more of total assets, guarantees of 10% or more of borrowings, appointment of more than half the board, and dependence for raw materials or intangibles.</w:t>
      </w:r>
    </w:p>
    <w:p>
      <w:pPr>
        <w:pStyle w:val="ListParagraph"/>
        <w:numPr>
          <w:ilvl w:val="0"/>
          <w:numId w:val="2"/>
        </w:numPr>
        <w:spacing w:after="60" w:line="264"/>
      </w:pPr>
      <w:r>
        <w:rPr>
          <w:rFonts w:ascii="Verdana" w:cs="Verdana" w:eastAsia="Verdana" w:hAnsi="Verdana"/>
          <w:b/>
          <w:bCs/>
        </w:rPr>
        <w:t xml:space="preserve">International transaction (section 163):</w:t>
      </w:r>
      <w:r>
        <w:rPr>
          <w:rFonts w:ascii="Verdana" w:cs="Verdana" w:eastAsia="Verdana" w:hAnsi="Verdana"/>
        </w:rPr>
        <w:t xml:space="preserve"> a transaction between two or more AEs, at least one of which is a non-resident, including purchase and sale of goods, services, loans, guarantees, cost sharing, intangibles and business restructuring.</w:t>
      </w:r>
    </w:p>
    <w:p>
      <w:pPr>
        <w:pStyle w:val="ListParagraph"/>
        <w:numPr>
          <w:ilvl w:val="0"/>
          <w:numId w:val="2"/>
        </w:numPr>
        <w:spacing w:after="60" w:line="264"/>
      </w:pPr>
      <w:r>
        <w:rPr>
          <w:rFonts w:ascii="Verdana" w:cs="Verdana" w:eastAsia="Verdana" w:hAnsi="Verdana"/>
          <w:b/>
          <w:bCs/>
        </w:rPr>
        <w:t xml:space="preserve">Specified domestic transaction (section 164):</w:t>
      </w:r>
      <w:r>
        <w:rPr>
          <w:rFonts w:ascii="Verdana" w:cs="Verdana" w:eastAsia="Verdana" w:hAnsi="Verdana"/>
        </w:rPr>
        <w:t xml:space="preserve"> transactions of tax holiday units with related parties, where the aggregate exceeds </w:t>
      </w:r>
      <w:r>
        <w:rPr>
          <w:rFonts w:ascii="Verdana" w:cs="Verdana" w:eastAsia="Verdana" w:hAnsi="Verdana"/>
          <w:b/>
          <w:bCs/>
        </w:rPr>
        <w:t xml:space="preserve">Rs. 20 crore</w:t>
      </w:r>
      <w:r>
        <w:rPr>
          <w:rFonts w:ascii="Verdana" w:cs="Verdana" w:eastAsia="Verdana" w:hAnsi="Verdana"/>
        </w:rPr>
        <w:t xml:space="preserve"> in the year.</w:t>
      </w:r>
    </w:p>
    <w:p>
      <w:pPr>
        <w:pStyle w:val="Heading2"/>
        <w:keepNext/>
        <w:spacing w:after="120" w:before="240"/>
      </w:pPr>
      <w:r>
        <w:rPr>
          <w:rFonts w:ascii="Verdana" w:cs="Verdana" w:eastAsia="Verdana" w:hAnsi="Verdana"/>
        </w:rPr>
        <w:t xml:space="preserve">33.3 Methods and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Method</w:t>
            </w:r>
          </w:p>
        </w:tc>
        <w:tc>
          <w:tcPr>
            <w:tcW w:type="dxa" w:w="6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When commonly used</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Comparable Uncontrolled Price (CUP)</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Commodities, interest rates, royalties with good external data</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Resale Price Method (RPM)</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Distributors that resell without much value addition</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Cost-plus Method (CPM)</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Contract manufacturers, semi-finished goods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 Split Method (PSM)</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Highly integrated operations, unique intangibles on both sides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Transactional Net Margin Method (TNMM)</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Most service providers and distributors; compares net margins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method</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method that gives an arm's length result, e.g. valuation methods</w:t>
            </w:r>
          </w:p>
        </w:tc>
      </w:tr>
    </w:tbl>
    <w:p>
      <w:pPr>
        <w:spacing w:after="60"/>
      </w:pPr>
    </w:p>
    <w:p>
      <w:pPr>
        <w:spacing w:after="120" w:line="276"/>
        <w:jc w:val="both"/>
      </w:pPr>
      <w:r>
        <w:rPr>
          <w:rFonts w:ascii="Verdana" w:cs="Verdana" w:eastAsia="Verdana" w:hAnsi="Verdana"/>
        </w:rPr>
        <w:t xml:space="preserve">Where six or more comparables are available, the </w:t>
      </w:r>
      <w:r>
        <w:rPr>
          <w:rFonts w:ascii="Verdana" w:cs="Verdana" w:eastAsia="Verdana" w:hAnsi="Verdana"/>
          <w:b/>
          <w:bCs/>
        </w:rPr>
        <w:t xml:space="preserve">range</w:t>
      </w:r>
      <w:r>
        <w:rPr>
          <w:rFonts w:ascii="Verdana" w:cs="Verdana" w:eastAsia="Verdana" w:hAnsi="Verdana"/>
        </w:rPr>
        <w:t xml:space="preserve"> is the 35th to 65th percentile of their results; if the transaction price is within the range, no adjustment is made; if outside, the </w:t>
      </w:r>
      <w:r>
        <w:rPr>
          <w:rFonts w:ascii="Verdana" w:cs="Verdana" w:eastAsia="Verdana" w:hAnsi="Verdana"/>
          <w:b/>
          <w:bCs/>
        </w:rPr>
        <w:t xml:space="preserve">median</w:t>
      </w:r>
      <w:r>
        <w:rPr>
          <w:rFonts w:ascii="Verdana" w:cs="Verdana" w:eastAsia="Verdana" w:hAnsi="Verdana"/>
        </w:rPr>
        <w:t xml:space="preserve"> is taken. With fewer than six comparables, the arithmetic mean is used with a tolerance of 3% (1% for wholesale traders). Multiple year data can be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125: Software services to the US parent</w:t>
            </w:r>
          </w:p>
          <w:p>
            <w:pPr>
              <w:spacing w:after="60" w:line="260"/>
            </w:pPr>
            <w:r>
              <w:rPr>
                <w:rFonts w:ascii="Verdana" w:cs="Verdana" w:eastAsia="Verdana" w:hAnsi="Verdana"/>
                <w:sz w:val="20"/>
                <w:szCs w:val="20"/>
              </w:rPr>
              <w:t xml:space="preserve">Indus Tech Pvt. Ltd. provides software development services to its US parent. Total cost Rs. 50 crore; it charges cost-plus 10% = Rs. 55 crore. Using TNMM, the operating margins on cost of 12 comparable companies give a range of 13% to 19%, with a median of 16%.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Price charged (cost-plus 10%)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55,00,00,000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Mark-up is below the range (13% to 19%), so the median of 16% applies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Arm's length price (50 crore x 1.16)</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58,00,00,000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Transfer pricing adjustment (primary adjustment)</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3,00,00,000</w:t>
            </w:r>
          </w:p>
        </w:tc>
      </w:tr>
    </w:tbl>
    <w:p>
      <w:pPr>
        <w:spacing w:after="60"/>
      </w:pPr>
    </w:p>
    <w:p>
      <w:pPr>
        <w:spacing w:after="120" w:line="276"/>
        <w:jc w:val="both"/>
      </w:pPr>
      <w:r>
        <w:rPr>
          <w:rFonts w:ascii="Verdana" w:cs="Verdana" w:eastAsia="Verdana" w:hAnsi="Verdana"/>
        </w:rPr>
        <w:t xml:space="preserve">The Rs. 3 crore is added to Indus Tech's income. Because the primary adjustment exceeds Rs. 1 crore, a </w:t>
      </w:r>
      <w:r>
        <w:rPr>
          <w:rFonts w:ascii="Verdana" w:cs="Verdana" w:eastAsia="Verdana" w:hAnsi="Verdana"/>
          <w:b/>
          <w:bCs/>
        </w:rPr>
        <w:t xml:space="preserve">secondary adjustment</w:t>
      </w:r>
      <w:r>
        <w:rPr>
          <w:rFonts w:ascii="Verdana" w:cs="Verdana" w:eastAsia="Verdana" w:hAnsi="Verdana"/>
        </w:rPr>
        <w:t xml:space="preserve"> under section 170 also applies: the excess money of Rs. 3 crore must be brought into India within 90 days, failing which it is treated as an advance to the parent and interest is imputed each year. Alternatively, the company may pay a one-time additional tax of 18% (plus surcharge and cess) on the Rs. 3 crore, which works out to about Rs. 54 lakh before surcharge and cess.</w:t>
      </w:r>
    </w:p>
    <w:p>
      <w:pPr>
        <w:pStyle w:val="Heading2"/>
        <w:keepNext/>
        <w:spacing w:after="120" w:before="240"/>
      </w:pPr>
      <w:r>
        <w:rPr>
          <w:rFonts w:ascii="Verdana" w:cs="Verdana" w:eastAsia="Verdana" w:hAnsi="Verdana"/>
        </w:rPr>
        <w:t xml:space="preserve">33.4 Safe harbour (section 167) and advance pricing agreements (sections 168, 169)</w:t>
      </w:r>
    </w:p>
    <w:p>
      <w:pPr>
        <w:spacing w:after="120" w:line="276"/>
        <w:jc w:val="both"/>
      </w:pPr>
      <w:r>
        <w:rPr>
          <w:rFonts w:ascii="Verdana" w:cs="Verdana" w:eastAsia="Verdana" w:hAnsi="Verdana"/>
          <w:b/>
          <w:bCs/>
        </w:rPr>
        <w:t xml:space="preserve">Safe harbour</w:t>
      </w:r>
      <w:r>
        <w:rPr>
          <w:rFonts w:ascii="Verdana" w:cs="Verdana" w:eastAsia="Verdana" w:hAnsi="Verdana"/>
        </w:rPr>
        <w:t xml:space="preserve"> margins are accepted by the department without scrutiny. From Budget 2026, IT and IT enabled services providers with international transactions up to </w:t>
      </w:r>
      <w:r>
        <w:rPr>
          <w:rFonts w:ascii="Verdana" w:cs="Verdana" w:eastAsia="Verdana" w:hAnsi="Verdana"/>
          <w:b/>
          <w:bCs/>
        </w:rPr>
        <w:t xml:space="preserve">Rs. 2,000 crore</w:t>
      </w:r>
      <w:r>
        <w:rPr>
          <w:rFonts w:ascii="Verdana" w:cs="Verdana" w:eastAsia="Verdana" w:hAnsi="Verdana"/>
        </w:rPr>
        <w:t xml:space="preserve"> (earlier Rs. 300 crore) can opt for a single safe harbour margin of </w:t>
      </w:r>
      <w:r>
        <w:rPr>
          <w:rFonts w:ascii="Verdana" w:cs="Verdana" w:eastAsia="Verdana" w:hAnsi="Verdana"/>
          <w:b/>
          <w:bCs/>
        </w:rPr>
        <w:t xml:space="preserve">15.5%</w:t>
      </w:r>
      <w:r>
        <w:rPr>
          <w:rFonts w:ascii="Verdana" w:cs="Verdana" w:eastAsia="Verdana" w:hAnsi="Verdana"/>
        </w:rPr>
        <w:t xml:space="preserve"> on operating cost, through an automated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126: Safe harbour check</w:t>
            </w:r>
          </w:p>
          <w:p>
            <w:pPr>
              <w:spacing w:after="60" w:line="260"/>
            </w:pPr>
            <w:r>
              <w:rPr>
                <w:rFonts w:ascii="Verdana" w:cs="Verdana" w:eastAsia="Verdana" w:hAnsi="Verdana"/>
                <w:sz w:val="20"/>
                <w:szCs w:val="20"/>
              </w:rPr>
              <w:t xml:space="preserve">If Indus Tech had charged cost-plus 15.5% (Rs. 57.75 crore) and opted for safe harbour, the price would have been accepted without benchmarking, avoiding the Rs. 3 crore adjustment and the secondary adjustment.</w:t>
            </w:r>
          </w:p>
        </w:tc>
      </w:tr>
    </w:tbl>
    <w:p>
      <w:pPr>
        <w:spacing w:after="60"/>
      </w:pPr>
    </w:p>
    <w:p>
      <w:pPr>
        <w:spacing w:after="120" w:line="276"/>
        <w:jc w:val="both"/>
      </w:pPr>
      <w:r>
        <w:rPr>
          <w:rFonts w:ascii="Verdana" w:cs="Verdana" w:eastAsia="Verdana" w:hAnsi="Verdana"/>
        </w:rPr>
        <w:t xml:space="preserve">An </w:t>
      </w:r>
      <w:r>
        <w:rPr>
          <w:rFonts w:ascii="Verdana" w:cs="Verdana" w:eastAsia="Verdana" w:hAnsi="Verdana"/>
          <w:b/>
          <w:bCs/>
        </w:rPr>
        <w:t xml:space="preserve">APA</w:t>
      </w:r>
      <w:r>
        <w:rPr>
          <w:rFonts w:ascii="Verdana" w:cs="Verdana" w:eastAsia="Verdana" w:hAnsi="Verdana"/>
        </w:rPr>
        <w:t xml:space="preserve"> fixes the method or price for up to five future years, with rollback for four earlier years. Unilateral APAs for IT services are to be concluded within two years. From 1 April 2026, where an APA or a mutual agreement reduces the Indian entity's income, the associated enterprise can file a modified return to claim a refund of tax withheld or paid.</w:t>
      </w:r>
    </w:p>
    <w:p>
      <w:pPr>
        <w:pStyle w:val="Heading2"/>
        <w:keepNext/>
        <w:spacing w:after="120" w:before="240"/>
      </w:pPr>
      <w:r>
        <w:rPr>
          <w:rFonts w:ascii="Verdana" w:cs="Verdana" w:eastAsia="Verdana" w:hAnsi="Verdana"/>
        </w:rPr>
        <w:t xml:space="preserve">33.5 Documentation and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3600"/>
        <w:gridCol w:w="2600"/>
      </w:tblGrid>
      <w:tr>
        <w:trPr>
          <w:cantSplit/>
          <w:tblHeader/>
        </w:trPr>
        <w:tc>
          <w:tcPr>
            <w:tcW w:type="dxa" w:w="3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Requirement</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Threshold</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 and due date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 documentation (functional analysis, benchmarking)</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Aggregate international transactions above Rs. 1 crore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Kept on file; produced on request</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Accountant's report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international transaction or SDT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 48 (old 3CEB), by 31 October</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Master file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Group revenue above Rs. 500 crore and international transactions above Rs. 50 crore (or intangibles above Rs. 10 crore)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 56 (old 3CEAA)</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Country-by-country report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Group consolidated revenue of Rs. 6,400 crore or more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 59 (old 3CEAD), within 12 months of year-end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Failure to maintain documentation or report transactions attracts penalties of 2% of the transaction value in the old law; the Finance Act 2026 converted delays in filing the accountant's report into a graded fee. Keep contemporaneous documentation: it is the first line of defence in a TP audit.</w:t>
            </w:r>
          </w:p>
        </w:tc>
      </w:tr>
    </w:tbl>
    <w:p>
      <w:pPr>
        <w:spacing w:after="60"/>
      </w:pPr>
    </w:p>
    <w:p>
      <w:pPr>
        <w:pStyle w:val="Heading2"/>
        <w:keepNext/>
        <w:spacing w:after="120" w:before="240"/>
      </w:pPr>
      <w:r>
        <w:rPr>
          <w:rFonts w:ascii="Verdana" w:cs="Verdana" w:eastAsia="Verdana" w:hAnsi="Verdana"/>
        </w:rPr>
        <w:t xml:space="preserve">33.6 Block assessment option for transfer pricing</w:t>
      </w:r>
    </w:p>
    <w:p>
      <w:pPr>
        <w:spacing w:after="120" w:line="276"/>
        <w:jc w:val="both"/>
      </w:pPr>
      <w:r>
        <w:rPr>
          <w:rFonts w:ascii="Verdana" w:cs="Verdana" w:eastAsia="Verdana" w:hAnsi="Verdana"/>
        </w:rPr>
        <w:t xml:space="preserve">The Finance Act 2025 introduced an option where the ALP determined for a transaction in one year can, at the taxpayer's request, be applied to the same transaction in the next two years, reducing repeated audits of recurring transactions.</w:t>
      </w:r>
    </w:p>
    <w:p>
      <w:pPr>
        <w:pStyle w:val="Heading2"/>
        <w:keepNext/>
        <w:spacing w:after="120" w:before="240"/>
      </w:pPr>
      <w:r>
        <w:rPr>
          <w:rFonts w:ascii="Verdana" w:cs="Verdana" w:eastAsia="Verdana" w:hAnsi="Verdana"/>
        </w:rPr>
        <w:t xml:space="preserve">33.7 Functional analysis: the heart of transfer pricing</w:t>
      </w:r>
    </w:p>
    <w:p>
      <w:pPr>
        <w:spacing w:after="120" w:line="276"/>
        <w:jc w:val="both"/>
      </w:pPr>
      <w:r>
        <w:rPr>
          <w:rFonts w:ascii="Verdana" w:cs="Verdana" w:eastAsia="Verdana" w:hAnsi="Verdana"/>
        </w:rPr>
        <w:t xml:space="preserve">Every transfer pricing study starts with a </w:t>
      </w:r>
      <w:r>
        <w:rPr>
          <w:rFonts w:ascii="Verdana" w:cs="Verdana" w:eastAsia="Verdana" w:hAnsi="Verdana"/>
          <w:b/>
          <w:bCs/>
        </w:rPr>
        <w:t xml:space="preserve">FAR analysis</w:t>
      </w:r>
      <w:r>
        <w:rPr>
          <w:rFonts w:ascii="Verdana" w:cs="Verdana" w:eastAsia="Verdana" w:hAnsi="Verdana"/>
        </w:rPr>
        <w:t xml:space="preserve">: the functions performed, assets used and risks assumed by each party. It decides which party is the "tested party" (usually the less complex one), which method fits, and what kind of comparables are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3700"/>
        <w:gridCol w:w="3700"/>
      </w:tblGrid>
      <w:tr>
        <w:trPr>
          <w:cantSplit/>
          <w:tblHeader/>
        </w:trPr>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Aspect</w:t>
            </w:r>
          </w:p>
        </w:tc>
        <w:tc>
          <w:tcPr>
            <w:tcW w:type="dxa" w:w="3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Contract service provider (typical Indian captive)</w:t>
            </w:r>
          </w:p>
        </w:tc>
        <w:tc>
          <w:tcPr>
            <w:tcW w:type="dxa" w:w="3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Entrepreneur (typical foreign parent)</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Functions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Performs development work as directed</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Strategy, client acquisition, product decisions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Workforce, office, IT equipment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Intangibles, brand, customer relationships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Risks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Limited: service risk only; paid cost-plus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Market, credit, product and foreign exchange risk</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Expected return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Stable, routine mark up on cost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Residual profit or loss</w:t>
            </w:r>
          </w:p>
        </w:tc>
      </w:tr>
    </w:tbl>
    <w:p>
      <w:pPr>
        <w:spacing w:after="60"/>
      </w:pPr>
    </w:p>
    <w:p>
      <w:pPr>
        <w:pStyle w:val="Heading2"/>
        <w:keepNext/>
        <w:spacing w:after="120" w:before="240"/>
      </w:pPr>
      <w:r>
        <w:rPr>
          <w:rFonts w:ascii="Verdana" w:cs="Verdana" w:eastAsia="Verdana" w:hAnsi="Verdana"/>
        </w:rPr>
        <w:t xml:space="preserve">33.8 Benchmarking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8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Description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Understand the industry and the business of the taxpayer and the group</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Identify international transactions and characterise the entity (FAR)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Select the most appropriate method and the tested party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Search databases (Prowess, Capitaline and similar) for comparable companies using filters: industry, turnover, related party transactions below 25%, persistent losses, different year-end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Reject companies with different functions or significant intangibles, and document reasons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Compute the profit level indicator (for example, operating profit on operating cost) for each comparable, using current year and up to two prior years' data as allowed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Apply the range (35th to 65th percentile) or arithmetic mean with tolerance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c>
          <w:tcPr>
            <w:tcW w:type="dxa" w:w="8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Make adjustments for differences (working capital, risk) where reliable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127: Computing the range</w:t>
            </w:r>
          </w:p>
          <w:p>
            <w:pPr>
              <w:spacing w:after="60" w:line="260"/>
            </w:pPr>
            <w:r>
              <w:rPr>
                <w:rFonts w:ascii="Verdana" w:cs="Verdana" w:eastAsia="Verdana" w:hAnsi="Verdana"/>
                <w:sz w:val="20"/>
                <w:szCs w:val="20"/>
              </w:rPr>
              <w:t xml:space="preserve">Eight comparables have weighted average margins on cost of: 9%, 11%, 12%, 14%, 15%, 17%, 18%, 22%. Sorted, n = 8.</w:t>
            </w:r>
          </w:p>
          <w:p>
            <w:pPr>
              <w:spacing w:after="60" w:line="260"/>
            </w:pPr>
            <w:r>
              <w:rPr>
                <w:rFonts w:ascii="Verdana" w:cs="Verdana" w:eastAsia="Verdana" w:hAnsi="Verdana"/>
                <w:sz w:val="20"/>
                <w:szCs w:val="20"/>
              </w:rPr>
              <w:t xml:space="preserve">35th percentile: 8 x 35% = 2.8, not a whole number, so take the next higher, the 3rd value = </w:t>
            </w:r>
            <w:r>
              <w:rPr>
                <w:rFonts w:ascii="Verdana" w:cs="Verdana" w:eastAsia="Verdana" w:hAnsi="Verdana"/>
                <w:b/>
                <w:bCs/>
                <w:sz w:val="20"/>
                <w:szCs w:val="20"/>
              </w:rPr>
              <w:t xml:space="preserve">12%</w:t>
            </w:r>
            <w:r>
              <w:rPr>
                <w:rFonts w:ascii="Verdana" w:cs="Verdana" w:eastAsia="Verdana" w:hAnsi="Verdana"/>
                <w:sz w:val="20"/>
                <w:szCs w:val="20"/>
              </w:rPr>
              <w:t xml:space="preserve">. 65th percentile: 8 x 65% = 5.2, so the 6th value = </w:t>
            </w:r>
            <w:r>
              <w:rPr>
                <w:rFonts w:ascii="Verdana" w:cs="Verdana" w:eastAsia="Verdana" w:hAnsi="Verdana"/>
                <w:b/>
                <w:bCs/>
                <w:sz w:val="20"/>
                <w:szCs w:val="20"/>
              </w:rPr>
              <w:t xml:space="preserve">17%</w:t>
            </w:r>
            <w:r>
              <w:rPr>
                <w:rFonts w:ascii="Verdana" w:cs="Verdana" w:eastAsia="Verdana" w:hAnsi="Verdana"/>
                <w:sz w:val="20"/>
                <w:szCs w:val="20"/>
              </w:rPr>
              <w:t xml:space="preserve">. Median: 8 x 50% = 4, a whole number, so the average of the 4th and 5th values = (14% + 15%) / 2 = </w:t>
            </w:r>
            <w:r>
              <w:rPr>
                <w:rFonts w:ascii="Verdana" w:cs="Verdana" w:eastAsia="Verdana" w:hAnsi="Verdana"/>
                <w:b/>
                <w:bCs/>
                <w:sz w:val="20"/>
                <w:szCs w:val="20"/>
              </w:rPr>
              <w:t xml:space="preserve">14.5%</w:t>
            </w:r>
            <w:r>
              <w:rPr>
                <w:rFonts w:ascii="Verdana" w:cs="Verdana" w:eastAsia="Verdana" w:hAnsi="Verdana"/>
                <w:sz w:val="20"/>
                <w:szCs w:val="20"/>
              </w:rPr>
              <w:t xml:space="preserve">.</w:t>
            </w:r>
          </w:p>
          <w:p>
            <w:pPr>
              <w:spacing w:after="60" w:line="260"/>
            </w:pPr>
            <w:r>
              <w:rPr>
                <w:rFonts w:ascii="Verdana" w:cs="Verdana" w:eastAsia="Verdana" w:hAnsi="Verdana"/>
                <w:sz w:val="20"/>
                <w:szCs w:val="20"/>
              </w:rPr>
              <w:t xml:space="preserve">If the taxpayer's margin is 13%, it is within 12% to 17%: no adjustment. If it is 10%, the ALP is at the median of 14.5%.</w:t>
            </w:r>
          </w:p>
        </w:tc>
      </w:tr>
    </w:tbl>
    <w:p>
      <w:pPr>
        <w:spacing w:after="60"/>
      </w:pPr>
    </w:p>
    <w:p>
      <w:pPr>
        <w:pStyle w:val="Heading2"/>
        <w:keepNext/>
        <w:spacing w:after="120" w:before="240"/>
      </w:pPr>
      <w:r>
        <w:rPr>
          <w:rFonts w:ascii="Verdana" w:cs="Verdana" w:eastAsia="Verdana" w:hAnsi="Verdana"/>
        </w:rPr>
        <w:t xml:space="preserve">33.9 Common types of transactions</w:t>
      </w:r>
    </w:p>
    <w:p>
      <w:pPr>
        <w:pStyle w:val="Heading3"/>
        <w:keepNext/>
        <w:spacing w:after="80" w:before="160"/>
      </w:pPr>
      <w:r>
        <w:rPr>
          <w:rFonts w:ascii="Verdana" w:cs="Verdana" w:eastAsia="Verdana" w:hAnsi="Verdana"/>
        </w:rPr>
        <w:t xml:space="preserve">Intra-group services and management fees</w:t>
      </w:r>
    </w:p>
    <w:p>
      <w:pPr>
        <w:spacing w:after="120" w:line="276"/>
        <w:jc w:val="both"/>
      </w:pPr>
      <w:r>
        <w:rPr>
          <w:rFonts w:ascii="Verdana" w:cs="Verdana" w:eastAsia="Verdana" w:hAnsi="Verdana"/>
        </w:rPr>
        <w:t xml:space="preserve">Payments by an Indian entity to its parent for management, IT support or brand services are closely examined. The taxpayer must show (a) the services were actually rendered, (b) they gave a real benefit, (c) they were not duplicative or shareholder activities, and (d) the charge is at arm's length. Keep emails, reports, timesheets and cost allocation workings.</w:t>
      </w:r>
    </w:p>
    <w:p>
      <w:pPr>
        <w:pStyle w:val="Heading3"/>
        <w:keepNext/>
        <w:spacing w:after="80" w:before="160"/>
      </w:pPr>
      <w:r>
        <w:rPr>
          <w:rFonts w:ascii="Verdana" w:cs="Verdana" w:eastAsia="Verdana" w:hAnsi="Verdana"/>
        </w:rPr>
        <w:t xml:space="preserve">Loans and guarantees</w:t>
      </w:r>
    </w:p>
    <w:p>
      <w:pPr>
        <w:spacing w:after="120" w:line="276"/>
        <w:jc w:val="both"/>
      </w:pPr>
      <w:r>
        <w:rPr>
          <w:rFonts w:ascii="Verdana" w:cs="Verdana" w:eastAsia="Verdana" w:hAnsi="Verdana"/>
        </w:rPr>
        <w:t xml:space="preserve">Interest on loans to or from AEs is benchmarked against market rates in the currency of the loan (often SOFR or a similar reference rate plus a credit spread based on the borrower's credit rating). Corporate guarantees given by the Indian parent for loans to its foreign subsidiaries are international transactions; tribunals have often accepted guarantee fees of 0.5% to 1% of the guaranteed amount, depending on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128: Outbound loan</w:t>
            </w:r>
          </w:p>
          <w:p>
            <w:pPr>
              <w:spacing w:after="60" w:line="260"/>
            </w:pPr>
            <w:r>
              <w:rPr>
                <w:rFonts w:ascii="Verdana" w:cs="Verdana" w:eastAsia="Verdana" w:hAnsi="Verdana"/>
                <w:sz w:val="20"/>
                <w:szCs w:val="20"/>
              </w:rPr>
              <w:t xml:space="preserve">An Indian company lends USD 10 million to its US subsidiary at 2% interest. The subsidiary's credit rating implies a market rate of SOFR plus 3%, about 7.5% when SOFR is 4.5%. The Indian company charged 5.5% less than arm's length, so an adjustment of about USD 550,000 a year is likely. Converting at Rs. 84, the adjustment is about Rs. 4.6 crore, with a secondary adjustment obligation since it exceeds Rs. 1 crore.</w:t>
            </w:r>
          </w:p>
        </w:tc>
      </w:tr>
    </w:tbl>
    <w:p>
      <w:pPr>
        <w:spacing w:after="60"/>
      </w:pPr>
    </w:p>
    <w:p>
      <w:pPr>
        <w:pStyle w:val="Heading3"/>
        <w:keepNext/>
        <w:spacing w:after="80" w:before="160"/>
      </w:pPr>
      <w:r>
        <w:rPr>
          <w:rFonts w:ascii="Verdana" w:cs="Verdana" w:eastAsia="Verdana" w:hAnsi="Verdana"/>
        </w:rPr>
        <w:t xml:space="preserve">Marketing intangibles and AMP expenses</w:t>
      </w:r>
    </w:p>
    <w:p>
      <w:pPr>
        <w:spacing w:after="120" w:line="276"/>
        <w:jc w:val="both"/>
      </w:pPr>
      <w:r>
        <w:rPr>
          <w:rFonts w:ascii="Verdana" w:cs="Verdana" w:eastAsia="Verdana" w:hAnsi="Verdana"/>
        </w:rPr>
        <w:t xml:space="preserve">Indian distributors of foreign brands that incur high advertising, marketing and promotion (AMP) expenses have faced claims that they are building the foreign brand owner's intangible and should be compensated. Courts have held that AMP is not automatically a separate international transaction; the revenue must show an arrangement. Distributors should document that AMP benefits their own sales and that their margins already reflect the functions performed.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Advertising, marketing and promotion expenses</w:t>
            </w:r>
          </w:p>
          <w:p>
            <w:pPr>
              <w:spacing w:after="60" w:line="260"/>
            </w:pPr>
            <w:r>
              <w:rPr>
                <w:rFonts w:ascii="Verdana" w:cs="Verdana" w:eastAsia="Verdana" w:hAnsi="Verdana"/>
                <w:b/>
                <w:bCs/>
                <w:sz w:val="20"/>
                <w:szCs w:val="20"/>
              </w:rPr>
              <w:t xml:space="preserve">Sony Ericsson Mobile Communications India (P) Ltd. v. CIT (Delhi High Court, 2015):</w:t>
            </w:r>
            <w:r>
              <w:rPr>
                <w:rFonts w:ascii="Verdana" w:cs="Verdana" w:eastAsia="Verdana" w:hAnsi="Verdana"/>
                <w:sz w:val="20"/>
                <w:szCs w:val="20"/>
              </w:rPr>
              <w:t xml:space="preserve"> rejected the "bright line test" for AMP and held that, where the distributor's overall margins are at arm's length under TNMM, a separate adjustment for AMP is generally not warranted.</w:t>
            </w:r>
          </w:p>
          <w:p>
            <w:pPr>
              <w:spacing w:after="60" w:line="260"/>
            </w:pPr>
            <w:r>
              <w:rPr>
                <w:rFonts w:ascii="Verdana" w:cs="Verdana" w:eastAsia="Verdana" w:hAnsi="Verdana"/>
                <w:b/>
                <w:bCs/>
                <w:sz w:val="20"/>
                <w:szCs w:val="20"/>
              </w:rPr>
              <w:t xml:space="preserve">Maruti Suzuki India Ltd. v. CIT (Delhi High Court, 2015):</w:t>
            </w:r>
            <w:r>
              <w:rPr>
                <w:rFonts w:ascii="Verdana" w:cs="Verdana" w:eastAsia="Verdana" w:hAnsi="Verdana"/>
                <w:sz w:val="20"/>
                <w:szCs w:val="20"/>
              </w:rPr>
              <w:t xml:space="preserve"> AMP spending is not an international transaction unless the revenue shows, with evidence, an arrangement with the foreign AE for such spending.</w:t>
            </w:r>
          </w:p>
        </w:tc>
      </w:tr>
    </w:tbl>
    <w:p>
      <w:pPr>
        <w:spacing w:after="60"/>
      </w:pPr>
    </w:p>
    <w:p>
      <w:pPr>
        <w:pStyle w:val="Heading2"/>
        <w:keepNext/>
        <w:spacing w:after="120" w:before="240"/>
      </w:pPr>
      <w:r>
        <w:rPr>
          <w:rFonts w:ascii="Verdana" w:cs="Verdana" w:eastAsia="Verdana" w:hAnsi="Verdana"/>
        </w:rPr>
        <w:t xml:space="preserve">33.10 Transfer pricing audit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4700"/>
        <w:gridCol w:w="2700"/>
      </w:tblGrid>
      <w:tr>
        <w:trPr>
          <w:cantSplit/>
          <w:tblHeader/>
        </w:trPr>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4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happens</w:t>
            </w:r>
          </w:p>
        </w:tc>
        <w:tc>
          <w:tcPr>
            <w:tcW w:type="dxa" w:w="2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frame (broad)</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Selection</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Case selected for scrutiny; the Assessing Officer refers TP matters to the TPO</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the return is filed</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TPO proceedings</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Notices, submissions, show cause on proposed adjustment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TPO order due at least 60 days before the assessment time limit</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Draft order (eligible assessees)</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Assessing Officer issues draft order incorporating TP adjustment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TPO order</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DRP</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Taxpayer objects within 30 days; DRP issues binding directions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9 months from the end of the month of the draft order</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 order and appeal</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passed per DRP directions; appeal lies to the Tribunal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1 month of DRP directions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MAP</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Taxpayer can seek relief through the competent authorities under the treaty, in parallel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Usually within 3 years of the first notification</w:t>
            </w:r>
          </w:p>
        </w:tc>
      </w:tr>
    </w:tbl>
    <w:p>
      <w:pPr>
        <w:spacing w:after="60"/>
      </w:pPr>
    </w:p>
    <w:p>
      <w:pPr>
        <w:pStyle w:val="Heading2"/>
        <w:keepNext/>
        <w:spacing w:after="120" w:before="240"/>
      </w:pPr>
      <w:r>
        <w:rPr>
          <w:rFonts w:ascii="Verdana" w:cs="Verdana" w:eastAsia="Verdana" w:hAnsi="Verdana"/>
        </w:rPr>
        <w:t xml:space="preserve">33.11 Documentation contents</w:t>
      </w:r>
    </w:p>
    <w:p>
      <w:pPr>
        <w:pStyle w:val="ListParagraph"/>
        <w:numPr>
          <w:ilvl w:val="0"/>
          <w:numId w:val="2"/>
        </w:numPr>
        <w:spacing w:after="60" w:line="264"/>
      </w:pPr>
      <w:r>
        <w:rPr>
          <w:rFonts w:ascii="Verdana" w:cs="Verdana" w:eastAsia="Verdana" w:hAnsi="Verdana"/>
        </w:rPr>
        <w:t xml:space="preserve">Ownership structure, group profile, business description of the taxpayer and AEs.</w:t>
      </w:r>
    </w:p>
    <w:p>
      <w:pPr>
        <w:pStyle w:val="ListParagraph"/>
        <w:numPr>
          <w:ilvl w:val="0"/>
          <w:numId w:val="2"/>
        </w:numPr>
        <w:spacing w:after="60" w:line="264"/>
      </w:pPr>
      <w:r>
        <w:rPr>
          <w:rFonts w:ascii="Verdana" w:cs="Verdana" w:eastAsia="Verdana" w:hAnsi="Verdana"/>
        </w:rPr>
        <w:t xml:space="preserve">Nature and terms of international transactions, with contracts and invoices.</w:t>
      </w:r>
    </w:p>
    <w:p>
      <w:pPr>
        <w:pStyle w:val="ListParagraph"/>
        <w:numPr>
          <w:ilvl w:val="0"/>
          <w:numId w:val="2"/>
        </w:numPr>
        <w:spacing w:after="60" w:line="264"/>
      </w:pPr>
      <w:r>
        <w:rPr>
          <w:rFonts w:ascii="Verdana" w:cs="Verdana" w:eastAsia="Verdana" w:hAnsi="Verdana"/>
        </w:rPr>
        <w:t xml:space="preserve">Functional analysis (FAR) and the economic analysis (method selection, comparables search, rejections, final set).</w:t>
      </w:r>
    </w:p>
    <w:p>
      <w:pPr>
        <w:pStyle w:val="ListParagraph"/>
        <w:numPr>
          <w:ilvl w:val="0"/>
          <w:numId w:val="2"/>
        </w:numPr>
        <w:spacing w:after="60" w:line="264"/>
      </w:pPr>
      <w:r>
        <w:rPr>
          <w:rFonts w:ascii="Verdana" w:cs="Verdana" w:eastAsia="Verdana" w:hAnsi="Verdana"/>
        </w:rPr>
        <w:t xml:space="preserve">Forecasts, budgets and assumptions affecting pricing.</w:t>
      </w:r>
    </w:p>
    <w:p>
      <w:pPr>
        <w:pStyle w:val="ListParagraph"/>
        <w:numPr>
          <w:ilvl w:val="0"/>
          <w:numId w:val="2"/>
        </w:numPr>
        <w:spacing w:after="60" w:line="264"/>
      </w:pPr>
      <w:r>
        <w:rPr>
          <w:rFonts w:ascii="Verdana" w:cs="Verdana" w:eastAsia="Verdana" w:hAnsi="Verdana"/>
        </w:rPr>
        <w:t xml:space="preserve">Records of adjustments made, and any reasons for deviation from the ALP.</w:t>
      </w:r>
    </w:p>
    <w:p>
      <w:pPr>
        <w:pStyle w:val="ListParagraph"/>
        <w:numPr>
          <w:ilvl w:val="0"/>
          <w:numId w:val="2"/>
        </w:numPr>
        <w:spacing w:after="60" w:line="264"/>
      </w:pPr>
      <w:r>
        <w:rPr>
          <w:rFonts w:ascii="Verdana" w:cs="Verdana" w:eastAsia="Verdana" w:hAnsi="Verdana"/>
        </w:rPr>
        <w:t xml:space="preserve">Master file (Form 56) and CbCR (Form 59) where thresholds are met; local file in the form of the above documentation.</w:t>
      </w:r>
    </w:p>
    <w:p>
      <w:pPr>
        <w:pStyle w:val="Heading2"/>
        <w:keepNext/>
        <w:spacing w:after="120" w:before="240"/>
      </w:pPr>
      <w:r>
        <w:rPr>
          <w:rFonts w:ascii="Verdana" w:cs="Verdana" w:eastAsia="Verdana" w:hAnsi="Verdana"/>
        </w:rPr>
        <w:t xml:space="preserve">33.12 Secondary adjustment in detail</w:t>
      </w:r>
    </w:p>
    <w:p>
      <w:pPr>
        <w:spacing w:after="120" w:line="276"/>
        <w:jc w:val="both"/>
      </w:pPr>
      <w:r>
        <w:rPr>
          <w:rFonts w:ascii="Verdana" w:cs="Verdana" w:eastAsia="Verdana" w:hAnsi="Verdana"/>
        </w:rPr>
        <w:t xml:space="preserve">Where a primary TP adjustment exceeds </w:t>
      </w:r>
      <w:r>
        <w:rPr>
          <w:rFonts w:ascii="Verdana" w:cs="Verdana" w:eastAsia="Verdana" w:hAnsi="Verdana"/>
          <w:b/>
          <w:bCs/>
        </w:rPr>
        <w:t xml:space="preserve">Rs. 1 crore</w:t>
      </w:r>
      <w:r>
        <w:rPr>
          <w:rFonts w:ascii="Verdana" w:cs="Verdana" w:eastAsia="Verdana" w:hAnsi="Verdana"/>
        </w:rPr>
        <w:t xml:space="preserve"> (made suo motu, by the TPO and accepted, under an APA, safe harbour or MAP), the excess money lying with the AE must be repatriated within </w:t>
      </w:r>
      <w:r>
        <w:rPr>
          <w:rFonts w:ascii="Verdana" w:cs="Verdana" w:eastAsia="Verdana" w:hAnsi="Verdana"/>
          <w:b/>
          <w:bCs/>
        </w:rPr>
        <w:t xml:space="preserve">90 days</w:t>
      </w:r>
      <w:r>
        <w:rPr>
          <w:rFonts w:ascii="Verdana" w:cs="Verdana" w:eastAsia="Verdana" w:hAnsi="Verdana"/>
        </w:rPr>
        <w:t xml:space="preserve">. If not, it is treated as an advance, and interest is computed each year at a rate linked to SBI rates (for rupee loans) or a benchmark plus spread (for foreign currency). Alternatively, the taxpayer may pay a one-time additional tax of 18% (plus 12% surcharge and cess) on the excess money, after which no further interest is imputed.</w:t>
      </w:r>
    </w:p>
    <w:p>
      <w:pPr>
        <w:pStyle w:val="Heading2"/>
        <w:keepNext/>
        <w:spacing w:after="120" w:before="240"/>
      </w:pPr>
      <w:r>
        <w:rPr>
          <w:rFonts w:ascii="Verdana" w:cs="Verdana" w:eastAsia="Verdana" w:hAnsi="Verdana"/>
        </w:rPr>
        <w:t xml:space="preserve">33.13 Advance pricing agreements: the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7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happens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Pre-filing consultation</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Optional meeting, possibly anonymous, to discuss feasibility</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Filed before the first year of the proposed APA term, with fee based on transaction value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Processing</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Examination of functions, assets, risks, data; site visits; for bilateral APAs, negotiation with the other country's competent authority</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Agreement</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Term of up to 5 years; rollback to up to 4 earlier years on request</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Compliance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compliance report; the APA can be cancelled for non-compliance or misrepresentation</w:t>
            </w:r>
          </w:p>
        </w:tc>
      </w:tr>
    </w:tbl>
    <w:p>
      <w:pPr>
        <w:spacing w:after="60"/>
      </w:pPr>
    </w:p>
    <w:p>
      <w:pPr>
        <w:spacing w:after="120" w:line="276"/>
        <w:jc w:val="both"/>
      </w:pPr>
      <w:r>
        <w:rPr>
          <w:rFonts w:ascii="Verdana" w:cs="Verdana" w:eastAsia="Verdana" w:hAnsi="Verdana"/>
        </w:rPr>
        <w:t xml:space="preserve">Unilateral APAs are between the taxpayer and India only; bilateral and multilateral APAs involve the treaty partners and eliminate double taxation. Budget 2026 targets completion of unilateral APAs for IT services within two years.</w:t>
      </w:r>
    </w:p>
    <w:p>
      <w:pPr>
        <w:pStyle w:val="Heading2"/>
        <w:keepNext/>
        <w:spacing w:after="120" w:before="240"/>
      </w:pPr>
      <w:r>
        <w:rPr>
          <w:rFonts w:ascii="Verdana" w:cs="Verdana" w:eastAsia="Verdana" w:hAnsi="Verdana"/>
        </w:rPr>
        <w:t xml:space="preserve">33.14 Mutual agreement procedure</w:t>
      </w:r>
    </w:p>
    <w:p>
      <w:pPr>
        <w:spacing w:after="120" w:line="276"/>
        <w:jc w:val="both"/>
      </w:pPr>
      <w:r>
        <w:rPr>
          <w:rFonts w:ascii="Verdana" w:cs="Verdana" w:eastAsia="Verdana" w:hAnsi="Verdana"/>
        </w:rPr>
        <w:t xml:space="preserve">Where a TP adjustment in India causes double taxation (the same income taxed in India and in the country of the AE), the taxpayer can request the competent authorities to resolve it under the treaty. MAP runs parallel to domestic remedies; the taxpayer must choose between the MAP resolution and the domestic appeal outcome. India has resolved many cases with the US, UK and Japan through MAP and bilateral APAs.</w:t>
      </w:r>
    </w:p>
    <w:p>
      <w:pPr>
        <w:pStyle w:val="Heading2"/>
        <w:keepNext/>
        <w:spacing w:after="120" w:before="240"/>
      </w:pPr>
      <w:r>
        <w:rPr>
          <w:rFonts w:ascii="Verdana" w:cs="Verdana" w:eastAsia="Verdana" w:hAnsi="Verdana"/>
        </w:rPr>
        <w:t xml:space="preserve">33.15 Common TP issues in Indian audits</w:t>
      </w:r>
    </w:p>
    <w:p>
      <w:pPr>
        <w:pStyle w:val="ListParagraph"/>
        <w:numPr>
          <w:ilvl w:val="0"/>
          <w:numId w:val="2"/>
        </w:numPr>
        <w:spacing w:after="60" w:line="264"/>
      </w:pPr>
      <w:r>
        <w:rPr>
          <w:rFonts w:ascii="Verdana" w:cs="Verdana" w:eastAsia="Verdana" w:hAnsi="Verdana"/>
        </w:rPr>
        <w:t xml:space="preserve">Rejection of comparables with extraordinary events or different functions, and inclusion of high margin companies by the TPO.</w:t>
      </w:r>
    </w:p>
    <w:p>
      <w:pPr>
        <w:pStyle w:val="ListParagraph"/>
        <w:numPr>
          <w:ilvl w:val="0"/>
          <w:numId w:val="2"/>
        </w:numPr>
        <w:spacing w:after="60" w:line="264"/>
      </w:pPr>
      <w:r>
        <w:rPr>
          <w:rFonts w:ascii="Verdana" w:cs="Verdana" w:eastAsia="Verdana" w:hAnsi="Verdana"/>
        </w:rPr>
        <w:t xml:space="preserve">Characterisation of captive service providers (low-risk vs entrepreneurial), especially where Indian teams do high-value work.</w:t>
      </w:r>
    </w:p>
    <w:p>
      <w:pPr>
        <w:pStyle w:val="ListParagraph"/>
        <w:numPr>
          <w:ilvl w:val="0"/>
          <w:numId w:val="2"/>
        </w:numPr>
        <w:spacing w:after="60" w:line="264"/>
      </w:pPr>
      <w:r>
        <w:rPr>
          <w:rFonts w:ascii="Verdana" w:cs="Verdana" w:eastAsia="Verdana" w:hAnsi="Verdana"/>
        </w:rPr>
        <w:t xml:space="preserve">Payments for intra-group services and royalties without evidence of benefit.</w:t>
      </w:r>
    </w:p>
    <w:p>
      <w:pPr>
        <w:pStyle w:val="ListParagraph"/>
        <w:numPr>
          <w:ilvl w:val="0"/>
          <w:numId w:val="2"/>
        </w:numPr>
        <w:spacing w:after="60" w:line="264"/>
      </w:pPr>
      <w:r>
        <w:rPr>
          <w:rFonts w:ascii="Verdana" w:cs="Verdana" w:eastAsia="Verdana" w:hAnsi="Verdana"/>
        </w:rPr>
        <w:t xml:space="preserve">Interest on outstanding receivables from AEs beyond normal credit periods.</w:t>
      </w:r>
    </w:p>
    <w:p>
      <w:pPr>
        <w:pStyle w:val="ListParagraph"/>
        <w:numPr>
          <w:ilvl w:val="0"/>
          <w:numId w:val="2"/>
        </w:numPr>
        <w:spacing w:after="60" w:line="264"/>
      </w:pPr>
      <w:r>
        <w:rPr>
          <w:rFonts w:ascii="Verdana" w:cs="Verdana" w:eastAsia="Verdana" w:hAnsi="Verdana"/>
        </w:rPr>
        <w:t xml:space="preserve">Guarantee fees for guarantees given to foreign subsidiaries.</w:t>
      </w:r>
    </w:p>
    <w:p>
      <w:pPr>
        <w:pStyle w:val="ListParagraph"/>
        <w:numPr>
          <w:ilvl w:val="0"/>
          <w:numId w:val="2"/>
        </w:numPr>
        <w:spacing w:after="60" w:line="264"/>
      </w:pPr>
      <w:r>
        <w:rPr>
          <w:rFonts w:ascii="Verdana" w:cs="Verdana" w:eastAsia="Verdana" w:hAnsi="Verdana"/>
        </w:rPr>
        <w:t xml:space="preserve">Share valuation in issue of shares to non-resident AEs (generally not an income transaction, as held by the Bombay High Court in Vodafone India Services Pvt. Ltd., 2014).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Issue of shares to a foreign parent</w:t>
            </w:r>
          </w:p>
          <w:p>
            <w:pPr>
              <w:spacing w:after="60" w:line="260"/>
            </w:pPr>
            <w:r>
              <w:rPr>
                <w:rFonts w:ascii="Verdana" w:cs="Verdana" w:eastAsia="Verdana" w:hAnsi="Verdana"/>
                <w:b/>
                <w:bCs/>
                <w:sz w:val="20"/>
                <w:szCs w:val="20"/>
              </w:rPr>
              <w:t xml:space="preserve">Vodafone India Services Pvt. Ltd. v. Union of India (Bombay High Court, 2014):</w:t>
            </w:r>
            <w:r>
              <w:rPr>
                <w:rFonts w:ascii="Verdana" w:cs="Verdana" w:eastAsia="Verdana" w:hAnsi="Verdana"/>
                <w:sz w:val="20"/>
                <w:szCs w:val="20"/>
              </w:rPr>
              <w:t xml:space="preserve"> the issue of shares by an Indian subsidiary to its foreign parent at a price allegedly below FMV did not give rise to income, as there was no income arising from the capital account transaction. Transfer pricing provisions apply only where income arises from an international transaction. The department accepted the decision.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Transactions with AEs must be at arm's length, benchmarked using prescribed methods.</w:t>
            </w:r>
          </w:p>
          <w:p>
            <w:pPr>
              <w:spacing w:after="60" w:line="260"/>
            </w:pPr>
            <w:r>
              <w:rPr>
                <w:rFonts w:ascii="Verdana" w:cs="Verdana" w:eastAsia="Verdana" w:hAnsi="Verdana"/>
                <w:sz w:val="20"/>
                <w:szCs w:val="20"/>
              </w:rPr>
              <w:t xml:space="preserve">•  Range of 35th to 65th percentile with six or more comparables; median if outside.</w:t>
            </w:r>
          </w:p>
          <w:p>
            <w:pPr>
              <w:spacing w:after="60" w:line="260"/>
            </w:pPr>
            <w:r>
              <w:rPr>
                <w:rFonts w:ascii="Verdana" w:cs="Verdana" w:eastAsia="Verdana" w:hAnsi="Verdana"/>
                <w:sz w:val="20"/>
                <w:szCs w:val="20"/>
              </w:rPr>
              <w:t xml:space="preserve">•  Safe harbour for IT services up to Rs. 2,000 crore at 15.5%; APAs give certainty.</w:t>
            </w:r>
          </w:p>
          <w:p>
            <w:pPr>
              <w:spacing w:after="60" w:line="260"/>
            </w:pPr>
            <w:r>
              <w:rPr>
                <w:rFonts w:ascii="Verdana" w:cs="Verdana" w:eastAsia="Verdana" w:hAnsi="Verdana"/>
                <w:sz w:val="20"/>
                <w:szCs w:val="20"/>
              </w:rPr>
              <w:t xml:space="preserve">•  Secondary adjustment above Rs. 1 crore: repatriate in 90 days or face imputed interest or one-time tax.</w:t>
            </w:r>
          </w:p>
          <w:p>
            <w:pPr>
              <w:spacing w:after="60" w:line="260"/>
            </w:pPr>
            <w:r>
              <w:rPr>
                <w:rFonts w:ascii="Verdana" w:cs="Verdana" w:eastAsia="Verdana" w:hAnsi="Verdana"/>
                <w:sz w:val="20"/>
                <w:szCs w:val="20"/>
              </w:rPr>
              <w:t xml:space="preserve">•  Documentation and Form 48 by 31 October.</w:t>
            </w:r>
          </w:p>
        </w:tc>
      </w:tr>
    </w:tbl>
    <w:p>
      <w:pPr>
        <w:pStyle w:val="Heading1"/>
        <w:pageBreakBefore/>
        <w:spacing w:after="200" w:before="0"/>
      </w:pPr>
      <w:r>
        <w:rPr>
          <w:rFonts w:ascii="Verdana" w:cs="Verdana" w:eastAsia="Verdana" w:hAnsi="Verdana"/>
        </w:rPr>
        <w:t xml:space="preserve">34. Anti-Avoidance Rules</w:t>
      </w:r>
    </w:p>
    <w:p>
      <w:pPr>
        <w:pStyle w:val="Heading2"/>
        <w:keepNext/>
        <w:spacing w:after="120" w:before="240"/>
      </w:pPr>
      <w:r>
        <w:rPr>
          <w:rFonts w:ascii="Verdana" w:cs="Verdana" w:eastAsia="Verdana" w:hAnsi="Verdana"/>
        </w:rPr>
        <w:t xml:space="preserve">34.1 Specific anti-avoidance provisions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800"/>
        <w:gridCol w:w="800"/>
        <w:gridCol w:w="5200"/>
      </w:tblGrid>
      <w:tr>
        <w:trPr>
          <w:cantSplit/>
          <w:tblHeader/>
        </w:trPr>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Provision</w:t>
            </w:r>
          </w:p>
        </w:tc>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w:t>
            </w:r>
          </w:p>
        </w:tc>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5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 simple words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income to non-residents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93</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that remains with a non-resident through a transfer of assets is taxed in the resident transferor's hands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Bond washing and dividend stripping</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94</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Losses from buying just before record date and selling after are disregarded</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Notified jurisdictional areas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94A</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Transactions with parties in notified non-cooperative jurisdictions: TP applies, higher TDS, strict documentation</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Limitation of interest deduction (thin capitalisation)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94B</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to non-resident AEs capped at 30% of EBITDA</w:t>
            </w:r>
          </w:p>
        </w:tc>
      </w:tr>
    </w:tbl>
    <w:p>
      <w:pPr>
        <w:spacing w:after="60"/>
      </w:pPr>
    </w:p>
    <w:p>
      <w:pPr>
        <w:pStyle w:val="Heading2"/>
        <w:keepNext/>
        <w:spacing w:after="120" w:before="240"/>
      </w:pPr>
      <w:r>
        <w:rPr>
          <w:rFonts w:ascii="Verdana" w:cs="Verdana" w:eastAsia="Verdana" w:hAnsi="Verdana"/>
        </w:rPr>
        <w:t xml:space="preserve">34.2 Thin capitalisation (section 177)</w:t>
      </w:r>
    </w:p>
    <w:p>
      <w:pPr>
        <w:spacing w:after="120" w:line="276"/>
        <w:jc w:val="both"/>
      </w:pPr>
      <w:r>
        <w:rPr>
          <w:rFonts w:ascii="Verdana" w:cs="Verdana" w:eastAsia="Verdana" w:hAnsi="Verdana"/>
        </w:rPr>
        <w:t xml:space="preserve">Where an Indian company or a PE of a foreign company pays </w:t>
      </w:r>
      <w:r>
        <w:rPr>
          <w:rFonts w:ascii="Verdana" w:cs="Verdana" w:eastAsia="Verdana" w:hAnsi="Verdana"/>
          <w:b/>
          <w:bCs/>
        </w:rPr>
        <w:t xml:space="preserve">interest exceeding Rs. 1 crore</w:t>
      </w:r>
      <w:r>
        <w:rPr>
          <w:rFonts w:ascii="Verdana" w:cs="Verdana" w:eastAsia="Verdana" w:hAnsi="Verdana"/>
        </w:rPr>
        <w:t xml:space="preserve"> to a non-resident associated enterprise (or on a loan guaranteed by an AE), the deduction is limited to </w:t>
      </w:r>
      <w:r>
        <w:rPr>
          <w:rFonts w:ascii="Verdana" w:cs="Verdana" w:eastAsia="Verdana" w:hAnsi="Verdana"/>
          <w:b/>
          <w:bCs/>
        </w:rPr>
        <w:t xml:space="preserve">30% of EBITDA</w:t>
      </w:r>
      <w:r>
        <w:rPr>
          <w:rFonts w:ascii="Verdana" w:cs="Verdana" w:eastAsia="Verdana" w:hAnsi="Verdana"/>
        </w:rPr>
        <w:t xml:space="preserve">. The excess is carried forward for 8 years. Banks, insurance companies, specified NBFCs and certain IFSC finance companies are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129: Interest cap</w:t>
            </w:r>
          </w:p>
          <w:p>
            <w:pPr>
              <w:spacing w:after="60" w:line="260"/>
            </w:pPr>
            <w:r>
              <w:rPr>
                <w:rFonts w:ascii="Verdana" w:cs="Verdana" w:eastAsia="Verdana" w:hAnsi="Verdana"/>
                <w:sz w:val="20"/>
                <w:szCs w:val="20"/>
              </w:rPr>
              <w:t xml:space="preserve">Zenith India Pvt. Ltd. pays interest of Rs. 5 crore on a loan from its Singapore parent. EBITDA is Rs. 12 crore. Allowable = 30% x 12 crore = </w:t>
            </w:r>
            <w:r>
              <w:rPr>
                <w:rFonts w:ascii="Verdana" w:cs="Verdana" w:eastAsia="Verdana" w:hAnsi="Verdana"/>
                <w:b/>
                <w:bCs/>
                <w:sz w:val="20"/>
                <w:szCs w:val="20"/>
              </w:rPr>
              <w:t xml:space="preserve">Rs. 3.6 crore</w:t>
            </w:r>
            <w:r>
              <w:rPr>
                <w:rFonts w:ascii="Verdana" w:cs="Verdana" w:eastAsia="Verdana" w:hAnsi="Verdana"/>
                <w:sz w:val="20"/>
                <w:szCs w:val="20"/>
              </w:rPr>
              <w:t xml:space="preserve">. Disallowed = </w:t>
            </w:r>
            <w:r>
              <w:rPr>
                <w:rFonts w:ascii="Verdana" w:cs="Verdana" w:eastAsia="Verdana" w:hAnsi="Verdana"/>
                <w:b/>
                <w:bCs/>
                <w:sz w:val="20"/>
                <w:szCs w:val="20"/>
              </w:rPr>
              <w:t xml:space="preserve">Rs. 1.4 crore</w:t>
            </w:r>
            <w:r>
              <w:rPr>
                <w:rFonts w:ascii="Verdana" w:cs="Verdana" w:eastAsia="Verdana" w:hAnsi="Verdana"/>
                <w:sz w:val="20"/>
                <w:szCs w:val="20"/>
              </w:rPr>
              <w:t xml:space="preserve">, carried forward and allowed in later years within the 30% limit.</w:t>
            </w:r>
          </w:p>
        </w:tc>
      </w:tr>
    </w:tbl>
    <w:p>
      <w:pPr>
        <w:spacing w:after="60"/>
      </w:pPr>
    </w:p>
    <w:p>
      <w:pPr>
        <w:pStyle w:val="Heading2"/>
        <w:keepNext/>
        <w:spacing w:after="120" w:before="240"/>
      </w:pPr>
      <w:r>
        <w:rPr>
          <w:rFonts w:ascii="Verdana" w:cs="Verdana" w:eastAsia="Verdana" w:hAnsi="Verdana"/>
        </w:rPr>
        <w:t xml:space="preserve">34.3 General Anti-Avoidance Rule (GAAR)</w:t>
      </w:r>
    </w:p>
    <w:p>
      <w:pPr>
        <w:spacing w:after="120" w:line="276"/>
        <w:jc w:val="both"/>
      </w:pPr>
      <w:r>
        <w:rPr>
          <w:rFonts w:ascii="Verdana" w:cs="Verdana" w:eastAsia="Verdana" w:hAnsi="Verdana"/>
        </w:rPr>
        <w:t xml:space="preserve">GAAR (old Chapter X-A, sections 95 to 102) is retained in the 2025 Act; section 181 sets out the consequences of an impermissible avoidance arrangement. It applies where the </w:t>
      </w:r>
      <w:r>
        <w:rPr>
          <w:rFonts w:ascii="Verdana" w:cs="Verdana" w:eastAsia="Verdana" w:hAnsi="Verdana"/>
          <w:b/>
          <w:bCs/>
        </w:rPr>
        <w:t xml:space="preserve">tax benefit</w:t>
      </w:r>
      <w:r>
        <w:rPr>
          <w:rFonts w:ascii="Verdana" w:cs="Verdana" w:eastAsia="Verdana" w:hAnsi="Verdana"/>
        </w:rPr>
        <w:t xml:space="preserve"> from an arrangement in a year exceeds </w:t>
      </w:r>
      <w:r>
        <w:rPr>
          <w:rFonts w:ascii="Verdana" w:cs="Verdana" w:eastAsia="Verdana" w:hAnsi="Verdana"/>
          <w:b/>
          <w:bCs/>
        </w:rPr>
        <w:t xml:space="preserve">Rs. 3 crore</w:t>
      </w:r>
      <w:r>
        <w:rPr>
          <w:rFonts w:ascii="Verdana" w:cs="Verdana" w:eastAsia="Verdana" w:hAnsi="Verdana"/>
        </w:rPr>
        <w:t xml:space="preserve">.</w:t>
      </w:r>
    </w:p>
    <w:p>
      <w:pPr>
        <w:spacing w:after="120" w:line="276"/>
        <w:jc w:val="both"/>
      </w:pPr>
      <w:r>
        <w:rPr>
          <w:rFonts w:ascii="Verdana" w:cs="Verdana" w:eastAsia="Verdana" w:hAnsi="Verdana"/>
        </w:rPr>
        <w:t xml:space="preserve">An arrangement is an </w:t>
      </w:r>
      <w:r>
        <w:rPr>
          <w:rFonts w:ascii="Verdana" w:cs="Verdana" w:eastAsia="Verdana" w:hAnsi="Verdana"/>
          <w:b/>
          <w:bCs/>
        </w:rPr>
        <w:t xml:space="preserve">impermissible avoidance arrangement</w:t>
      </w:r>
      <w:r>
        <w:rPr>
          <w:rFonts w:ascii="Verdana" w:cs="Verdana" w:eastAsia="Verdana" w:hAnsi="Verdana"/>
        </w:rPr>
        <w:t xml:space="preserve"> if its main purpose is a tax benefit </w:t>
      </w:r>
      <w:r>
        <w:rPr>
          <w:rFonts w:ascii="Verdana" w:cs="Verdana" w:eastAsia="Verdana" w:hAnsi="Verdana"/>
          <w:b/>
          <w:bCs/>
        </w:rPr>
        <w:t xml:space="preserve">and</w:t>
      </w:r>
      <w:r>
        <w:rPr>
          <w:rFonts w:ascii="Verdana" w:cs="Verdana" w:eastAsia="Verdana" w:hAnsi="Verdana"/>
        </w:rPr>
        <w:t xml:space="preserve"> it has at least one of these features:</w:t>
      </w:r>
    </w:p>
    <w:p>
      <w:pPr>
        <w:pStyle w:val="ListParagraph"/>
        <w:numPr>
          <w:ilvl w:val="0"/>
          <w:numId w:val="2"/>
        </w:numPr>
        <w:spacing w:after="60" w:line="264"/>
      </w:pPr>
      <w:r>
        <w:rPr>
          <w:rFonts w:ascii="Verdana" w:cs="Verdana" w:eastAsia="Verdana" w:hAnsi="Verdana"/>
        </w:rPr>
        <w:t xml:space="preserve">It creates rights or obligations that would not normally be created between parties dealing at arm's length.</w:t>
      </w:r>
    </w:p>
    <w:p>
      <w:pPr>
        <w:pStyle w:val="ListParagraph"/>
        <w:numPr>
          <w:ilvl w:val="0"/>
          <w:numId w:val="2"/>
        </w:numPr>
        <w:spacing w:after="60" w:line="264"/>
      </w:pPr>
      <w:r>
        <w:rPr>
          <w:rFonts w:ascii="Verdana" w:cs="Verdana" w:eastAsia="Verdana" w:hAnsi="Verdana"/>
        </w:rPr>
        <w:t xml:space="preserve">It results in misuse or abuse of the provisions of the Act.</w:t>
      </w:r>
    </w:p>
    <w:p>
      <w:pPr>
        <w:pStyle w:val="ListParagraph"/>
        <w:numPr>
          <w:ilvl w:val="0"/>
          <w:numId w:val="2"/>
        </w:numPr>
        <w:spacing w:after="60" w:line="264"/>
      </w:pPr>
      <w:r>
        <w:rPr>
          <w:rFonts w:ascii="Verdana" w:cs="Verdana" w:eastAsia="Verdana" w:hAnsi="Verdana"/>
        </w:rPr>
        <w:t xml:space="preserve">It lacks commercial substance, in whole or in part (for example, round tripping, accommodating parties, or elements that offset each other).</w:t>
      </w:r>
    </w:p>
    <w:p>
      <w:pPr>
        <w:pStyle w:val="ListParagraph"/>
        <w:numPr>
          <w:ilvl w:val="0"/>
          <w:numId w:val="2"/>
        </w:numPr>
        <w:spacing w:after="60" w:line="264"/>
      </w:pPr>
      <w:r>
        <w:rPr>
          <w:rFonts w:ascii="Verdana" w:cs="Verdana" w:eastAsia="Verdana" w:hAnsi="Verdana"/>
        </w:rPr>
        <w:t xml:space="preserve">It is carried out in a manner not normally used for bona fide purposes.</w:t>
      </w:r>
    </w:p>
    <w:p>
      <w:pPr>
        <w:spacing w:after="120" w:line="276"/>
        <w:jc w:val="both"/>
      </w:pPr>
      <w:r>
        <w:rPr>
          <w:rFonts w:ascii="Verdana" w:cs="Verdana" w:eastAsia="Verdana" w:hAnsi="Verdana"/>
          <w:b/>
          <w:bCs/>
        </w:rPr>
        <w:t xml:space="preserve">Consequences:</w:t>
      </w:r>
      <w:r>
        <w:rPr>
          <w:rFonts w:ascii="Verdana" w:cs="Verdana" w:eastAsia="Verdana" w:hAnsi="Verdana"/>
        </w:rPr>
        <w:t xml:space="preserve"> the tax authority may disregard or recharacterise the arrangement, ignore an entity, treat parties as one, reallocate income, or deny treaty benefits. GAAR is invoked only after approval by an Approving Panel. Arrangements grandfathered from before 1 April 2017 (investments made before that date) are outside GAAR.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130: Treaty shopping through a shell</w:t>
            </w:r>
          </w:p>
          <w:p>
            <w:pPr>
              <w:spacing w:after="60" w:line="260"/>
            </w:pPr>
            <w:r>
              <w:rPr>
                <w:rFonts w:ascii="Verdana" w:cs="Verdana" w:eastAsia="Verdana" w:hAnsi="Verdana"/>
                <w:sz w:val="20"/>
                <w:szCs w:val="20"/>
              </w:rPr>
              <w:t xml:space="preserve">An investor sets up a company in a treaty country with no staff, no office and no other business, only to hold shares of an Indian company and claim a treaty exemption on capital gains. The tax benefit is Rs. 12 crore. Since the main purpose is tax and the entity lacks commercial substance, the treaty benefit can be denied under GAAR, and also under the Principal Purpose Test of the MLI.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For any structure with foreign holding entities, keep board minutes, staff and office records, and a written note of the commercial reasons for the location. Substance is decided on facts, not on paper.</w:t>
            </w:r>
          </w:p>
        </w:tc>
      </w:tr>
    </w:tbl>
    <w:p>
      <w:pPr>
        <w:spacing w:after="60"/>
      </w:pPr>
    </w:p>
    <w:p>
      <w:pPr>
        <w:pStyle w:val="Heading2"/>
        <w:keepNext/>
        <w:spacing w:after="120" w:before="240"/>
      </w:pPr>
      <w:r>
        <w:rPr>
          <w:rFonts w:ascii="Verdana" w:cs="Verdana" w:eastAsia="Verdana" w:hAnsi="Verdana"/>
        </w:rPr>
        <w:t xml:space="preserve">34.4 GAAR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Dividend stripping before the specific rule</w:t>
            </w:r>
          </w:p>
          <w:p>
            <w:pPr>
              <w:spacing w:after="60" w:line="260"/>
            </w:pPr>
            <w:r>
              <w:rPr>
                <w:rFonts w:ascii="Verdana" w:cs="Verdana" w:eastAsia="Verdana" w:hAnsi="Verdana"/>
                <w:b/>
                <w:bCs/>
                <w:sz w:val="20"/>
                <w:szCs w:val="20"/>
              </w:rPr>
              <w:t xml:space="preserve">CIT v. Walfort Share and Stock Brokers (P) Ltd. (Supreme Court, 2010):</w:t>
            </w:r>
            <w:r>
              <w:rPr>
                <w:rFonts w:ascii="Verdana" w:cs="Verdana" w:eastAsia="Verdana" w:hAnsi="Verdana"/>
                <w:sz w:val="20"/>
                <w:szCs w:val="20"/>
              </w:rPr>
              <w:t xml:space="preserve"> a loss from buying units before the record date and selling them after receiving exempt dividends was allowed for years before the specific provision applied, since the transactions were genuine. The specific rule (now section 175) was enacted to deal with such dividend and bonus stripping.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438"/>
      </w:tblGrid>
      <w:tr>
        <w:trPr>
          <w:cantSplit/>
          <w:tblHeader/>
        </w:trPr>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w:t>
            </w:r>
          </w:p>
        </w:tc>
        <w:tc>
          <w:tcPr>
            <w:tcW w:type="dxa" w:w="6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happens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Assessing Officer</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Identifies an arrangement that may be impermissible and makes a reference to the Principal Commissioner or Commissioner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Hears the taxpayer; if not satisfied, refers the matter to the Approving Panel</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Approving Panel</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Headed by a retired High Court judge; issues binding directions within 6 months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Assessing Officer</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Completes the assessment as per the directions, with the consequences in section 181</w:t>
            </w:r>
          </w:p>
        </w:tc>
      </w:tr>
    </w:tbl>
    <w:p>
      <w:pPr>
        <w:spacing w:after="60"/>
      </w:pPr>
    </w:p>
    <w:p>
      <w:pPr>
        <w:pStyle w:val="Heading2"/>
        <w:keepNext/>
        <w:spacing w:after="120" w:before="240"/>
      </w:pPr>
      <w:r>
        <w:rPr>
          <w:rFonts w:ascii="Verdana" w:cs="Verdana" w:eastAsia="Verdana" w:hAnsi="Verdana"/>
        </w:rPr>
        <w:t xml:space="preserve">34.5 GAAR and treaties</w:t>
      </w:r>
    </w:p>
    <w:p>
      <w:pPr>
        <w:spacing w:after="120" w:line="276"/>
        <w:jc w:val="both"/>
      </w:pPr>
      <w:r>
        <w:rPr>
          <w:rFonts w:ascii="Verdana" w:cs="Verdana" w:eastAsia="Verdana" w:hAnsi="Verdana"/>
        </w:rPr>
        <w:t xml:space="preserve">GAAR can override a treaty where the arrangement is impermissible. In addition, the Principal Purpose Test (PPT) under the MLI, which applies to many of India's treaties, denies treaty benefits where obtaining the benefit was </w:t>
      </w:r>
      <w:r>
        <w:rPr>
          <w:rFonts w:ascii="Verdana" w:cs="Verdana" w:eastAsia="Verdana" w:hAnsi="Verdana"/>
          <w:b/>
          <w:bCs/>
        </w:rPr>
        <w:t xml:space="preserve">one of the principal purposes</w:t>
      </w:r>
      <w:r>
        <w:rPr>
          <w:rFonts w:ascii="Verdana" w:cs="Verdana" w:eastAsia="Verdana" w:hAnsi="Verdana"/>
        </w:rPr>
        <w:t xml:space="preserve"> of the arrangement, unless granting the benefit is in line with the object and purpose of the treaty. The PPT has a lower threshold than GAAR (one of the principal purposes versus the main purpose), no monetary threshold, and no Approving Panel.</w:t>
      </w:r>
    </w:p>
    <w:p>
      <w:pPr>
        <w:pStyle w:val="Heading2"/>
        <w:keepNext/>
        <w:spacing w:after="120" w:before="240"/>
      </w:pPr>
      <w:r>
        <w:rPr>
          <w:rFonts w:ascii="Verdana" w:cs="Verdana" w:eastAsia="Verdana" w:hAnsi="Verdana"/>
        </w:rPr>
        <w:t xml:space="preserve">34.6 GAAR versus specific anti-avoidance rules</w:t>
      </w:r>
    </w:p>
    <w:p>
      <w:pPr>
        <w:spacing w:after="120" w:line="276"/>
        <w:jc w:val="both"/>
      </w:pPr>
      <w:r>
        <w:rPr>
          <w:rFonts w:ascii="Verdana" w:cs="Verdana" w:eastAsia="Verdana" w:hAnsi="Verdana"/>
        </w:rPr>
        <w:t xml:space="preserve">Where a specific rule (transfer pricing, thin capitalisation, clubbing, deemed dividends) already addresses an arrangement, the CBDT has indicated that GAAR should generally not be invoked for the same element, unless the arrangement is designed to get around the specific rule. Also, GAAR is not applied to the choice of a legitimate option available in the law (for example, choosing between buyback and dividend, or between a branch and a subsidiary), unless it involves a colourable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131: Round tripping</w:t>
            </w:r>
          </w:p>
          <w:p>
            <w:pPr>
              <w:spacing w:after="60" w:line="260"/>
            </w:pPr>
            <w:r>
              <w:rPr>
                <w:rFonts w:ascii="Verdana" w:cs="Verdana" w:eastAsia="Verdana" w:hAnsi="Verdana"/>
                <w:sz w:val="20"/>
                <w:szCs w:val="20"/>
              </w:rPr>
              <w:t xml:space="preserve">Indian promoters remit funds to a newly formed Mauritius company through LRS, which then invests back into the promoters' Indian company as FDI and later sells the shares, claiming the grandfathered treaty exemption. The funds originated in India, the Mauritius entity has no substance, and the arrangement returns the money to India. This is a classic round tripping arrangement that can be treated as impermissible, with the gain taxed in the promoters' hands.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Specific rules: transfer to non-residents, bond washing, NJA, thin capitalisation.</w:t>
            </w:r>
          </w:p>
          <w:p>
            <w:pPr>
              <w:spacing w:after="60" w:line="260"/>
            </w:pPr>
            <w:r>
              <w:rPr>
                <w:rFonts w:ascii="Verdana" w:cs="Verdana" w:eastAsia="Verdana" w:hAnsi="Verdana"/>
                <w:sz w:val="20"/>
                <w:szCs w:val="20"/>
              </w:rPr>
              <w:t xml:space="preserve">•  GAAR applies above a Rs. 3 crore tax benefit with an Approving Panel.</w:t>
            </w:r>
          </w:p>
          <w:p>
            <w:pPr>
              <w:spacing w:after="60" w:line="260"/>
            </w:pPr>
            <w:r>
              <w:rPr>
                <w:rFonts w:ascii="Verdana" w:cs="Verdana" w:eastAsia="Verdana" w:hAnsi="Verdana"/>
                <w:sz w:val="20"/>
                <w:szCs w:val="20"/>
              </w:rPr>
              <w:t xml:space="preserve">•  The MLI PPT has a lower threshold and applies to treaty benefits.</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G: COMPLIANCE, ASSESSMENT AND DISPUTES</w:t>
      </w:r>
    </w:p>
    <w:p>
      <w:pPr>
        <w:shd w:fill="F6E8D2" w:color="auto" w:val="clear"/>
        <w:spacing w:after="200"/>
      </w:pPr>
      <w:r>
        <w:rPr>
          <w:rFonts w:ascii="Verdana" w:cs="Verdana" w:eastAsia="Verdana" w:hAnsi="Verdana"/>
          <w:i/>
          <w:iCs/>
          <w:color w:val="92400E"/>
          <w:sz w:val="20"/>
          <w:szCs w:val="20"/>
        </w:rPr>
        <w:t xml:space="preserve">  TDS and TCS, advance tax, returns, assessment, appeals, penalties and forms</w:t>
      </w:r>
    </w:p>
    <w:p>
      <w:pPr>
        <w:spacing w:after="240" w:line="276"/>
        <w:jc w:val="both"/>
      </w:pPr>
      <w:r>
        <w:rPr>
          <w:rFonts w:ascii="Verdana" w:cs="Verdana" w:eastAsia="Verdana" w:hAnsi="Verdana"/>
          <w:i/>
          <w:iCs/>
          <w:color w:val="404040"/>
          <w:sz w:val="21"/>
          <w:szCs w:val="21"/>
        </w:rPr>
        <w:t xml:space="preserve">Most of a tax professional's time goes into compliance and dispute handling. This part covers TDS and TCS in detail, salary TDS, advance tax, returns, tax audit, notices, assessment and reassessment, search and survey, appeals, recovery and refunds, penalties and prosecution, and the renumbered forms.</w:t>
      </w:r>
    </w:p>
    <w:p>
      <w:pPr>
        <w:pStyle w:val="Heading1"/>
        <w:spacing w:after="200" w:before="120"/>
      </w:pPr>
      <w:r>
        <w:rPr>
          <w:rFonts w:ascii="Verdana" w:cs="Verdana" w:eastAsia="Verdana" w:hAnsi="Verdana"/>
        </w:rPr>
        <w:t xml:space="preserve">35. TDS and TCS (Sections 392 to 397)</w:t>
      </w:r>
    </w:p>
    <w:p>
      <w:pPr>
        <w:spacing w:after="120" w:line="276"/>
        <w:jc w:val="both"/>
      </w:pPr>
      <w:r>
        <w:rPr>
          <w:rFonts w:ascii="Verdana" w:cs="Verdana" w:eastAsia="Verdana" w:hAnsi="Verdana"/>
        </w:rPr>
        <w:t xml:space="preserve">More than 60 sections (192 to 194T and 195) are now in three sections with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7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Covers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salary (old 192)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393(1)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payments to residents (table): contractor, professional, rent, commission, interest, dividend, property, partners and so 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393(2)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payments to non-residents (old 195 and related)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393(3)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payments to any person, e.g. lottery and game winnings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393(6)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Declarations for no deduction (Form 121, old 15G/15H), now also through depositories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TCS (old 206C)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Lower or nil deduction certificate (old 197), now applied for electronically</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Deposit of tax, statements and certificates</w:t>
            </w:r>
          </w:p>
        </w:tc>
      </w:tr>
    </w:tbl>
    <w:p>
      <w:pPr>
        <w:spacing w:after="60"/>
      </w:pPr>
    </w:p>
    <w:p>
      <w:pPr>
        <w:spacing w:after="120" w:line="276"/>
        <w:jc w:val="both"/>
      </w:pPr>
      <w:r>
        <w:rPr>
          <w:rFonts w:ascii="Verdana" w:cs="Verdana" w:eastAsia="Verdana" w:hAnsi="Verdana"/>
        </w:rPr>
        <w:t xml:space="preserve">Each entry has a </w:t>
      </w:r>
      <w:r>
        <w:rPr>
          <w:rFonts w:ascii="Verdana" w:cs="Verdana" w:eastAsia="Verdana" w:hAnsi="Verdana"/>
          <w:b/>
          <w:bCs/>
        </w:rPr>
        <w:t xml:space="preserve">payment code</w:t>
      </w:r>
      <w:r>
        <w:rPr>
          <w:rFonts w:ascii="Verdana" w:cs="Verdana" w:eastAsia="Verdana" w:hAnsi="Verdana"/>
        </w:rPr>
        <w:t xml:space="preserve"> (in the 1001 to 1067 range). Challans and statements for payments on or after 1 April 2026 must use these codes; quoting 194J or 194C can cause validation errors.</w:t>
      </w:r>
    </w:p>
    <w:p>
      <w:pPr>
        <w:pStyle w:val="Heading2"/>
        <w:keepNext/>
        <w:spacing w:after="120" w:before="240"/>
      </w:pPr>
      <w:r>
        <w:rPr>
          <w:rFonts w:ascii="Verdana" w:cs="Verdana" w:eastAsia="Verdana" w:hAnsi="Verdana"/>
        </w:rPr>
        <w:t xml:space="preserve">35.1 Common TDS rates for Tax Year 2026-27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1200"/>
        <w:gridCol w:w="3300"/>
        <w:gridCol w:w="2000"/>
      </w:tblGrid>
      <w:tr>
        <w:trPr>
          <w:cantSplit/>
          <w:tblHeader/>
        </w:trPr>
        <w:tc>
          <w:tcPr>
            <w:tcW w:type="dxa" w:w="31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Nature of payment</w:t>
            </w:r>
          </w:p>
        </w:tc>
        <w:tc>
          <w:tcPr>
            <w:tcW w:type="dxa" w:w="1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section</w:t>
            </w:r>
          </w:p>
        </w:tc>
        <w:tc>
          <w:tcPr>
            <w:tcW w:type="dxa" w:w="3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Threshold</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Contractor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194C</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Single bill above Rs. 30,000 or yearly total above Rs. 1,00,000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individual or HUF; 2% others</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Professional fees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194J</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 a year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Technical services, call centre, film royalty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194J</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 a year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 or brokerage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194H</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20,000 a year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of land, building, furniture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194-I</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 a month</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of plant and machinery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194-I</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 a month</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paid by individuals not under audit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194-IB</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 a month</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(bank, co-operative, post office)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50,000 (Rs. 1,00,000 seniors)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interest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Purchase of immovable property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194-IA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 lakh or more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Purchase of goods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194Q</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50 lakh from a seller (buyer turnover above Rs. 10 crore)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0.1% on excess</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Payments to partners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20,000 a year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Benefit or perquisite of business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20,000 a year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virtual digital asset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prescribed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Lottery, crossword, game show</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194B</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per transaction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r>
      <w:tr>
        <w:trPr>
          <w:cantSplit/>
        </w:trPr>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PAN of payee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206AA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or rate, whichever higher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132: Professional fees</w:t>
            </w:r>
          </w:p>
          <w:p>
            <w:pPr>
              <w:spacing w:after="60" w:line="260"/>
            </w:pPr>
            <w:r>
              <w:rPr>
                <w:rFonts w:ascii="Verdana" w:cs="Verdana" w:eastAsia="Verdana" w:hAnsi="Verdana"/>
                <w:sz w:val="20"/>
                <w:szCs w:val="20"/>
              </w:rPr>
              <w:t xml:space="preserve">An LLP pays audit fees of Rs. 80,000 to a CA firm. The Rs. 50,000 threshold is crossed, so TDS at 10% applies on the </w:t>
            </w:r>
            <w:r>
              <w:rPr>
                <w:rFonts w:ascii="Verdana" w:cs="Verdana" w:eastAsia="Verdana" w:hAnsi="Verdana"/>
                <w:b/>
                <w:bCs/>
                <w:sz w:val="20"/>
                <w:szCs w:val="20"/>
              </w:rPr>
              <w:t xml:space="preserve">full Rs. 80,000</w:t>
            </w:r>
            <w:r>
              <w:rPr>
                <w:rFonts w:ascii="Verdana" w:cs="Verdana" w:eastAsia="Verdana" w:hAnsi="Verdana"/>
                <w:sz w:val="20"/>
                <w:szCs w:val="20"/>
              </w:rPr>
              <w:t xml:space="preserve">: Rs. 8,000.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133: Contractor with several bills</w:t>
            </w:r>
          </w:p>
          <w:p>
            <w:pPr>
              <w:spacing w:after="60" w:line="260"/>
            </w:pPr>
            <w:r>
              <w:rPr>
                <w:rFonts w:ascii="Verdana" w:cs="Verdana" w:eastAsia="Verdana" w:hAnsi="Verdana"/>
                <w:sz w:val="20"/>
                <w:szCs w:val="20"/>
              </w:rPr>
              <w:t xml:space="preserve">An individual contractor raises bills of Rs. 25,000 (May), Rs. 20,000 (July), Rs. 40,000 (September) and Rs. 30,000 (December).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600"/>
        <w:gridCol w:w="1100"/>
        <w:gridCol w:w="4038"/>
      </w:tblGrid>
      <w:tr>
        <w:trPr>
          <w:cantSplit/>
          <w:tblHeader/>
        </w:trPr>
        <w:tc>
          <w:tcPr>
            <w:tcW w:type="dxa" w:w="1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Bill</w:t>
            </w:r>
          </w:p>
        </w:tc>
        <w:tc>
          <w:tcPr>
            <w:tcW w:type="dxa" w:w="15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Running total</w:t>
            </w:r>
          </w:p>
        </w:tc>
        <w:tc>
          <w:tcPr>
            <w:tcW w:type="dxa" w:w="1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TDS</w:t>
            </w:r>
          </w:p>
        </w:tc>
        <w:tc>
          <w:tcPr>
            <w:tcW w:type="dxa" w:w="4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Why</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Below both limits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July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45,000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Below both limits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September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85,000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Single bill above Rs. 30,000; 1% of 40,000</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December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1,15,000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750</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 total above Rs. 1 lakh; 1% on 30,000 plus earlier untaxed 45,000</w:t>
            </w:r>
          </w:p>
        </w:tc>
      </w:tr>
      <w:tr>
        <w:trPr>
          <w:cantSplit/>
        </w:trPr>
        <w:tc>
          <w:tcPr>
            <w:tcW w:type="dxa" w:w="1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w:t>
            </w:r>
          </w:p>
        </w:tc>
        <w:tc>
          <w:tcPr>
            <w:tcW w:type="dxa" w:w="15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1,15,000</w:t>
            </w:r>
          </w:p>
        </w:tc>
        <w:tc>
          <w:tcPr>
            <w:tcW w:type="dxa" w:w="1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11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1,150</w:t>
            </w:r>
          </w:p>
        </w:tc>
        <w:tc>
          <w:tcPr>
            <w:tcW w:type="dxa" w:w="40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Equal to 1% of Rs. 1,15,000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134: Property purchase</w:t>
            </w:r>
          </w:p>
          <w:p>
            <w:pPr>
              <w:spacing w:after="60" w:line="260"/>
            </w:pPr>
            <w:r>
              <w:rPr>
                <w:rFonts w:ascii="Verdana" w:cs="Verdana" w:eastAsia="Verdana" w:hAnsi="Verdana"/>
                <w:sz w:val="20"/>
                <w:szCs w:val="20"/>
              </w:rPr>
              <w:t xml:space="preserve">Anita buys a flat for Rs. 75 lakh from a resident. She deducts 1% = </w:t>
            </w:r>
            <w:r>
              <w:rPr>
                <w:rFonts w:ascii="Verdana" w:cs="Verdana" w:eastAsia="Verdana" w:hAnsi="Verdana"/>
                <w:b/>
                <w:bCs/>
                <w:sz w:val="20"/>
                <w:szCs w:val="20"/>
              </w:rPr>
              <w:t xml:space="preserve">Rs. 75,000</w:t>
            </w:r>
            <w:r>
              <w:rPr>
                <w:rFonts w:ascii="Verdana" w:cs="Verdana" w:eastAsia="Verdana" w:hAnsi="Verdana"/>
                <w:sz w:val="20"/>
                <w:szCs w:val="20"/>
              </w:rPr>
              <w:t xml:space="preserve"> and files </w:t>
            </w:r>
            <w:r>
              <w:rPr>
                <w:rFonts w:ascii="Verdana" w:cs="Verdana" w:eastAsia="Verdana" w:hAnsi="Verdana"/>
                <w:b/>
                <w:bCs/>
                <w:sz w:val="20"/>
                <w:szCs w:val="20"/>
              </w:rPr>
              <w:t xml:space="preserve">Form 141</w:t>
            </w:r>
            <w:r>
              <w:rPr>
                <w:rFonts w:ascii="Verdana" w:cs="Verdana" w:eastAsia="Verdana" w:hAnsi="Verdana"/>
                <w:sz w:val="20"/>
                <w:szCs w:val="20"/>
              </w:rPr>
              <w:t xml:space="preserve"> (old 26QB) within 30 days from the end of the month of deduction, then issues Form 132 (old 16B). No TAN is needed.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135: Senior citizen FD</w:t>
            </w:r>
          </w:p>
          <w:p>
            <w:pPr>
              <w:spacing w:after="60" w:line="260"/>
            </w:pPr>
            <w:r>
              <w:rPr>
                <w:rFonts w:ascii="Verdana" w:cs="Verdana" w:eastAsia="Verdana" w:hAnsi="Verdana"/>
                <w:sz w:val="20"/>
                <w:szCs w:val="20"/>
              </w:rPr>
              <w:t xml:space="preserve">Mr. Iyer, 68, earns Rs. 90,000 interest from one bank. Below the Rs. 1,00,000 threshold, so </w:t>
            </w:r>
            <w:r>
              <w:rPr>
                <w:rFonts w:ascii="Verdana" w:cs="Verdana" w:eastAsia="Verdana" w:hAnsi="Verdana"/>
                <w:b/>
                <w:bCs/>
                <w:sz w:val="20"/>
                <w:szCs w:val="20"/>
              </w:rPr>
              <w:t xml:space="preserve">no TDS</w:t>
            </w:r>
            <w:r>
              <w:rPr>
                <w:rFonts w:ascii="Verdana" w:cs="Verdana" w:eastAsia="Verdana" w:hAnsi="Verdana"/>
                <w:sz w:val="20"/>
                <w:szCs w:val="20"/>
              </w:rPr>
              <w:t xml:space="preserve">. At Rs. 1,20,000, TDS of Rs. 12,000 applies unless he gives Form 121.</w:t>
            </w:r>
          </w:p>
        </w:tc>
      </w:tr>
    </w:tbl>
    <w:p>
      <w:pPr>
        <w:spacing w:after="60"/>
      </w:pPr>
    </w:p>
    <w:p>
      <w:pPr>
        <w:pStyle w:val="Heading2"/>
        <w:keepNext/>
        <w:spacing w:after="120" w:before="240"/>
      </w:pPr>
      <w:r>
        <w:rPr>
          <w:rFonts w:ascii="Verdana" w:cs="Verdana" w:eastAsia="Verdana" w:hAnsi="Verdana"/>
        </w:rPr>
        <w:t xml:space="preserve">35.2 Due dates and consequences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5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 or consequence</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Deposit of TDS (non-government)</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7th of next month; 30 April for March</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Quarterly statements (Forms 138, 140, 144)</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July, 31 October, 31 January, 31 May</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not deducted</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 month from date deductible to date deducted</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deducted, not deposited</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a month from date of deduction to date of deposit</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Late statement fee (section 427, old 234E)</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 a day, up to the TDS amount</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Expense disallowance</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(residents), 100% (non-residents) until TDS is paid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136: Late deposit</w:t>
            </w:r>
          </w:p>
          <w:p>
            <w:pPr>
              <w:spacing w:after="60" w:line="260"/>
            </w:pPr>
            <w:r>
              <w:rPr>
                <w:rFonts w:ascii="Verdana" w:cs="Verdana" w:eastAsia="Verdana" w:hAnsi="Verdana"/>
                <w:sz w:val="20"/>
                <w:szCs w:val="20"/>
              </w:rPr>
              <w:t xml:space="preserve">TDS of Rs. 50,000 deducted on 10 May 2026 is deposited on 20 August 2026. Months: May, June, July, August = 4 (part month counts as full). Interest = 50,000 x 1.5% x 4 = </w:t>
            </w:r>
            <w:r>
              <w:rPr>
                <w:rFonts w:ascii="Verdana" w:cs="Verdana" w:eastAsia="Verdana" w:hAnsi="Verdana"/>
                <w:b/>
                <w:bCs/>
                <w:sz w:val="20"/>
                <w:szCs w:val="20"/>
              </w:rPr>
              <w:t xml:space="preserve">Rs. 3,000</w:t>
            </w:r>
            <w:r>
              <w:rPr>
                <w:rFonts w:ascii="Verdana" w:cs="Verdana" w:eastAsia="Verdana" w:hAnsi="Verdana"/>
                <w:sz w:val="20"/>
                <w:szCs w:val="20"/>
              </w:rPr>
              <w:t xml:space="preserve">.</w:t>
            </w:r>
          </w:p>
        </w:tc>
      </w:tr>
    </w:tbl>
    <w:p>
      <w:pPr>
        <w:spacing w:after="60"/>
      </w:pPr>
    </w:p>
    <w:p>
      <w:pPr>
        <w:pStyle w:val="Heading2"/>
        <w:keepNext/>
        <w:spacing w:after="120" w:before="240"/>
      </w:pPr>
      <w:r>
        <w:rPr>
          <w:rFonts w:ascii="Verdana" w:cs="Verdana" w:eastAsia="Verdana" w:hAnsi="Verdana"/>
        </w:rPr>
        <w:t xml:space="preserve">35.3 TCS highlights (section 394)</w:t>
      </w:r>
    </w:p>
    <w:p>
      <w:pPr>
        <w:pStyle w:val="ListParagraph"/>
        <w:numPr>
          <w:ilvl w:val="0"/>
          <w:numId w:val="2"/>
        </w:numPr>
        <w:spacing w:after="60" w:line="264"/>
      </w:pPr>
      <w:r>
        <w:rPr>
          <w:rFonts w:ascii="Verdana" w:cs="Verdana" w:eastAsia="Verdana" w:hAnsi="Verdana"/>
        </w:rPr>
        <w:t xml:space="preserve">Most TCS rates rationalised at 2% by the Finance Act 2026, including overseas tour packages (single rate, no threshold).</w:t>
      </w:r>
    </w:p>
    <w:p>
      <w:pPr>
        <w:pStyle w:val="ListParagraph"/>
        <w:numPr>
          <w:ilvl w:val="0"/>
          <w:numId w:val="2"/>
        </w:numPr>
        <w:spacing w:after="60" w:line="264"/>
      </w:pPr>
      <w:r>
        <w:rPr>
          <w:rFonts w:ascii="Verdana" w:cs="Verdana" w:eastAsia="Verdana" w:hAnsi="Verdana"/>
        </w:rPr>
        <w:t xml:space="preserve">Motor vehicles above Rs. 10 lakh and notified luxury goods: 1%.</w:t>
      </w:r>
    </w:p>
    <w:p>
      <w:pPr>
        <w:pStyle w:val="ListParagraph"/>
        <w:numPr>
          <w:ilvl w:val="0"/>
          <w:numId w:val="2"/>
        </w:numPr>
        <w:spacing w:after="60" w:line="264"/>
      </w:pPr>
      <w:r>
        <w:rPr>
          <w:rFonts w:ascii="Verdana" w:cs="Verdana" w:eastAsia="Verdana" w:hAnsi="Verdana"/>
        </w:rPr>
        <w:t xml:space="preserve">LRS remittances for education funded by loan and for medical treatment: lower or nil rates.</w:t>
      </w:r>
    </w:p>
    <w:p>
      <w:pPr>
        <w:pStyle w:val="ListParagraph"/>
        <w:numPr>
          <w:ilvl w:val="0"/>
          <w:numId w:val="2"/>
        </w:numPr>
        <w:spacing w:after="60" w:line="264"/>
      </w:pPr>
      <w:r>
        <w:rPr>
          <w:rFonts w:ascii="Verdana" w:cs="Verdana" w:eastAsia="Verdana" w:hAnsi="Verdana"/>
        </w:rPr>
        <w:t xml:space="preserve">Quarterly TCS statement: Form 143 (old 27EQ).</w:t>
      </w:r>
    </w:p>
    <w:p>
      <w:pPr>
        <w:pStyle w:val="Heading2"/>
        <w:keepNext/>
        <w:spacing w:after="120" w:before="240"/>
      </w:pPr>
      <w:r>
        <w:rPr>
          <w:rFonts w:ascii="Verdana" w:cs="Verdana" w:eastAsia="Verdana" w:hAnsi="Verdana"/>
        </w:rPr>
        <w:t xml:space="preserve">35.4 General rules that apply to all TDS</w:t>
      </w:r>
    </w:p>
    <w:p>
      <w:pPr>
        <w:pStyle w:val="ListParagraph"/>
        <w:numPr>
          <w:ilvl w:val="0"/>
          <w:numId w:val="2"/>
        </w:numPr>
        <w:spacing w:after="60" w:line="264"/>
      </w:pPr>
      <w:r>
        <w:rPr>
          <w:rFonts w:ascii="Verdana" w:cs="Verdana" w:eastAsia="Verdana" w:hAnsi="Verdana"/>
          <w:b/>
          <w:bCs/>
        </w:rPr>
        <w:t xml:space="preserve">Time of deduction:</w:t>
      </w:r>
      <w:r>
        <w:rPr>
          <w:rFonts w:ascii="Verdana" w:cs="Verdana" w:eastAsia="Verdana" w:hAnsi="Verdana"/>
        </w:rPr>
        <w:t xml:space="preserve"> for most non-salary payments, at the time of credit to the payee's account (including a suspense or provision account) or at the time of payment, whichever is earlier. For salary, at the time of payment.</w:t>
      </w:r>
    </w:p>
    <w:p>
      <w:pPr>
        <w:pStyle w:val="ListParagraph"/>
        <w:numPr>
          <w:ilvl w:val="0"/>
          <w:numId w:val="2"/>
        </w:numPr>
        <w:spacing w:after="60" w:line="264"/>
      </w:pPr>
      <w:r>
        <w:rPr>
          <w:rFonts w:ascii="Verdana" w:cs="Verdana" w:eastAsia="Verdana" w:hAnsi="Verdana"/>
          <w:b/>
          <w:bCs/>
        </w:rPr>
        <w:t xml:space="preserve">Amount on which TDS applies:</w:t>
      </w:r>
      <w:r>
        <w:rPr>
          <w:rFonts w:ascii="Verdana" w:cs="Verdana" w:eastAsia="Verdana" w:hAnsi="Verdana"/>
        </w:rPr>
        <w:t xml:space="preserve"> the gross amount, but GST shown separately in the invoice is excluded for most payments (as clarified by the CBDT under the old law).</w:t>
      </w:r>
    </w:p>
    <w:p>
      <w:pPr>
        <w:pStyle w:val="ListParagraph"/>
        <w:numPr>
          <w:ilvl w:val="0"/>
          <w:numId w:val="2"/>
        </w:numPr>
        <w:spacing w:after="60" w:line="264"/>
      </w:pPr>
      <w:r>
        <w:rPr>
          <w:rFonts w:ascii="Verdana" w:cs="Verdana" w:eastAsia="Verdana" w:hAnsi="Verdana"/>
          <w:b/>
          <w:bCs/>
        </w:rPr>
        <w:t xml:space="preserve">Year-end provisions:</w:t>
      </w:r>
      <w:r>
        <w:rPr>
          <w:rFonts w:ascii="Verdana" w:cs="Verdana" w:eastAsia="Verdana" w:hAnsi="Verdana"/>
        </w:rPr>
        <w:t xml:space="preserve"> a provision for expenses at year-end, where the payee is identifiable and the amount is ascertainable, attracts TDS. Where the payee cannot be identified, the TDS obligation arises when the credit is made to the payee's account.</w:t>
      </w:r>
    </w:p>
    <w:p>
      <w:pPr>
        <w:pStyle w:val="ListParagraph"/>
        <w:numPr>
          <w:ilvl w:val="0"/>
          <w:numId w:val="2"/>
        </w:numPr>
        <w:spacing w:after="60" w:line="264"/>
      </w:pPr>
      <w:r>
        <w:rPr>
          <w:rFonts w:ascii="Verdana" w:cs="Verdana" w:eastAsia="Verdana" w:hAnsi="Verdana"/>
          <w:b/>
          <w:bCs/>
        </w:rPr>
        <w:t xml:space="preserve">PAN:</w:t>
      </w:r>
      <w:r>
        <w:rPr>
          <w:rFonts w:ascii="Verdana" w:cs="Verdana" w:eastAsia="Verdana" w:hAnsi="Verdana"/>
        </w:rPr>
        <w:t xml:space="preserve"> if the payee does not furnish PAN, or PAN is inoperative (not linked with Aadhaar), TDS is at the higher of 20% and the normal rate (5% for some payments).</w:t>
      </w:r>
    </w:p>
    <w:p>
      <w:pPr>
        <w:pStyle w:val="ListParagraph"/>
        <w:numPr>
          <w:ilvl w:val="0"/>
          <w:numId w:val="2"/>
        </w:numPr>
        <w:spacing w:after="60" w:line="264"/>
      </w:pPr>
      <w:r>
        <w:rPr>
          <w:rFonts w:ascii="Verdana" w:cs="Verdana" w:eastAsia="Verdana" w:hAnsi="Verdana"/>
          <w:b/>
          <w:bCs/>
        </w:rPr>
        <w:t xml:space="preserve">Lower or nil certificate:</w:t>
      </w:r>
      <w:r>
        <w:rPr>
          <w:rFonts w:ascii="Verdana" w:cs="Verdana" w:eastAsia="Verdana" w:hAnsi="Verdana"/>
        </w:rPr>
        <w:t xml:space="preserve"> where the payee has a certificate under section 395, deduct at the rate stated in it, within its validity and amount.</w:t>
      </w:r>
    </w:p>
    <w:p>
      <w:pPr>
        <w:pStyle w:val="ListParagraph"/>
        <w:numPr>
          <w:ilvl w:val="0"/>
          <w:numId w:val="2"/>
        </w:numPr>
        <w:spacing w:after="60" w:line="264"/>
      </w:pPr>
      <w:r>
        <w:rPr>
          <w:rFonts w:ascii="Verdana" w:cs="Verdana" w:eastAsia="Verdana" w:hAnsi="Verdana"/>
          <w:b/>
          <w:bCs/>
        </w:rPr>
        <w:t xml:space="preserve">Declarations for no deduction (Form 121):</w:t>
      </w:r>
      <w:r>
        <w:rPr>
          <w:rFonts w:ascii="Verdana" w:cs="Verdana" w:eastAsia="Verdana" w:hAnsi="Verdana"/>
        </w:rPr>
        <w:t xml:space="preserve"> individuals whose tax is nil can give a declaration for interest, dividend and certain other income; seniors can do so even if the income is above the exemption limit, if the tax on estimated total income is nil.</w:t>
      </w:r>
    </w:p>
    <w:p>
      <w:pPr>
        <w:pStyle w:val="Heading2"/>
        <w:keepNext/>
        <w:spacing w:after="120" w:before="240"/>
      </w:pPr>
      <w:r>
        <w:rPr>
          <w:rFonts w:ascii="Verdana" w:cs="Verdana" w:eastAsia="Verdana" w:hAnsi="Verdana"/>
        </w:rPr>
        <w:t xml:space="preserve">35.5 Contractor payments (old 194C)</w:t>
      </w:r>
    </w:p>
    <w:p>
      <w:pPr>
        <w:spacing w:after="120" w:line="276"/>
        <w:jc w:val="both"/>
      </w:pPr>
      <w:r>
        <w:rPr>
          <w:rFonts w:ascii="Verdana" w:cs="Verdana" w:eastAsia="Verdana" w:hAnsi="Verdana"/>
        </w:rPr>
        <w:t xml:space="preserve">"Work" includes advertising, broadcasting and telecasting, carriage of goods or passengers (other than by railways), catering, and manufacturing or supplying a product according to the customer's requirement using material purchased from the customer or its associate. It does not include manufacturing using material purchased from someone other than the customer.</w:t>
      </w:r>
    </w:p>
    <w:p>
      <w:pPr>
        <w:pStyle w:val="ListParagraph"/>
        <w:numPr>
          <w:ilvl w:val="0"/>
          <w:numId w:val="2"/>
        </w:numPr>
        <w:spacing w:after="60" w:line="264"/>
      </w:pPr>
      <w:r>
        <w:rPr>
          <w:rFonts w:ascii="Verdana" w:cs="Verdana" w:eastAsia="Verdana" w:hAnsi="Verdana"/>
        </w:rPr>
        <w:t xml:space="preserve">Rate: 1% for individuals and HUFs, 2% for others.</w:t>
      </w:r>
    </w:p>
    <w:p>
      <w:pPr>
        <w:pStyle w:val="ListParagraph"/>
        <w:numPr>
          <w:ilvl w:val="0"/>
          <w:numId w:val="2"/>
        </w:numPr>
        <w:spacing w:after="60" w:line="264"/>
      </w:pPr>
      <w:r>
        <w:rPr>
          <w:rFonts w:ascii="Verdana" w:cs="Verdana" w:eastAsia="Verdana" w:hAnsi="Verdana"/>
        </w:rPr>
        <w:t xml:space="preserve">Threshold: single payment above Rs. 30,000 or aggregate above Rs. 1,00,000 in the year.</w:t>
      </w:r>
    </w:p>
    <w:p>
      <w:pPr>
        <w:pStyle w:val="ListParagraph"/>
        <w:numPr>
          <w:ilvl w:val="0"/>
          <w:numId w:val="2"/>
        </w:numPr>
        <w:spacing w:after="60" w:line="264"/>
      </w:pPr>
      <w:r>
        <w:rPr>
          <w:rFonts w:ascii="Verdana" w:cs="Verdana" w:eastAsia="Verdana" w:hAnsi="Verdana"/>
        </w:rPr>
        <w:t xml:space="preserve">Where the invoice shows the value of material separately (in a contract where material is supplied by the customer), TDS applies only on the labour or service part.</w:t>
      </w:r>
    </w:p>
    <w:p>
      <w:pPr>
        <w:pStyle w:val="ListParagraph"/>
        <w:numPr>
          <w:ilvl w:val="0"/>
          <w:numId w:val="2"/>
        </w:numPr>
        <w:spacing w:after="60" w:line="264"/>
      </w:pPr>
      <w:r>
        <w:rPr>
          <w:rFonts w:ascii="Verdana" w:cs="Verdana" w:eastAsia="Verdana" w:hAnsi="Verdana"/>
          <w:b/>
          <w:bCs/>
        </w:rPr>
        <w:t xml:space="preserve">Transporters:</w:t>
      </w:r>
      <w:r>
        <w:rPr>
          <w:rFonts w:ascii="Verdana" w:cs="Verdana" w:eastAsia="Verdana" w:hAnsi="Verdana"/>
        </w:rPr>
        <w:t xml:space="preserve"> no TDS on payments to a contractor in the business of plying, hiring or leasing goods carriages who owns 10 or fewer carriages and furnishes a declaration with PAN.</w:t>
      </w:r>
    </w:p>
    <w:p>
      <w:pPr>
        <w:pStyle w:val="ListParagraph"/>
        <w:numPr>
          <w:ilvl w:val="0"/>
          <w:numId w:val="2"/>
        </w:numPr>
        <w:spacing w:after="60" w:line="264"/>
      </w:pPr>
      <w:r>
        <w:rPr>
          <w:rFonts w:ascii="Verdana" w:cs="Verdana" w:eastAsia="Verdana" w:hAnsi="Verdana"/>
        </w:rPr>
        <w:t xml:space="preserve">An individual or HUF paying a contractor for personal purposes need not deduct.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137: Job work</w:t>
            </w:r>
          </w:p>
          <w:p>
            <w:pPr>
              <w:spacing w:after="60" w:line="260"/>
            </w:pPr>
            <w:r>
              <w:rPr>
                <w:rFonts w:ascii="Verdana" w:cs="Verdana" w:eastAsia="Verdana" w:hAnsi="Verdana"/>
                <w:sz w:val="20"/>
                <w:szCs w:val="20"/>
              </w:rPr>
              <w:t xml:space="preserve">A garment exporter supplies fabric to a job worker for stitching and pays Rs. 5,00,000 as stitching charges. This is "work" since material is supplied by the customer. TDS at 1% (job worker is an individual) = </w:t>
            </w:r>
            <w:r>
              <w:rPr>
                <w:rFonts w:ascii="Verdana" w:cs="Verdana" w:eastAsia="Verdana" w:hAnsi="Verdana"/>
                <w:b/>
                <w:bCs/>
                <w:sz w:val="20"/>
                <w:szCs w:val="20"/>
              </w:rPr>
              <w:t xml:space="preserve">Rs. 5,000</w:t>
            </w:r>
            <w:r>
              <w:rPr>
                <w:rFonts w:ascii="Verdana" w:cs="Verdana" w:eastAsia="Verdana" w:hAnsi="Verdana"/>
                <w:sz w:val="20"/>
                <w:szCs w:val="20"/>
              </w:rPr>
              <w:t xml:space="preserve">. If the job worker used his own fabric bought from the market and sold finished garments, it would be a purchase of goods, not a contract.</w:t>
            </w:r>
          </w:p>
        </w:tc>
      </w:tr>
    </w:tbl>
    <w:p>
      <w:pPr>
        <w:spacing w:after="60"/>
      </w:pPr>
    </w:p>
    <w:p>
      <w:pPr>
        <w:pStyle w:val="Heading2"/>
        <w:keepNext/>
        <w:spacing w:after="120" w:before="240"/>
      </w:pPr>
      <w:r>
        <w:rPr>
          <w:rFonts w:ascii="Verdana" w:cs="Verdana" w:eastAsia="Verdana" w:hAnsi="Verdana"/>
        </w:rPr>
        <w:t xml:space="preserve">35.6 Professional and technical fees (old 194J)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cantSplit/>
          <w:tblHeader/>
        </w:trPr>
        <w:tc>
          <w:tcPr>
            <w:tcW w:type="dxa" w:w="7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Payment</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Fees for professional services (legal, medical, engineering, architecture, accountancy, technical consultancy, interior decoration, advertising, and notified professions)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Fees for technical services (not professional), payments to call centres, royalty for sale or exhibition of films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(other than films)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Remuneration, fees or commission to a director (other than salary)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no threshold</w:t>
            </w:r>
          </w:p>
        </w:tc>
      </w:tr>
      <w:tr>
        <w:trPr>
          <w:cantSplit/>
        </w:trPr>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Non-compete fees and sums for not sharing know-how</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bl>
    <w:p>
      <w:pPr>
        <w:spacing w:after="60"/>
      </w:pPr>
    </w:p>
    <w:p>
      <w:pPr>
        <w:spacing w:after="120" w:line="276"/>
        <w:jc w:val="both"/>
      </w:pPr>
      <w:r>
        <w:rPr>
          <w:rFonts w:ascii="Verdana" w:cs="Verdana" w:eastAsia="Verdana" w:hAnsi="Verdana"/>
        </w:rPr>
        <w:t xml:space="preserve">The threshold of Rs. 50,000 applies separately to each category (professional fees, technical fees, royalty, non-compete fees) per payee per year. Director fees have no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Characterisation disputes (contract vs professional vs technical) are among the most common TDS issues. If a payment for a platform or service could be either, document the nature of the service, the contract terms, and why the chosen rate applies. A file note prepared at the time of payment is valuable if the treatment is questioned later.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What are technical services</w:t>
            </w:r>
          </w:p>
          <w:p>
            <w:pPr>
              <w:spacing w:after="60" w:line="260"/>
            </w:pPr>
            <w:r>
              <w:rPr>
                <w:rFonts w:ascii="Verdana" w:cs="Verdana" w:eastAsia="Verdana" w:hAnsi="Verdana"/>
                <w:b/>
                <w:bCs/>
                <w:sz w:val="20"/>
                <w:szCs w:val="20"/>
              </w:rPr>
              <w:t xml:space="preserve">CIT v. Kotak Securities Ltd. (Supreme Court, 2016):</w:t>
            </w:r>
            <w:r>
              <w:rPr>
                <w:rFonts w:ascii="Verdana" w:cs="Verdana" w:eastAsia="Verdana" w:hAnsi="Verdana"/>
                <w:sz w:val="20"/>
                <w:szCs w:val="20"/>
              </w:rPr>
              <w:t xml:space="preserve"> transaction charges paid by a broker to the stock exchange were not fees for technical services, because they were payments for standard facilities available to all members, not services specially rendered to meet the needs of a particular user.</w:t>
            </w:r>
          </w:p>
        </w:tc>
      </w:tr>
    </w:tbl>
    <w:p>
      <w:pPr>
        <w:spacing w:after="60"/>
      </w:pPr>
    </w:p>
    <w:p>
      <w:pPr>
        <w:pStyle w:val="Heading2"/>
        <w:keepNext/>
        <w:spacing w:after="120" w:before="240"/>
      </w:pPr>
      <w:r>
        <w:rPr>
          <w:rFonts w:ascii="Verdana" w:cs="Verdana" w:eastAsia="Verdana" w:hAnsi="Verdana"/>
        </w:rPr>
        <w:t xml:space="preserve">35.7 Rent (old 194-I and 194-IB)</w:t>
      </w:r>
    </w:p>
    <w:p>
      <w:pPr>
        <w:pStyle w:val="ListParagraph"/>
        <w:numPr>
          <w:ilvl w:val="0"/>
          <w:numId w:val="2"/>
        </w:numPr>
        <w:spacing w:after="60" w:line="264"/>
      </w:pPr>
      <w:r>
        <w:rPr>
          <w:rFonts w:ascii="Verdana" w:cs="Verdana" w:eastAsia="Verdana" w:hAnsi="Verdana"/>
        </w:rPr>
        <w:t xml:space="preserve">Rent includes payment for use of land, building (including factory building), land appurtenant, machinery, plant, equipment, furniture or fittings, whether or not owned by the payee.</w:t>
      </w:r>
    </w:p>
    <w:p>
      <w:pPr>
        <w:pStyle w:val="ListParagraph"/>
        <w:numPr>
          <w:ilvl w:val="0"/>
          <w:numId w:val="2"/>
        </w:numPr>
        <w:spacing w:after="60" w:line="264"/>
      </w:pPr>
      <w:r>
        <w:rPr>
          <w:rFonts w:ascii="Verdana" w:cs="Verdana" w:eastAsia="Verdana" w:hAnsi="Verdana"/>
        </w:rPr>
        <w:t xml:space="preserve">Rate: 2% for plant, machinery and equipment; 10% for land, building, furniture and fittings.</w:t>
      </w:r>
    </w:p>
    <w:p>
      <w:pPr>
        <w:pStyle w:val="ListParagraph"/>
        <w:numPr>
          <w:ilvl w:val="0"/>
          <w:numId w:val="2"/>
        </w:numPr>
        <w:spacing w:after="60" w:line="264"/>
      </w:pPr>
      <w:r>
        <w:rPr>
          <w:rFonts w:ascii="Verdana" w:cs="Verdana" w:eastAsia="Verdana" w:hAnsi="Verdana"/>
        </w:rPr>
        <w:t xml:space="preserve">Threshold: rent above Rs. 50,000 for a month or part of a month.</w:t>
      </w:r>
    </w:p>
    <w:p>
      <w:pPr>
        <w:pStyle w:val="ListParagraph"/>
        <w:numPr>
          <w:ilvl w:val="0"/>
          <w:numId w:val="2"/>
        </w:numPr>
        <w:spacing w:after="60" w:line="264"/>
      </w:pPr>
      <w:r>
        <w:rPr>
          <w:rFonts w:ascii="Verdana" w:cs="Verdana" w:eastAsia="Verdana" w:hAnsi="Verdana"/>
          <w:b/>
          <w:bCs/>
        </w:rPr>
        <w:t xml:space="preserve">Advance rent</w:t>
      </w:r>
      <w:r>
        <w:rPr>
          <w:rFonts w:ascii="Verdana" w:cs="Verdana" w:eastAsia="Verdana" w:hAnsi="Verdana"/>
        </w:rPr>
        <w:t xml:space="preserve"> is subject to TDS when paid; a refundable security deposit is not rent.</w:t>
      </w:r>
    </w:p>
    <w:p>
      <w:pPr>
        <w:pStyle w:val="ListParagraph"/>
        <w:numPr>
          <w:ilvl w:val="0"/>
          <w:numId w:val="2"/>
        </w:numPr>
        <w:spacing w:after="60" w:line="264"/>
      </w:pPr>
      <w:r>
        <w:rPr>
          <w:rFonts w:ascii="Verdana" w:cs="Verdana" w:eastAsia="Verdana" w:hAnsi="Verdana"/>
        </w:rPr>
        <w:t xml:space="preserve">Individuals and HUFs not liable to tax audit paying rent above Rs. 50,000 a month deduct 2% (old 194-IB), once a year or at the end of tenancy, using Form 141; no TAN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138: Rent with GST</w:t>
            </w:r>
          </w:p>
          <w:p>
            <w:pPr>
              <w:spacing w:after="60" w:line="260"/>
            </w:pPr>
            <w:r>
              <w:rPr>
                <w:rFonts w:ascii="Verdana" w:cs="Verdana" w:eastAsia="Verdana" w:hAnsi="Verdana"/>
                <w:sz w:val="20"/>
                <w:szCs w:val="20"/>
              </w:rPr>
              <w:t xml:space="preserve">A company pays monthly office rent of Rs. 1,00,000 plus GST of Rs. 18,000 (shown separately). TDS at 10% on Rs. 1,00,000 = </w:t>
            </w:r>
            <w:r>
              <w:rPr>
                <w:rFonts w:ascii="Verdana" w:cs="Verdana" w:eastAsia="Verdana" w:hAnsi="Verdana"/>
                <w:b/>
                <w:bCs/>
                <w:sz w:val="20"/>
                <w:szCs w:val="20"/>
              </w:rPr>
              <w:t xml:space="preserve">Rs. 10,000</w:t>
            </w:r>
            <w:r>
              <w:rPr>
                <w:rFonts w:ascii="Verdana" w:cs="Verdana" w:eastAsia="Verdana" w:hAnsi="Verdana"/>
                <w:sz w:val="20"/>
                <w:szCs w:val="20"/>
              </w:rPr>
              <w:t xml:space="preserve"> a month. GST is excluded because it is shown separately.</w:t>
            </w:r>
          </w:p>
        </w:tc>
      </w:tr>
    </w:tbl>
    <w:p>
      <w:pPr>
        <w:spacing w:after="60"/>
      </w:pPr>
    </w:p>
    <w:p>
      <w:pPr>
        <w:pStyle w:val="Heading2"/>
        <w:keepNext/>
        <w:spacing w:after="120" w:before="240"/>
      </w:pPr>
      <w:r>
        <w:rPr>
          <w:rFonts w:ascii="Verdana" w:cs="Verdana" w:eastAsia="Verdana" w:hAnsi="Verdana"/>
        </w:rPr>
        <w:t xml:space="preserve">35.8 Purchase of immovable property (old 194-IA)</w:t>
      </w:r>
    </w:p>
    <w:p>
      <w:pPr>
        <w:pStyle w:val="ListParagraph"/>
        <w:numPr>
          <w:ilvl w:val="0"/>
          <w:numId w:val="2"/>
        </w:numPr>
        <w:spacing w:after="60" w:line="264"/>
      </w:pPr>
      <w:r>
        <w:rPr>
          <w:rFonts w:ascii="Verdana" w:cs="Verdana" w:eastAsia="Verdana" w:hAnsi="Verdana"/>
        </w:rPr>
        <w:t xml:space="preserve">Buyer deducts 1% on the consideration if it is Rs. 50 lakh or more (for residents). If stamp duty value is higher than consideration, TDS is on the stamp duty value.</w:t>
      </w:r>
    </w:p>
    <w:p>
      <w:pPr>
        <w:pStyle w:val="ListParagraph"/>
        <w:numPr>
          <w:ilvl w:val="0"/>
          <w:numId w:val="2"/>
        </w:numPr>
        <w:spacing w:after="60" w:line="264"/>
      </w:pPr>
      <w:r>
        <w:rPr>
          <w:rFonts w:ascii="Verdana" w:cs="Verdana" w:eastAsia="Verdana" w:hAnsi="Verdana"/>
        </w:rPr>
        <w:t xml:space="preserve">Where there are multiple buyers or sellers, the Rs. 50 lakh threshold applies to the total consideration for the property, not to each person's share.</w:t>
      </w:r>
    </w:p>
    <w:p>
      <w:pPr>
        <w:pStyle w:val="ListParagraph"/>
        <w:numPr>
          <w:ilvl w:val="0"/>
          <w:numId w:val="2"/>
        </w:numPr>
        <w:spacing w:after="60" w:line="264"/>
      </w:pPr>
      <w:r>
        <w:rPr>
          <w:rFonts w:ascii="Verdana" w:cs="Verdana" w:eastAsia="Verdana" w:hAnsi="Verdana"/>
        </w:rPr>
        <w:t xml:space="preserve">Consideration includes all charges of the nature of club membership, car parking, electricity and water facility, maintenance fees and advance fees.</w:t>
      </w:r>
    </w:p>
    <w:p>
      <w:pPr>
        <w:pStyle w:val="ListParagraph"/>
        <w:numPr>
          <w:ilvl w:val="0"/>
          <w:numId w:val="2"/>
        </w:numPr>
        <w:spacing w:after="60" w:line="264"/>
      </w:pPr>
      <w:r>
        <w:rPr>
          <w:rFonts w:ascii="Verdana" w:cs="Verdana" w:eastAsia="Verdana" w:hAnsi="Verdana"/>
        </w:rPr>
        <w:t xml:space="preserve">Challan cum statement in Form 141 within 30 days from the end of the month of deduction; certificate in Form 132 within 15 days thereafter.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139: Joint buyers</w:t>
            </w:r>
          </w:p>
          <w:p>
            <w:pPr>
              <w:spacing w:after="60" w:line="260"/>
            </w:pPr>
            <w:r>
              <w:rPr>
                <w:rFonts w:ascii="Verdana" w:cs="Verdana" w:eastAsia="Verdana" w:hAnsi="Verdana"/>
                <w:sz w:val="20"/>
                <w:szCs w:val="20"/>
              </w:rPr>
              <w:t xml:space="preserve">Husband and wife buy a flat jointly for Rs. 80 lakh, each paying Rs. 40 lakh. Though each share is below Rs. 50 lakh, the total consideration is Rs. 80 lakh, so each deducts 1% on his or her payment: </w:t>
            </w:r>
            <w:r>
              <w:rPr>
                <w:rFonts w:ascii="Verdana" w:cs="Verdana" w:eastAsia="Verdana" w:hAnsi="Verdana"/>
                <w:b/>
                <w:bCs/>
                <w:sz w:val="20"/>
                <w:szCs w:val="20"/>
              </w:rPr>
              <w:t xml:space="preserve">Rs. 40,000 each</w:t>
            </w:r>
            <w:r>
              <w:rPr>
                <w:rFonts w:ascii="Verdana" w:cs="Verdana" w:eastAsia="Verdana" w:hAnsi="Verdana"/>
                <w:sz w:val="20"/>
                <w:szCs w:val="20"/>
              </w:rPr>
              <w:t xml:space="preserve">, and each files Form 141.</w:t>
            </w:r>
          </w:p>
        </w:tc>
      </w:tr>
    </w:tbl>
    <w:p>
      <w:pPr>
        <w:spacing w:after="60"/>
      </w:pPr>
    </w:p>
    <w:p>
      <w:pPr>
        <w:pStyle w:val="Heading2"/>
        <w:keepNext/>
        <w:spacing w:after="120" w:before="240"/>
      </w:pPr>
      <w:r>
        <w:rPr>
          <w:rFonts w:ascii="Verdana" w:cs="Verdana" w:eastAsia="Verdana" w:hAnsi="Verdana"/>
        </w:rPr>
        <w:t xml:space="preserve">35.9 Other important entries in section 393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800"/>
        <w:gridCol w:w="42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Payment (old section)</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c>
          <w:tcPr>
            <w:tcW w:type="dxa" w:w="4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Threshold and key points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other than on securities (194A)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Banks, co-operatives, post office: Rs. 50,000 (Rs. 1,00,000 for seniors); others Rs. 10,000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securities (193)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for debentures to individuals; demat securities largely exempt</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 (194)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per shareholder per year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Mutual fund units income (194K)</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 commission (194D)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 (individuals)</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Life insurance payout (194DA)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 of income component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Only where payout is taxable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 or brokerage (194H)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Purchase of goods (194Q)</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0.1%</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Buyer with turnover above Rs. 10 crore, purchases above Rs. 50 lakh from a seller, on the excess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E-commerce operators (194-O)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0.1%</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gross sales facilitated for e-commerce participants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withdrawals (194N)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 (5% for non-filers above Rs. 1 crore)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1 crore a year (Rs. 3 crore for co-operatives); non-filers above Rs. 20 lakh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Payments by individuals not under audit to contractors and professionals (194M)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Aggregate above Rs. 50 lakh a year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Benefits or perquisites of business (194R)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above Rs. 20,000 a year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Virtual digital assets (194S)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thresholds for specified persons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Payments to partners (194T)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Above Rs. 20,000 a year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Winnings from lottery, games, online games (194B, 194BA)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per transaction for lottery; online games on net winnings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TCS on sale of goods (old 206C(1H)) was withdrawn from 1 April 2025. The buyer side TDS on purchase of goods (0.1%) continues. Suppliers who were collecting TCS should have stopped.</w:t>
            </w:r>
          </w:p>
        </w:tc>
      </w:tr>
    </w:tbl>
    <w:p>
      <w:pPr>
        <w:spacing w:after="60"/>
      </w:pPr>
    </w:p>
    <w:p>
      <w:pPr>
        <w:pStyle w:val="Heading2"/>
        <w:keepNext/>
        <w:spacing w:after="120" w:before="240"/>
      </w:pPr>
      <w:r>
        <w:rPr>
          <w:rFonts w:ascii="Verdana" w:cs="Verdana" w:eastAsia="Verdana" w:hAnsi="Verdana"/>
        </w:rPr>
        <w:t xml:space="preserve">35.10 Consequences of TDS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Default</w:t>
            </w:r>
          </w:p>
        </w:tc>
        <w:tc>
          <w:tcPr>
            <w:tcW w:type="dxa" w:w="6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Consequence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deduct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Deductor is an "assessee in default" for the tax not deducted; interest 1% a month; disallowance of 30% (residents) or 100% (non-residents) of the expense; penalty up to the tax not deducted</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Deducted but not paid</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1.5% a month; recovery with interest; possible prosecution (with safe harbour if paid before the statement due date, as per recent amendments)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Late statement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 of Rs. 200 a day; penalty of Rs. 10,000 to Rs. 1,00,000 if delay exceeds one year or statement is incorrect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Payee has paid tax on the income</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Deductor is not treated as assessee in default for the tax, if the payee has filed a return including the income and paid tax, supported by an accountant's certificate (old Form 26A); interest still payable up to the date of the payee's return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Recovery when the payee has paid tax</w:t>
            </w:r>
          </w:p>
          <w:p>
            <w:pPr>
              <w:spacing w:after="60" w:line="260"/>
            </w:pPr>
            <w:r>
              <w:rPr>
                <w:rFonts w:ascii="Verdana" w:cs="Verdana" w:eastAsia="Verdana" w:hAnsi="Verdana"/>
                <w:b/>
                <w:bCs/>
                <w:sz w:val="20"/>
                <w:szCs w:val="20"/>
              </w:rPr>
              <w:t xml:space="preserve">Hindustan Coca Cola Beverage Pvt. Ltd. v. CIT (Supreme Court, 2007):</w:t>
            </w:r>
            <w:r>
              <w:rPr>
                <w:rFonts w:ascii="Verdana" w:cs="Verdana" w:eastAsia="Verdana" w:hAnsi="Verdana"/>
                <w:sz w:val="20"/>
                <w:szCs w:val="20"/>
              </w:rPr>
              <w:t xml:space="preserve"> where the payee has already paid tax on the income, the tax cannot be recovered again from the deductor, though interest for the period of default remains payable.</w:t>
            </w:r>
          </w:p>
        </w:tc>
      </w:tr>
    </w:tbl>
    <w:p>
      <w:pPr>
        <w:spacing w:after="60"/>
      </w:pPr>
    </w:p>
    <w:p>
      <w:pPr>
        <w:pStyle w:val="Heading2"/>
        <w:keepNext/>
        <w:spacing w:after="120" w:before="240"/>
      </w:pPr>
      <w:r>
        <w:rPr>
          <w:rFonts w:ascii="Verdana" w:cs="Verdana" w:eastAsia="Verdana" w:hAnsi="Verdana"/>
        </w:rPr>
        <w:t xml:space="preserve">35.11 Quarterly statements, corrections and reconciliation</w:t>
      </w:r>
    </w:p>
    <w:p>
      <w:pPr>
        <w:pStyle w:val="ListParagraph"/>
        <w:numPr>
          <w:ilvl w:val="0"/>
          <w:numId w:val="2"/>
        </w:numPr>
        <w:spacing w:after="60" w:line="264"/>
      </w:pPr>
      <w:r>
        <w:rPr>
          <w:rFonts w:ascii="Verdana" w:cs="Verdana" w:eastAsia="Verdana" w:hAnsi="Verdana"/>
        </w:rPr>
        <w:t xml:space="preserve">Statements are prepared in the prescribed format and validated through the File Validation Utility before upload.</w:t>
      </w:r>
    </w:p>
    <w:p>
      <w:pPr>
        <w:pStyle w:val="ListParagraph"/>
        <w:numPr>
          <w:ilvl w:val="0"/>
          <w:numId w:val="2"/>
        </w:numPr>
        <w:spacing w:after="60" w:line="264"/>
      </w:pPr>
      <w:r>
        <w:rPr>
          <w:rFonts w:ascii="Verdana" w:cs="Verdana" w:eastAsia="Verdana" w:hAnsi="Verdana"/>
        </w:rPr>
        <w:t xml:space="preserve">Errors in PAN, challan details or amounts are corrected through correction statements on the TRACES portal.</w:t>
      </w:r>
    </w:p>
    <w:p>
      <w:pPr>
        <w:pStyle w:val="ListParagraph"/>
        <w:numPr>
          <w:ilvl w:val="0"/>
          <w:numId w:val="2"/>
        </w:numPr>
        <w:spacing w:after="60" w:line="264"/>
      </w:pPr>
      <w:r>
        <w:rPr>
          <w:rFonts w:ascii="Verdana" w:cs="Verdana" w:eastAsia="Verdana" w:hAnsi="Verdana"/>
        </w:rPr>
        <w:t xml:space="preserve">Payees see their TDS in Form 168 (old 26AS) and AIS; mismatches lead to denial of credit in their returns. Deductors should reconcile their books with Form 168 of their own TAN and with the challan status every quarter.</w:t>
      </w:r>
    </w:p>
    <w:p>
      <w:pPr>
        <w:pStyle w:val="ListParagraph"/>
        <w:numPr>
          <w:ilvl w:val="0"/>
          <w:numId w:val="2"/>
        </w:numPr>
        <w:spacing w:after="60" w:line="264"/>
      </w:pPr>
      <w:r>
        <w:rPr>
          <w:rFonts w:ascii="Verdana" w:cs="Verdana" w:eastAsia="Verdana" w:hAnsi="Verdana"/>
        </w:rPr>
        <w:t xml:space="preserve">Short deduction and late payment notices from TRACES should be reviewed promptly; many arise from wrong PANs or challan tagging and can be cleared by corrections.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A quarterly TDS reconciliation (books versus challans versus statements versus Form 168 credits shown to payees) catches most problems before they become demands. For vendors, a Form 168 versus books reconciliation at year-end helps recover missed credits.</w:t>
            </w:r>
          </w:p>
        </w:tc>
      </w:tr>
    </w:tbl>
    <w:p>
      <w:pPr>
        <w:spacing w:after="60"/>
      </w:pPr>
    </w:p>
    <w:p>
      <w:pPr>
        <w:pStyle w:val="Heading2"/>
        <w:keepNext/>
        <w:spacing w:after="120" w:before="240"/>
      </w:pPr>
      <w:r>
        <w:rPr>
          <w:rFonts w:ascii="Verdana" w:cs="Verdana" w:eastAsia="Verdana" w:hAnsi="Verdana"/>
        </w:rPr>
        <w:t xml:space="preserve">35.12 Withholding rates for payments to non-residents under the Act</w:t>
      </w:r>
    </w:p>
    <w:p>
      <w:pPr>
        <w:spacing w:after="120" w:line="276"/>
        <w:jc w:val="both"/>
      </w:pPr>
      <w:r>
        <w:rPr>
          <w:rFonts w:ascii="Verdana" w:cs="Verdana" w:eastAsia="Verdana" w:hAnsi="Verdana"/>
        </w:rPr>
        <w:t xml:space="preserve">Where no treaty applies (or the treaty rate is higher), the rates in force under the Act for withholding under section 393(2) are broadly as follows, plus applicable surcharge and 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cantSplit/>
          <w:tblHeader/>
        </w:trPr>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Nature of income</w:t>
            </w:r>
          </w:p>
        </w:tc>
        <w:tc>
          <w:tcPr>
            <w:tcW w:type="dxa" w:w="25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Non-resident individual</w:t>
            </w:r>
          </w:p>
        </w:tc>
        <w:tc>
          <w:tcPr>
            <w:tcW w:type="dxa" w:w="25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Foreign company</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(general)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and fees for technical services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listed equity (section 198)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above Rs. 1,25,000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above Rs. 1,25,000</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other assets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on listed equity (section 196)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STCG</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(slab rates apply on assessment)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other income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Winnings from lottery and games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392 for salary, 393 for other payments with tables and payment codes, 394 for TCS.</w:t>
            </w:r>
          </w:p>
          <w:p>
            <w:pPr>
              <w:spacing w:after="60" w:line="260"/>
            </w:pPr>
            <w:r>
              <w:rPr>
                <w:rFonts w:ascii="Verdana" w:cs="Verdana" w:eastAsia="Verdana" w:hAnsi="Verdana"/>
                <w:sz w:val="20"/>
                <w:szCs w:val="20"/>
              </w:rPr>
              <w:t xml:space="preserve">•  Deduct at the earlier of credit or payment; exclude GST shown separately.</w:t>
            </w:r>
          </w:p>
          <w:p>
            <w:pPr>
              <w:spacing w:after="60" w:line="260"/>
            </w:pPr>
            <w:r>
              <w:rPr>
                <w:rFonts w:ascii="Verdana" w:cs="Verdana" w:eastAsia="Verdana" w:hAnsi="Verdana"/>
                <w:sz w:val="20"/>
                <w:szCs w:val="20"/>
              </w:rPr>
              <w:t xml:space="preserve">•  Defaults bring interest, disallowance, penalty and possible prosecution.</w:t>
            </w:r>
          </w:p>
          <w:p>
            <w:pPr>
              <w:spacing w:after="60" w:line="260"/>
            </w:pPr>
            <w:r>
              <w:rPr>
                <w:rFonts w:ascii="Verdana" w:cs="Verdana" w:eastAsia="Verdana" w:hAnsi="Verdana"/>
                <w:sz w:val="20"/>
                <w:szCs w:val="20"/>
              </w:rPr>
              <w:t xml:space="preserve">•  Reconcile books, challans, statements and Form 168 every quarter.</w:t>
            </w:r>
          </w:p>
        </w:tc>
      </w:tr>
    </w:tbl>
    <w:p>
      <w:pPr>
        <w:pStyle w:val="Heading1"/>
        <w:pageBreakBefore/>
        <w:spacing w:after="200" w:before="0"/>
      </w:pPr>
      <w:r>
        <w:rPr>
          <w:rFonts w:ascii="Verdana" w:cs="Verdana" w:eastAsia="Verdana" w:hAnsi="Verdana"/>
        </w:rPr>
        <w:t xml:space="preserve">36. TDS on Salary (Section 392)</w:t>
      </w:r>
    </w:p>
    <w:p>
      <w:pPr>
        <w:spacing w:after="120" w:line="276"/>
        <w:jc w:val="both"/>
      </w:pPr>
      <w:r>
        <w:rPr>
          <w:rFonts w:ascii="Verdana" w:cs="Verdana" w:eastAsia="Verdana" w:hAnsi="Verdana"/>
        </w:rPr>
        <w:t xml:space="preserve">Section 392 requires every employer to deduct tax from salary at the time of payment, at the average rate of tax on the estimated income of the employee for the year. Unlike other TDS, the employer must compute the employee's tax liability.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Salary paid abroad</w:t>
            </w:r>
          </w:p>
          <w:p>
            <w:pPr>
              <w:spacing w:after="60" w:line="260"/>
            </w:pPr>
            <w:r>
              <w:rPr>
                <w:rFonts w:ascii="Verdana" w:cs="Verdana" w:eastAsia="Verdana" w:hAnsi="Verdana"/>
                <w:b/>
                <w:bCs/>
                <w:sz w:val="20"/>
                <w:szCs w:val="20"/>
              </w:rPr>
              <w:t xml:space="preserve">CIT v. Eli Lilly and Co. (India) (P) Ltd. (Supreme Court, 2009):</w:t>
            </w:r>
            <w:r>
              <w:rPr>
                <w:rFonts w:ascii="Verdana" w:cs="Verdana" w:eastAsia="Verdana" w:hAnsi="Verdana"/>
                <w:sz w:val="20"/>
                <w:szCs w:val="20"/>
              </w:rPr>
              <w:t xml:space="preserve"> salary paid abroad by a foreign parent to expatriates for services rendered in India is taxable in India, and the Indian employer must deduct tax on the total salary, including the portion paid abroad.</w:t>
            </w:r>
          </w:p>
        </w:tc>
      </w:tr>
    </w:tbl>
    <w:p>
      <w:pPr>
        <w:spacing w:after="60"/>
      </w:pPr>
    </w:p>
    <w:p>
      <w:pPr>
        <w:pStyle w:val="Heading2"/>
        <w:keepNext/>
        <w:spacing w:after="120" w:before="240"/>
      </w:pPr>
      <w:r>
        <w:rPr>
          <w:rFonts w:ascii="Verdana" w:cs="Verdana" w:eastAsia="Verdana" w:hAnsi="Verdana"/>
        </w:rPr>
        <w:t xml:space="preserve">36.1 What the employer takes into account</w:t>
      </w:r>
    </w:p>
    <w:p>
      <w:pPr>
        <w:pStyle w:val="ListParagraph"/>
        <w:numPr>
          <w:ilvl w:val="0"/>
          <w:numId w:val="2"/>
        </w:numPr>
        <w:spacing w:after="60" w:line="264"/>
      </w:pPr>
      <w:r>
        <w:rPr>
          <w:rFonts w:ascii="Verdana" w:cs="Verdana" w:eastAsia="Verdana" w:hAnsi="Verdana"/>
        </w:rPr>
        <w:t xml:space="preserve">Salary, allowances and perquisites (valued under the Rules), including perquisites for which the employer may choose to pay the tax.</w:t>
      </w:r>
    </w:p>
    <w:p>
      <w:pPr>
        <w:pStyle w:val="ListParagraph"/>
        <w:numPr>
          <w:ilvl w:val="0"/>
          <w:numId w:val="2"/>
        </w:numPr>
        <w:spacing w:after="60" w:line="264"/>
      </w:pPr>
      <w:r>
        <w:rPr>
          <w:rFonts w:ascii="Verdana" w:cs="Verdana" w:eastAsia="Verdana" w:hAnsi="Verdana"/>
        </w:rPr>
        <w:t xml:space="preserve">The regime chosen by the employee (new regime by default unless the employee opts for the old regime with the employer for TDS purposes).</w:t>
      </w:r>
    </w:p>
    <w:p>
      <w:pPr>
        <w:pStyle w:val="ListParagraph"/>
        <w:numPr>
          <w:ilvl w:val="0"/>
          <w:numId w:val="2"/>
        </w:numPr>
        <w:spacing w:after="60" w:line="264"/>
      </w:pPr>
      <w:r>
        <w:rPr>
          <w:rFonts w:ascii="Verdana" w:cs="Verdana" w:eastAsia="Verdana" w:hAnsi="Verdana"/>
        </w:rPr>
        <w:t xml:space="preserve">In the old regime, deductions and exemptions declared and supported by evidence (Form 124, old 12BB).</w:t>
      </w:r>
    </w:p>
    <w:p>
      <w:pPr>
        <w:pStyle w:val="ListParagraph"/>
        <w:numPr>
          <w:ilvl w:val="0"/>
          <w:numId w:val="2"/>
        </w:numPr>
        <w:spacing w:after="60" w:line="264"/>
      </w:pPr>
      <w:r>
        <w:rPr>
          <w:rFonts w:ascii="Verdana" w:cs="Verdana" w:eastAsia="Verdana" w:hAnsi="Verdana"/>
        </w:rPr>
        <w:t xml:space="preserve">Salary from previous employers during the year, if the employee furnishes details.</w:t>
      </w:r>
    </w:p>
    <w:p>
      <w:pPr>
        <w:pStyle w:val="ListParagraph"/>
        <w:numPr>
          <w:ilvl w:val="0"/>
          <w:numId w:val="2"/>
        </w:numPr>
        <w:spacing w:after="60" w:line="264"/>
      </w:pPr>
      <w:r>
        <w:rPr>
          <w:rFonts w:ascii="Verdana" w:cs="Verdana" w:eastAsia="Verdana" w:hAnsi="Verdana"/>
        </w:rPr>
        <w:t xml:space="preserve">Other income and TDS on it, and loss from house property (old regime only), if the employee furnishes details; a loss under any other head is not considered.</w:t>
      </w:r>
    </w:p>
    <w:p>
      <w:pPr>
        <w:pStyle w:val="ListParagraph"/>
        <w:numPr>
          <w:ilvl w:val="0"/>
          <w:numId w:val="2"/>
        </w:numPr>
        <w:spacing w:after="60" w:line="264"/>
      </w:pPr>
      <w:r>
        <w:rPr>
          <w:rFonts w:ascii="Verdana" w:cs="Verdana" w:eastAsia="Verdana" w:hAnsi="Verdana"/>
        </w:rPr>
        <w:t xml:space="preserve">Relief for arrears (section 157) where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140: Monthly TDS</w:t>
            </w:r>
          </w:p>
          <w:p>
            <w:pPr>
              <w:spacing w:after="60" w:line="260"/>
            </w:pPr>
            <w:r>
              <w:rPr>
                <w:rFonts w:ascii="Verdana" w:cs="Verdana" w:eastAsia="Verdana" w:hAnsi="Verdana"/>
                <w:sz w:val="20"/>
                <w:szCs w:val="20"/>
              </w:rPr>
              <w:t xml:space="preserve">Rahul (new regime) has gross salary of Rs. 18,00,000, car perquisite of Rs. 1,20,000 and employer NPS contribution of Rs. 1,00,000 (within 14% of salary) for Tax Year 2026-27.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including NPS contribution (18,00,000 plus 1,00,000)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19,00,000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car perquisite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standard deduction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employer NPS contribution (section 124)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Estimated total income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18,45,000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20,000 + 40,000 + 60,000 + 20% of 2,45,000 (49,000)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1,69,000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cess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6,760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Annual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1,75,760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Monthly TDS (1,75,760 / 12)</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14,647</w:t>
            </w:r>
          </w:p>
        </w:tc>
      </w:tr>
    </w:tbl>
    <w:p>
      <w:pPr>
        <w:spacing w:after="60"/>
      </w:pPr>
    </w:p>
    <w:p>
      <w:pPr>
        <w:spacing w:after="120" w:line="276"/>
        <w:jc w:val="both"/>
      </w:pPr>
      <w:r>
        <w:rPr>
          <w:rFonts w:ascii="Verdana" w:cs="Verdana" w:eastAsia="Verdana" w:hAnsi="Verdana"/>
        </w:rPr>
        <w:t xml:space="preserve">If Rahul joins another company in October, the new employer must take into account the salary and TDS of the first employer (if furnished) to avoid short deduction. Otherwise Rahul will have to pay the shortfall as self assessment tax with interest.</w:t>
      </w:r>
    </w:p>
    <w:p>
      <w:pPr>
        <w:pStyle w:val="Heading2"/>
        <w:keepNext/>
        <w:spacing w:after="120" w:before="240"/>
      </w:pPr>
      <w:r>
        <w:rPr>
          <w:rFonts w:ascii="Verdana" w:cs="Verdana" w:eastAsia="Verdana" w:hAnsi="Verdana"/>
        </w:rPr>
        <w:t xml:space="preserve">36.2 Employer paying tax on non-monetary perquisites</w:t>
      </w:r>
    </w:p>
    <w:p>
      <w:pPr>
        <w:spacing w:after="120" w:line="276"/>
        <w:jc w:val="both"/>
      </w:pPr>
      <w:r>
        <w:rPr>
          <w:rFonts w:ascii="Verdana" w:cs="Verdana" w:eastAsia="Verdana" w:hAnsi="Verdana"/>
        </w:rPr>
        <w:t xml:space="preserve">An employer can choose to bear the tax on non-monetary perquisites. The tax paid by the employer is not a further perquisite for the employee, and it is not a deductible expense for the employer. The employee reports the perquisite and claims the tax paid as TDS credit.</w:t>
      </w:r>
    </w:p>
    <w:p>
      <w:pPr>
        <w:pStyle w:val="Heading2"/>
        <w:keepNext/>
        <w:spacing w:after="120" w:before="240"/>
      </w:pPr>
      <w:r>
        <w:rPr>
          <w:rFonts w:ascii="Verdana" w:cs="Verdana" w:eastAsia="Verdana" w:hAnsi="Verdana"/>
        </w:rPr>
        <w:t xml:space="preserve">36.3 Form 130 and reporting</w:t>
      </w:r>
    </w:p>
    <w:p>
      <w:pPr>
        <w:spacing w:after="120" w:line="276"/>
        <w:jc w:val="both"/>
      </w:pPr>
      <w:r>
        <w:rPr>
          <w:rFonts w:ascii="Verdana" w:cs="Verdana" w:eastAsia="Verdana" w:hAnsi="Verdana"/>
        </w:rPr>
        <w:t xml:space="preserve">The employer issues Form 130 (old Form 16) by 15 June after the end of the tax year, with Part A from TRACES (TDS deposited) and Part B (salary computation). Details of perquisites are in Form 123 (old 12BA). Quarterly salary TDS is reported in Form 138 (old 24Q), with the salary break up in the last quarter.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The employer computes the employee's tax and deducts at the average rate.</w:t>
            </w:r>
          </w:p>
          <w:p>
            <w:pPr>
              <w:spacing w:after="60" w:line="260"/>
            </w:pPr>
            <w:r>
              <w:rPr>
                <w:rFonts w:ascii="Verdana" w:cs="Verdana" w:eastAsia="Verdana" w:hAnsi="Verdana"/>
                <w:sz w:val="20"/>
                <w:szCs w:val="20"/>
              </w:rPr>
              <w:t xml:space="preserve">•  The regime chosen by the employee and declared deductions affect TDS.</w:t>
            </w:r>
          </w:p>
          <w:p>
            <w:pPr>
              <w:spacing w:after="60" w:line="260"/>
            </w:pPr>
            <w:r>
              <w:rPr>
                <w:rFonts w:ascii="Verdana" w:cs="Verdana" w:eastAsia="Verdana" w:hAnsi="Verdana"/>
                <w:sz w:val="20"/>
                <w:szCs w:val="20"/>
              </w:rPr>
              <w:t xml:space="preserve">•  Form 130 by 15 June; quarterly Form 138.</w:t>
            </w:r>
          </w:p>
        </w:tc>
      </w:tr>
    </w:tbl>
    <w:p>
      <w:pPr>
        <w:pStyle w:val="Heading1"/>
        <w:pageBreakBefore/>
        <w:spacing w:after="200" w:before="0"/>
      </w:pPr>
      <w:r>
        <w:rPr>
          <w:rFonts w:ascii="Verdana" w:cs="Verdana" w:eastAsia="Verdana" w:hAnsi="Verdana"/>
        </w:rPr>
        <w:t xml:space="preserve">37. Advance Tax, Interest and Fees</w:t>
      </w:r>
    </w:p>
    <w:p>
      <w:pPr>
        <w:pStyle w:val="Heading2"/>
        <w:keepNext/>
        <w:spacing w:after="120" w:before="240"/>
      </w:pPr>
      <w:r>
        <w:rPr>
          <w:rFonts w:ascii="Verdana" w:cs="Verdana" w:eastAsia="Verdana" w:hAnsi="Verdana"/>
        </w:rPr>
        <w:t xml:space="preserve">37.1 Advance tax (sections 403 to 411)</w:t>
      </w:r>
    </w:p>
    <w:p>
      <w:pPr>
        <w:spacing w:after="120" w:line="276"/>
        <w:jc w:val="both"/>
      </w:pPr>
      <w:r>
        <w:rPr>
          <w:rFonts w:ascii="Verdana" w:cs="Verdana" w:eastAsia="Verdana" w:hAnsi="Verdana"/>
        </w:rPr>
        <w:t xml:space="preserve">Payable if estimated tax after TDS and TCS is </w:t>
      </w:r>
      <w:r>
        <w:rPr>
          <w:rFonts w:ascii="Verdana" w:cs="Verdana" w:eastAsia="Verdana" w:hAnsi="Verdana"/>
          <w:b/>
          <w:bCs/>
        </w:rPr>
        <w:t xml:space="preserve">Rs. 10,000 or more</w:t>
      </w:r>
      <w:r>
        <w:rPr>
          <w:rFonts w:ascii="Verdana" w:cs="Verdana" w:eastAsia="Verdana" w:hAnsi="Verdana"/>
        </w:rPr>
        <w:t xml:space="preserve">. A resident senior citizen without business or professional income is exempt.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w:t>
            </w:r>
          </w:p>
        </w:tc>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Cumulative amount</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June</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September</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December</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75%</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March</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cases (section 58)</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by 15 March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141: Shortfall</w:t>
            </w:r>
          </w:p>
          <w:p>
            <w:pPr>
              <w:spacing w:after="60" w:line="260"/>
            </w:pPr>
            <w:r>
              <w:rPr>
                <w:rFonts w:ascii="Verdana" w:cs="Verdana" w:eastAsia="Verdana" w:hAnsi="Verdana"/>
                <w:sz w:val="20"/>
                <w:szCs w:val="20"/>
              </w:rPr>
              <w:t xml:space="preserve">Rohit, a freelancer, has assessed tax of Rs. 2,00,000 but paid only Rs. 50,000 in advance tax. Since he paid less than 90%, section 424 (old 234B) applies.</w:t>
            </w:r>
          </w:p>
          <w:p>
            <w:pPr>
              <w:spacing w:after="60" w:line="260"/>
            </w:pPr>
            <w:r>
              <w:rPr>
                <w:rFonts w:ascii="Verdana" w:cs="Verdana" w:eastAsia="Verdana" w:hAnsi="Verdana"/>
                <w:sz w:val="20"/>
                <w:szCs w:val="20"/>
              </w:rPr>
              <w:t xml:space="preserve">He pays the balance with his return on 31 July 2027. Interest = 1% x 1,50,000 x 4 months (April to July) = </w:t>
            </w:r>
            <w:r>
              <w:rPr>
                <w:rFonts w:ascii="Verdana" w:cs="Verdana" w:eastAsia="Verdana" w:hAnsi="Verdana"/>
                <w:b/>
                <w:bCs/>
                <w:sz w:val="20"/>
                <w:szCs w:val="20"/>
              </w:rPr>
              <w:t xml:space="preserve">Rs. 6,000</w:t>
            </w:r>
            <w:r>
              <w:rPr>
                <w:rFonts w:ascii="Verdana" w:cs="Verdana" w:eastAsia="Verdana" w:hAnsi="Verdana"/>
                <w:sz w:val="20"/>
                <w:szCs w:val="20"/>
              </w:rPr>
              <w:t xml:space="preserve">, plus interest under section 425 for missed instalments.</w:t>
            </w:r>
          </w:p>
        </w:tc>
      </w:tr>
    </w:tbl>
    <w:p>
      <w:pPr>
        <w:spacing w:after="60"/>
      </w:pPr>
    </w:p>
    <w:p>
      <w:pPr>
        <w:pStyle w:val="Heading2"/>
        <w:keepNext/>
        <w:spacing w:after="120" w:before="240"/>
      </w:pPr>
      <w:r>
        <w:rPr>
          <w:rFonts w:ascii="Verdana" w:cs="Verdana" w:eastAsia="Verdana" w:hAnsi="Verdana"/>
        </w:rPr>
        <w:t xml:space="preserve">37.2 Interest (sections 423 to 426) and fees (sections 427, 428)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8"/>
        <w:gridCol w:w="800"/>
        <w:gridCol w:w="900"/>
        <w:gridCol w:w="4600"/>
      </w:tblGrid>
      <w:tr>
        <w:trPr>
          <w:cantSplit/>
          <w:tblHeader/>
        </w:trPr>
        <w:tc>
          <w:tcPr>
            <w:tcW w:type="dxa" w:w="33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Default</w:t>
            </w:r>
          </w:p>
        </w:tc>
        <w:tc>
          <w:tcPr>
            <w:tcW w:type="dxa" w:w="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w:t>
            </w:r>
          </w:p>
        </w:tc>
        <w:tc>
          <w:tcPr>
            <w:tcW w:type="dxa" w:w="9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4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Consequence</w:t>
            </w:r>
          </w:p>
        </w:tc>
      </w:tr>
      <w:tr>
        <w:trPr>
          <w:cantSplit/>
        </w:trP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Late return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234A</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 month on unpaid tax from due date</w:t>
            </w:r>
          </w:p>
        </w:tc>
      </w:tr>
      <w:tr>
        <w:trPr>
          <w:cantSplit/>
        </w:trP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tax below 90% of assessed tax</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424</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234B</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 month on shortfall from 1 April after the tax year</w:t>
            </w:r>
          </w:p>
        </w:tc>
      </w:tr>
      <w:tr>
        <w:trPr>
          <w:cantSplit/>
        </w:trP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Short or late instalments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234C</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 month for 3 months (1 month for March)</w:t>
            </w:r>
          </w:p>
        </w:tc>
      </w:tr>
      <w:tr>
        <w:trPr>
          <w:cantSplit/>
        </w:trP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Excess refund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426</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234D</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0.5% a month</w:t>
            </w:r>
          </w:p>
        </w:tc>
      </w:tr>
      <w:tr>
        <w:trPr>
          <w:cantSplit/>
        </w:trP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Late TDS or TCS statement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427</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234E</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 a day up to tax amount</w:t>
            </w:r>
          </w:p>
        </w:tc>
      </w:tr>
      <w:tr>
        <w:trPr>
          <w:cantSplit/>
        </w:trP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Late return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428</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234F</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 Rs. 1,000 if income up to Rs. 5 lakh</w:t>
            </w:r>
          </w:p>
        </w:tc>
      </w:tr>
      <w:tr>
        <w:trPr>
          <w:cantSplit/>
        </w:trP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refunds to taxpayer</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437</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244A</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0.5% a month</w:t>
            </w:r>
          </w:p>
        </w:tc>
      </w:tr>
    </w:tbl>
    <w:p>
      <w:pPr>
        <w:spacing w:after="60"/>
      </w:pPr>
    </w:p>
    <w:p>
      <w:pPr>
        <w:pStyle w:val="Heading2"/>
        <w:keepNext/>
        <w:spacing w:after="120" w:before="240"/>
      </w:pPr>
      <w:r>
        <w:rPr>
          <w:rFonts w:ascii="Verdana" w:cs="Verdana" w:eastAsia="Verdana" w:hAnsi="Verdana"/>
        </w:rPr>
        <w:t xml:space="preserve">37.3 Computing advance tax and interest under section 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142: Instalments and interest</w:t>
            </w:r>
          </w:p>
          <w:p>
            <w:pPr>
              <w:spacing w:after="60" w:line="260"/>
            </w:pPr>
            <w:r>
              <w:rPr>
                <w:rFonts w:ascii="Verdana" w:cs="Verdana" w:eastAsia="Verdana" w:hAnsi="Verdana"/>
                <w:sz w:val="20"/>
                <w:szCs w:val="20"/>
              </w:rPr>
              <w:t xml:space="preserve">Manoj, a consultant (not presumptive), estimates tax after TDS for Tax Year 2026-27 at Rs. 4,00,000. His cumulative advance tax payments are: 15 June Rs. 40,000; 15 September Rs. 1,50,000; 15 December Rs. 2,50,000; 15 March Rs. 3,90,000. Assessed tax (after TDS) turns out to be Rs. 4,00,000.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700"/>
        <w:gridCol w:w="1700"/>
        <w:gridCol w:w="1600"/>
        <w:gridCol w:w="1800"/>
      </w:tblGrid>
      <w:tr>
        <w:trPr>
          <w:cantSplit/>
          <w:tblHeader/>
        </w:trPr>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w:t>
            </w:r>
          </w:p>
        </w:tc>
        <w:tc>
          <w:tcPr>
            <w:tcW w:type="dxa" w:w="1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Required (cumulative)</w:t>
            </w:r>
          </w:p>
        </w:tc>
        <w:tc>
          <w:tcPr>
            <w:tcW w:type="dxa" w:w="1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Paid (cumulative)</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Shortfall</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Interest</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June (15%, safe if 12% paid)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 (10%)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20,000 x 1% x 3 = 600</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September (45%, safe if 36% paid)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 (37.5%)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 (safe harbour)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December (75%)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50,000 x 1% x 3 = 1,500</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March (100%)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3,90,000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10,000 x 1% x 1 = 100</w:t>
            </w:r>
          </w:p>
        </w:tc>
      </w:tr>
      <w:tr>
        <w:trPr>
          <w:cantSplit/>
        </w:trPr>
        <w:tc>
          <w:tcPr>
            <w:tcW w:type="dxa" w:w="2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interest under section 425</w:t>
            </w:r>
          </w:p>
        </w:tc>
        <w:tc>
          <w:tcPr>
            <w:tcW w:type="dxa" w:w="17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17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1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1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2,200</w:t>
            </w:r>
          </w:p>
        </w:tc>
      </w:tr>
    </w:tbl>
    <w:p>
      <w:pPr>
        <w:spacing w:after="60"/>
      </w:pPr>
    </w:p>
    <w:p>
      <w:pPr>
        <w:spacing w:after="120" w:line="276"/>
        <w:jc w:val="both"/>
      </w:pPr>
      <w:r>
        <w:rPr>
          <w:rFonts w:ascii="Verdana" w:cs="Verdana" w:eastAsia="Verdana" w:hAnsi="Verdana"/>
        </w:rPr>
        <w:t xml:space="preserve">Section 424 does not apply because Rs. 3,90,000 is more than 90% of the assessed tax. The balance of Rs. 10,000 plus interest must be paid as self assessment tax before filing the return.</w:t>
      </w:r>
    </w:p>
    <w:p>
      <w:pPr>
        <w:pStyle w:val="Heading2"/>
        <w:keepNext/>
        <w:spacing w:after="120" w:before="240"/>
      </w:pPr>
      <w:r>
        <w:rPr>
          <w:rFonts w:ascii="Verdana" w:cs="Verdana" w:eastAsia="Verdana" w:hAnsi="Verdana"/>
        </w:rPr>
        <w:t xml:space="preserve">37.4 Points to remember</w:t>
      </w:r>
    </w:p>
    <w:p>
      <w:pPr>
        <w:pStyle w:val="ListParagraph"/>
        <w:numPr>
          <w:ilvl w:val="0"/>
          <w:numId w:val="2"/>
        </w:numPr>
        <w:spacing w:after="60" w:line="264"/>
      </w:pPr>
      <w:r>
        <w:rPr>
          <w:rFonts w:ascii="Verdana" w:cs="Verdana" w:eastAsia="Verdana" w:hAnsi="Verdana"/>
        </w:rPr>
        <w:t xml:space="preserve">Estimated tax for advance tax purposes is after deducting TDS and TCS expected during the year.</w:t>
      </w:r>
    </w:p>
    <w:p>
      <w:pPr>
        <w:pStyle w:val="ListParagraph"/>
        <w:numPr>
          <w:ilvl w:val="0"/>
          <w:numId w:val="2"/>
        </w:numPr>
        <w:spacing w:after="60" w:line="264"/>
      </w:pPr>
      <w:r>
        <w:rPr>
          <w:rFonts w:ascii="Verdana" w:cs="Verdana" w:eastAsia="Verdana" w:hAnsi="Verdana"/>
        </w:rPr>
        <w:t xml:space="preserve">Capital gains, winnings and dividends that arise after an instalment date are not counted for the earlier instalments if the remaining instalments are paid after they arise.</w:t>
      </w:r>
    </w:p>
    <w:p>
      <w:pPr>
        <w:pStyle w:val="ListParagraph"/>
        <w:numPr>
          <w:ilvl w:val="0"/>
          <w:numId w:val="2"/>
        </w:numPr>
        <w:spacing w:after="60" w:line="264"/>
      </w:pPr>
      <w:r>
        <w:rPr>
          <w:rFonts w:ascii="Verdana" w:cs="Verdana" w:eastAsia="Verdana" w:hAnsi="Verdana"/>
        </w:rPr>
        <w:t xml:space="preserve">Interest is rounded: shortfall is rounded down to the nearest multiple of Rs. 100, and a fraction of a month counts as a full month for sections 423 and 424.</w:t>
      </w:r>
    </w:p>
    <w:p>
      <w:pPr>
        <w:pStyle w:val="ListParagraph"/>
        <w:numPr>
          <w:ilvl w:val="0"/>
          <w:numId w:val="2"/>
        </w:numPr>
        <w:spacing w:after="60" w:line="264"/>
      </w:pPr>
      <w:r>
        <w:rPr>
          <w:rFonts w:ascii="Verdana" w:cs="Verdana" w:eastAsia="Verdana" w:hAnsi="Verdana"/>
        </w:rPr>
        <w:t xml:space="preserve">Companies must also take MAT into account for advance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Payable if tax is Rs. 10,000 or more; instalments of 15%, 45%, 75% and 100%.</w:t>
            </w:r>
          </w:p>
          <w:p>
            <w:pPr>
              <w:spacing w:after="60" w:line="260"/>
            </w:pPr>
            <w:r>
              <w:rPr>
                <w:rFonts w:ascii="Verdana" w:cs="Verdana" w:eastAsia="Verdana" w:hAnsi="Verdana"/>
                <w:sz w:val="20"/>
                <w:szCs w:val="20"/>
              </w:rPr>
              <w:t xml:space="preserve">•  Interest under sections 423, 424 and 425 at 1% a month.</w:t>
            </w:r>
          </w:p>
          <w:p>
            <w:pPr>
              <w:spacing w:after="60" w:line="260"/>
            </w:pPr>
            <w:r>
              <w:rPr>
                <w:rFonts w:ascii="Verdana" w:cs="Verdana" w:eastAsia="Verdana" w:hAnsi="Verdana"/>
                <w:sz w:val="20"/>
                <w:szCs w:val="20"/>
              </w:rPr>
              <w:t xml:space="preserve">•  Late return fee Rs. 5,000 (Rs. 1,000 for small incomes).</w:t>
            </w:r>
          </w:p>
        </w:tc>
      </w:tr>
    </w:tbl>
    <w:p>
      <w:pPr>
        <w:pStyle w:val="Heading1"/>
        <w:pageBreakBefore/>
        <w:spacing w:after="200" w:before="0"/>
      </w:pPr>
      <w:r>
        <w:rPr>
          <w:rFonts w:ascii="Verdana" w:cs="Verdana" w:eastAsia="Verdana" w:hAnsi="Verdana"/>
        </w:rPr>
        <w:t xml:space="preserve">38. PAN and Return of Income (Sections 262 to 267)</w:t>
      </w:r>
    </w:p>
    <w:p>
      <w:pPr>
        <w:pStyle w:val="Heading2"/>
        <w:keepNext/>
        <w:spacing w:after="120" w:before="240"/>
      </w:pPr>
      <w:r>
        <w:rPr>
          <w:rFonts w:ascii="Verdana" w:cs="Verdana" w:eastAsia="Verdana" w:hAnsi="Verdana"/>
        </w:rPr>
        <w:t xml:space="preserve">38.1 Who must file</w:t>
      </w:r>
    </w:p>
    <w:p>
      <w:pPr>
        <w:pStyle w:val="ListParagraph"/>
        <w:numPr>
          <w:ilvl w:val="0"/>
          <w:numId w:val="2"/>
        </w:numPr>
        <w:spacing w:after="60" w:line="264"/>
      </w:pPr>
      <w:r>
        <w:rPr>
          <w:rFonts w:ascii="Verdana" w:cs="Verdana" w:eastAsia="Verdana" w:hAnsi="Verdana"/>
        </w:rPr>
        <w:t xml:space="preserve">Companies and firms: always, even with loss or nil income.</w:t>
      </w:r>
    </w:p>
    <w:p>
      <w:pPr>
        <w:pStyle w:val="ListParagraph"/>
        <w:numPr>
          <w:ilvl w:val="0"/>
          <w:numId w:val="2"/>
        </w:numPr>
        <w:spacing w:after="60" w:line="264"/>
      </w:pPr>
      <w:r>
        <w:rPr>
          <w:rFonts w:ascii="Verdana" w:cs="Verdana" w:eastAsia="Verdana" w:hAnsi="Verdana"/>
        </w:rPr>
        <w:t xml:space="preserve">Individuals and HUFs: if total income before deductions exceeds the basic exemption limit, or on specified transactions (electricity above Rs. 1 lakh, foreign travel above Rs. 2 lakh, current account deposits of Rs. 1 crore or more), or if they hold foreign assets.</w:t>
      </w:r>
    </w:p>
    <w:p>
      <w:pPr>
        <w:pStyle w:val="Heading2"/>
        <w:keepNext/>
        <w:spacing w:after="120" w:before="240"/>
      </w:pPr>
      <w:r>
        <w:rPr>
          <w:rFonts w:ascii="Verdana" w:cs="Verdana" w:eastAsia="Verdana" w:hAnsi="Verdana"/>
        </w:rPr>
        <w:t xml:space="preserve">38.2 Due dates for Tax Year 2026-27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cantSplit/>
          <w:tblHeader/>
        </w:trPr>
        <w:tc>
          <w:tcPr>
            <w:tcW w:type="dxa" w:w="5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Taxpayer</w:t>
            </w:r>
          </w:p>
        </w:tc>
        <w:tc>
          <w:tcPr>
            <w:tcW w:type="dxa" w:w="4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Individuals, HUFs without business income (ITR-1, ITR-2)</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July 2027</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Non-audit business or profession cases (ITR-3, ITR-4)</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August 2027</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Audit cases, companies, partners of audited firms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October 2027</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 cases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November 2027</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Belated return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December 2027</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Revised return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12 months from end of tax year (up to 31 March 2028), subject to conditions</w:t>
            </w:r>
          </w:p>
        </w:tc>
      </w:tr>
    </w:tbl>
    <w:p>
      <w:pPr>
        <w:spacing w:after="60"/>
      </w:pPr>
    </w:p>
    <w:p>
      <w:pPr>
        <w:pStyle w:val="Heading2"/>
        <w:keepNext/>
        <w:spacing w:after="120" w:before="240"/>
      </w:pPr>
      <w:r>
        <w:rPr>
          <w:rFonts w:ascii="Verdana" w:cs="Verdana" w:eastAsia="Verdana" w:hAnsi="Verdana"/>
        </w:rPr>
        <w:t xml:space="preserve">38.3 Updated return (section 267, old 140B)</w:t>
      </w:r>
    </w:p>
    <w:p>
      <w:pPr>
        <w:spacing w:after="120" w:line="276"/>
        <w:jc w:val="both"/>
      </w:pPr>
      <w:r>
        <w:rPr>
          <w:rFonts w:ascii="Verdana" w:cs="Verdana" w:eastAsia="Verdana" w:hAnsi="Verdana"/>
        </w:rPr>
        <w:t xml:space="preserve">An updated return can report missed income within </w:t>
      </w:r>
      <w:r>
        <w:rPr>
          <w:rFonts w:ascii="Verdana" w:cs="Verdana" w:eastAsia="Verdana" w:hAnsi="Verdana"/>
          <w:b/>
          <w:bCs/>
        </w:rPr>
        <w:t xml:space="preserve">48 months</w:t>
      </w:r>
      <w:r>
        <w:rPr>
          <w:rFonts w:ascii="Verdana" w:cs="Verdana" w:eastAsia="Verdana" w:hAnsi="Verdana"/>
        </w:rPr>
        <w:t xml:space="preserve"> from the end of the relevant period, with additional tax. It cannot reduce tax, increase refund or increase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Filed within</w:t>
            </w:r>
          </w:p>
        </w:tc>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Additional tax on tax plus interest</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months</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 months</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 months</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48 months</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143: Missed FD interest</w:t>
            </w:r>
          </w:p>
          <w:p>
            <w:pPr>
              <w:spacing w:after="60" w:line="260"/>
            </w:pPr>
            <w:r>
              <w:rPr>
                <w:rFonts w:ascii="Verdana" w:cs="Verdana" w:eastAsia="Verdana" w:hAnsi="Verdana"/>
                <w:sz w:val="20"/>
                <w:szCs w:val="20"/>
              </w:rPr>
              <w:t xml:space="preserve">Nisha (30% slab) missed FD interest of Rs. 1,00,000. Tax with cess Rs. 31,200 plus interest, say, Rs. 5,000 = Rs. 36,200. In the first window, additional tax = 25% = Rs. 9,050. </w:t>
            </w:r>
            <w:r>
              <w:rPr>
                <w:rFonts w:ascii="Verdana" w:cs="Verdana" w:eastAsia="Verdana" w:hAnsi="Verdana"/>
                <w:b/>
                <w:bCs/>
                <w:sz w:val="20"/>
                <w:szCs w:val="20"/>
              </w:rPr>
              <w:t xml:space="preserve">Total Rs. 45,250.</w:t>
            </w:r>
          </w:p>
        </w:tc>
      </w:tr>
    </w:tbl>
    <w:p>
      <w:pPr>
        <w:spacing w:after="60"/>
      </w:pPr>
    </w:p>
    <w:p>
      <w:pPr>
        <w:pStyle w:val="Heading2"/>
        <w:keepNext/>
        <w:spacing w:after="120" w:before="240"/>
      </w:pPr>
      <w:r>
        <w:rPr>
          <w:rFonts w:ascii="Verdana" w:cs="Verdana" w:eastAsia="Verdana" w:hAnsi="Verdana"/>
        </w:rPr>
        <w:t xml:space="preserve">38.4 Which return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c>
          <w:tcPr>
            <w:tcW w:type="dxa" w:w="8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 uses it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ITR-1</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 individuals (not RNOR) with total income up to Rs. 50 lakh from salary, up to two house properties, other sources, agricultural income up to Rs. 5,000, and LTCG under section 198 up to Rs. 1,25,000 without brought forward losses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ITR-2</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Individuals and HUFs without business or professional income (capital gains, foreign assets, NRIs, directors, unlisted shares)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ITR-3</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Individuals and HUFs with business or professional income, including F&amp;O traders and partners of firms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ITR-4</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 individuals, HUFs and firms (not LLPs) using the presumptive schemes with income up to Rs. 50 lakh</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ITR-5</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Firms, LLPs, AOPs, BOIs, local authorities, co-operative societies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ITR-6</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Companies, other than those claiming exemption as non-profit organisations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ITR-7</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Non-profit organisations, political parties, research associations, institutions filing under the exemption provisions</w:t>
            </w:r>
          </w:p>
        </w:tc>
      </w:tr>
    </w:tbl>
    <w:p>
      <w:pPr>
        <w:spacing w:after="60"/>
      </w:pPr>
    </w:p>
    <w:p>
      <w:pPr>
        <w:pStyle w:val="Heading2"/>
        <w:keepNext/>
        <w:spacing w:after="120" w:before="240"/>
      </w:pPr>
      <w:r>
        <w:rPr>
          <w:rFonts w:ascii="Verdana" w:cs="Verdana" w:eastAsia="Verdana" w:hAnsi="Verdana"/>
        </w:rPr>
        <w:t xml:space="preserve">38.5 Filing, verification and correction</w:t>
      </w:r>
    </w:p>
    <w:p>
      <w:pPr>
        <w:pStyle w:val="ListParagraph"/>
        <w:numPr>
          <w:ilvl w:val="0"/>
          <w:numId w:val="2"/>
        </w:numPr>
        <w:spacing w:after="60" w:line="264"/>
      </w:pPr>
      <w:r>
        <w:rPr>
          <w:rFonts w:ascii="Verdana" w:cs="Verdana" w:eastAsia="Verdana" w:hAnsi="Verdana"/>
          <w:b/>
          <w:bCs/>
        </w:rPr>
        <w:t xml:space="preserve">Verification:</w:t>
      </w:r>
      <w:r>
        <w:rPr>
          <w:rFonts w:ascii="Verdana" w:cs="Verdana" w:eastAsia="Verdana" w:hAnsi="Verdana"/>
        </w:rPr>
        <w:t xml:space="preserve"> a return filed electronically must be verified within 30 days (Aadhaar OTP, net banking, digital signature, or signed ITR-V by post). If it is verified after 30 days, the date of verification is treated as the date of filing, with all the consequences of late filing; a return never verified is treated as not filed.</w:t>
      </w:r>
    </w:p>
    <w:p>
      <w:pPr>
        <w:pStyle w:val="ListParagraph"/>
        <w:numPr>
          <w:ilvl w:val="0"/>
          <w:numId w:val="2"/>
        </w:numPr>
        <w:spacing w:after="60" w:line="264"/>
      </w:pPr>
      <w:r>
        <w:rPr>
          <w:rFonts w:ascii="Verdana" w:cs="Verdana" w:eastAsia="Verdana" w:hAnsi="Verdana"/>
          <w:b/>
          <w:bCs/>
        </w:rPr>
        <w:t xml:space="preserve">Defective return:</w:t>
      </w:r>
      <w:r>
        <w:rPr>
          <w:rFonts w:ascii="Verdana" w:cs="Verdana" w:eastAsia="Verdana" w:hAnsi="Verdana"/>
        </w:rPr>
        <w:t xml:space="preserve"> if the department finds a return defective (for example, audit report not filed), it gives an intimation; the defect must be removed within 15 days (or extended time), failing which the return is invalid.</w:t>
      </w:r>
    </w:p>
    <w:p>
      <w:pPr>
        <w:pStyle w:val="ListParagraph"/>
        <w:numPr>
          <w:ilvl w:val="0"/>
          <w:numId w:val="2"/>
        </w:numPr>
        <w:spacing w:after="60" w:line="264"/>
      </w:pPr>
      <w:r>
        <w:rPr>
          <w:rFonts w:ascii="Verdana" w:cs="Verdana" w:eastAsia="Verdana" w:hAnsi="Verdana"/>
          <w:b/>
          <w:bCs/>
        </w:rPr>
        <w:t xml:space="preserve">Belated return:</w:t>
      </w:r>
      <w:r>
        <w:rPr>
          <w:rFonts w:ascii="Verdana" w:cs="Verdana" w:eastAsia="Verdana" w:hAnsi="Verdana"/>
        </w:rPr>
        <w:t xml:space="preserve"> can be filed up to 31 December after the tax year (subject to fee), but losses (other than house property loss and unabsorbed depreciation) cannot be carried forward.</w:t>
      </w:r>
    </w:p>
    <w:p>
      <w:pPr>
        <w:pStyle w:val="ListParagraph"/>
        <w:numPr>
          <w:ilvl w:val="0"/>
          <w:numId w:val="2"/>
        </w:numPr>
        <w:spacing w:after="60" w:line="264"/>
      </w:pPr>
      <w:r>
        <w:rPr>
          <w:rFonts w:ascii="Verdana" w:cs="Verdana" w:eastAsia="Verdana" w:hAnsi="Verdana"/>
          <w:b/>
          <w:bCs/>
        </w:rPr>
        <w:t xml:space="preserve">Revised return:</w:t>
      </w:r>
      <w:r>
        <w:rPr>
          <w:rFonts w:ascii="Verdana" w:cs="Verdana" w:eastAsia="Verdana" w:hAnsi="Verdana"/>
        </w:rPr>
        <w:t xml:space="preserve"> can correct omissions or wrong statements in the original or belated return, within 12 months from the end of the tax year, subject to the prescribed conditions.</w:t>
      </w:r>
    </w:p>
    <w:p>
      <w:pPr>
        <w:pStyle w:val="ListParagraph"/>
        <w:numPr>
          <w:ilvl w:val="0"/>
          <w:numId w:val="2"/>
        </w:numPr>
        <w:spacing w:after="60" w:line="264"/>
      </w:pPr>
      <w:r>
        <w:rPr>
          <w:rFonts w:ascii="Verdana" w:cs="Verdana" w:eastAsia="Verdana" w:hAnsi="Verdana"/>
          <w:b/>
          <w:bCs/>
        </w:rPr>
        <w:t xml:space="preserve">Updated return:</w:t>
      </w:r>
      <w:r>
        <w:rPr>
          <w:rFonts w:ascii="Verdana" w:cs="Verdana" w:eastAsia="Verdana" w:hAnsi="Verdana"/>
        </w:rPr>
        <w:t xml:space="preserve"> see the earlier chapter; not allowed where a search or survey has been initiated, where an assessment or reassessment is pending or completed for that year, or where it results in a loss or lower tax.</w:t>
      </w:r>
    </w:p>
    <w:p>
      <w:pPr>
        <w:pStyle w:val="Heading2"/>
        <w:keepNext/>
        <w:spacing w:after="120" w:before="240"/>
      </w:pPr>
      <w:r>
        <w:rPr>
          <w:rFonts w:ascii="Verdana" w:cs="Verdana" w:eastAsia="Verdana" w:hAnsi="Verdana"/>
        </w:rPr>
        <w:t xml:space="preserve">38.6 AIS, TIS and Form 168</w:t>
      </w:r>
    </w:p>
    <w:p>
      <w:pPr>
        <w:spacing w:after="120" w:line="276"/>
        <w:jc w:val="both"/>
      </w:pPr>
      <w:r>
        <w:rPr>
          <w:rFonts w:ascii="Verdana" w:cs="Verdana" w:eastAsia="Verdana" w:hAnsi="Verdana"/>
        </w:rPr>
        <w:t xml:space="preserve">Before filing any return, compare the draft with the Annual Information Statement (AIS), the Taxpayer Information Summary (TIS) and Form 168. The AIS captures interest, dividends, securities transactions, mutual fund transactions, foreign remittances, property purchases, GST turnover and more, reported by banks, registrars and other entities through statements of financial transactions (Form 165). Where AIS information is wrong, submit feedback on the portal instead of ignoring it, because mismatches trigger automated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144: AIS mismatch</w:t>
            </w:r>
          </w:p>
          <w:p>
            <w:pPr>
              <w:spacing w:after="60" w:line="260"/>
            </w:pPr>
            <w:r>
              <w:rPr>
                <w:rFonts w:ascii="Verdana" w:cs="Verdana" w:eastAsia="Verdana" w:hAnsi="Verdana"/>
                <w:sz w:val="20"/>
                <w:szCs w:val="20"/>
              </w:rPr>
              <w:t xml:space="preserve">AIS shows interest of Rs. 1,80,000 from a bank, but Sneha's books show Rs. 1,20,000 because Rs. 60,000 relates to her mother's FD with Sneha as the first holder by mistake. Sneha should submit feedback on the AIS that the income belongs to her mother, and her mother should report it. Otherwise Sneha will receive a mismatch notice.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Choose the right ITR form; verify within 30 days.</w:t>
            </w:r>
          </w:p>
          <w:p>
            <w:pPr>
              <w:spacing w:after="60" w:line="260"/>
            </w:pPr>
            <w:r>
              <w:rPr>
                <w:rFonts w:ascii="Verdana" w:cs="Verdana" w:eastAsia="Verdana" w:hAnsi="Verdana"/>
                <w:sz w:val="20"/>
                <w:szCs w:val="20"/>
              </w:rPr>
              <w:t xml:space="preserve">•  Due dates: 31 July, 31 August (non-audit business), 31 October (audit), 30 November (TP).</w:t>
            </w:r>
          </w:p>
          <w:p>
            <w:pPr>
              <w:spacing w:after="60" w:line="260"/>
            </w:pPr>
            <w:r>
              <w:rPr>
                <w:rFonts w:ascii="Verdana" w:cs="Verdana" w:eastAsia="Verdana" w:hAnsi="Verdana"/>
                <w:sz w:val="20"/>
                <w:szCs w:val="20"/>
              </w:rPr>
              <w:t xml:space="preserve">•  Updated returns allowed within 48 months with additional tax.</w:t>
            </w:r>
          </w:p>
          <w:p>
            <w:pPr>
              <w:spacing w:after="60" w:line="260"/>
            </w:pPr>
            <w:r>
              <w:rPr>
                <w:rFonts w:ascii="Verdana" w:cs="Verdana" w:eastAsia="Verdana" w:hAnsi="Verdana"/>
                <w:sz w:val="20"/>
                <w:szCs w:val="20"/>
              </w:rPr>
              <w:t xml:space="preserve">•  Always reconcile with AIS and Form 168 before filing.</w:t>
            </w:r>
          </w:p>
        </w:tc>
      </w:tr>
    </w:tbl>
    <w:p>
      <w:pPr>
        <w:pStyle w:val="Heading1"/>
        <w:pageBreakBefore/>
        <w:spacing w:after="200" w:before="0"/>
      </w:pPr>
      <w:r>
        <w:rPr>
          <w:rFonts w:ascii="Verdana" w:cs="Verdana" w:eastAsia="Verdana" w:hAnsi="Verdana"/>
        </w:rPr>
        <w:t xml:space="preserve">39. Tax Audit (Section 63)</w:t>
      </w:r>
    </w:p>
    <w:p>
      <w:pPr>
        <w:spacing w:after="120" w:line="276"/>
        <w:jc w:val="both"/>
      </w:pPr>
      <w:r>
        <w:rPr>
          <w:rFonts w:ascii="Verdana" w:cs="Verdana" w:eastAsia="Verdana" w:hAnsi="Verdana"/>
        </w:rPr>
        <w:t xml:space="preserve">The tax audit under section 63 is an examination of the books by a chartered accountant to report whether the income computed and the particulars furnished are true and correct, in the prescribed Form 26. It serves the department as a structured source of information and the taxpayer as a check before filing.</w:t>
      </w:r>
    </w:p>
    <w:p>
      <w:pPr>
        <w:pStyle w:val="Heading2"/>
        <w:keepNext/>
        <w:spacing w:after="120" w:before="240"/>
      </w:pPr>
      <w:r>
        <w:rPr>
          <w:rFonts w:ascii="Verdana" w:cs="Verdana" w:eastAsia="Verdana" w:hAnsi="Verdana"/>
        </w:rPr>
        <w:t xml:space="preserve">39.1 Who needs a tax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Taxpayer</w:t>
            </w:r>
          </w:p>
        </w:tc>
        <w:tc>
          <w:tcPr>
            <w:tcW w:type="dxa" w:w="6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Threshold</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above Rs. 1 crore; Rs. 10 crore if cash receipts and cash payments are each within 5% of the total</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Profession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receipts above Rs. 50 lakh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cases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Where lower income is declared than the presumptive rate and income exceeds the exemption limit, and in other cases specified in section 58</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Persons required to get accounts audited under other laws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Companies Act audit report is furnished, with Form 26 reporting</w:t>
            </w:r>
          </w:p>
        </w:tc>
      </w:tr>
    </w:tbl>
    <w:p>
      <w:pPr>
        <w:spacing w:after="60"/>
      </w:pPr>
    </w:p>
    <w:p>
      <w:pPr>
        <w:pStyle w:val="Heading2"/>
        <w:keepNext/>
        <w:spacing w:after="120" w:before="240"/>
      </w:pPr>
      <w:r>
        <w:rPr>
          <w:rFonts w:ascii="Verdana" w:cs="Verdana" w:eastAsia="Verdana" w:hAnsi="Verdana"/>
        </w:rPr>
        <w:t xml:space="preserve">39.2 Main areas reported in Form 26 and how to prepare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Area</w:t>
            </w:r>
          </w:p>
        </w:tc>
        <w:tc>
          <w:tcPr>
            <w:tcW w:type="dxa" w:w="6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Preparation tips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information and nature of business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Update the business code, books maintained, method of accounting and any change in it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ICDS adjustments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Reconcile book profit with income under ICDS; document each adjustment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Prepare a block-wise schedule reconciled with the fixed asset register; flag cash purchases and subsidies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Amounts inadmissible (sections 35, 36, 37)</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 TDS defaults with dates of payment; cash payments above limits; related party excess; MSME dues ageing; statutory dues paid after the due date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Loans and deposits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Report loans or deposits taken or repaid in cash above Rs. 20,000; confirm modes of receipt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Related party payments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Reconcile with the related party register and accounting notes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and TCS compliance</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 payment and statement details; delays and interest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Quantitative details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 traders and manufacturers: opening, purchases, sales, closing, yield and shortage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Brought forward losses and section 119</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 schedule by year and change in shareholding</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reconciliation</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reported in GST returns compared with the books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Ratios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profit, net profit, stock turnover, material consumed ratios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auditor reports facts and his opinion; the taxpayer remains responsible for the return. Where the audit report shows a disallowance, include it in the return or be ready to explain why not, because CPC can make that adjustment automatically.</w:t>
            </w:r>
          </w:p>
        </w:tc>
      </w:tr>
    </w:tbl>
    <w:p>
      <w:pPr>
        <w:spacing w:after="60"/>
      </w:pPr>
    </w:p>
    <w:p>
      <w:pPr>
        <w:pStyle w:val="Heading2"/>
        <w:keepNext/>
        <w:spacing w:after="120" w:before="240"/>
      </w:pPr>
      <w:r>
        <w:rPr>
          <w:rFonts w:ascii="Verdana" w:cs="Verdana" w:eastAsia="Verdana" w:hAnsi="Verdana"/>
        </w:rPr>
        <w:t xml:space="preserve">39.3 Due dates and consequences</w:t>
      </w:r>
    </w:p>
    <w:p>
      <w:pPr>
        <w:spacing w:after="120" w:line="276"/>
        <w:jc w:val="both"/>
      </w:pPr>
      <w:r>
        <w:rPr>
          <w:rFonts w:ascii="Verdana" w:cs="Verdana" w:eastAsia="Verdana" w:hAnsi="Verdana"/>
        </w:rPr>
        <w:t xml:space="preserve">Form 26 must be filed electronically at least one month before the return due date, that is by 30 September for most taxpayers. The taxpayer must accept it on the portal. Failure to get the accounts audited or furnish the report attracts a penalty of 0.5% of turnover or gross receipts, up to Rs. 1,50,000, unless there is reasonable cause.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Required above the turnover or receipts thresholds and in presumptive cases declaring lower income.</w:t>
            </w:r>
          </w:p>
          <w:p>
            <w:pPr>
              <w:spacing w:after="60" w:line="260"/>
            </w:pPr>
            <w:r>
              <w:rPr>
                <w:rFonts w:ascii="Verdana" w:cs="Verdana" w:eastAsia="Verdana" w:hAnsi="Verdana"/>
                <w:sz w:val="20"/>
                <w:szCs w:val="20"/>
              </w:rPr>
              <w:t xml:space="preserve">•  Form 26 reports disallowances, TDS compliance, related party payments and reconciliations.</w:t>
            </w:r>
          </w:p>
          <w:p>
            <w:pPr>
              <w:spacing w:after="60" w:line="260"/>
            </w:pPr>
            <w:r>
              <w:rPr>
                <w:rFonts w:ascii="Verdana" w:cs="Verdana" w:eastAsia="Verdana" w:hAnsi="Verdana"/>
                <w:sz w:val="20"/>
                <w:szCs w:val="20"/>
              </w:rPr>
              <w:t xml:space="preserve">•  Due one month before the return due date.</w:t>
            </w:r>
          </w:p>
        </w:tc>
      </w:tr>
    </w:tbl>
    <w:p>
      <w:pPr>
        <w:pStyle w:val="Heading1"/>
        <w:pageBreakBefore/>
        <w:spacing w:after="200" w:before="0"/>
      </w:pPr>
      <w:r>
        <w:rPr>
          <w:rFonts w:ascii="Verdana" w:cs="Verdana" w:eastAsia="Verdana" w:hAnsi="Verdana"/>
        </w:rPr>
        <w:t xml:space="preserve">40. Handling Income Tax Notices</w:t>
      </w:r>
    </w:p>
    <w:p>
      <w:pPr>
        <w:spacing w:after="120" w:line="276"/>
        <w:jc w:val="both"/>
      </w:pPr>
      <w:r>
        <w:rPr>
          <w:rFonts w:ascii="Verdana" w:cs="Verdana" w:eastAsia="Verdana" w:hAnsi="Verdana"/>
        </w:rPr>
        <w:t xml:space="preserve">Almost every taxpayer now receives some communication from the department: an intimation after processing, a request for information, or a notice for scrutiny. Most are generated automatically from data matching. Knowing what each one means, and how quickly to act, avoids unnecessary demands.</w:t>
      </w:r>
    </w:p>
    <w:p>
      <w:pPr>
        <w:pStyle w:val="Heading2"/>
        <w:keepNext/>
        <w:spacing w:after="120" w:before="240"/>
      </w:pPr>
      <w:r>
        <w:rPr>
          <w:rFonts w:ascii="Verdana" w:cs="Verdana" w:eastAsia="Verdana" w:hAnsi="Verdana"/>
        </w:rPr>
        <w:t xml:space="preserve">40.1 Types of communication and how to respond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2800"/>
        <w:gridCol w:w="1800"/>
        <w:gridCol w:w="2800"/>
      </w:tblGrid>
      <w:tr>
        <w:trPr>
          <w:cantSplit/>
          <w:tblHeader/>
        </w:trPr>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Communication</w:t>
            </w:r>
          </w:p>
        </w:tc>
        <w:tc>
          <w:tcPr>
            <w:tcW w:type="dxa" w:w="2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it means</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to act</w:t>
            </w:r>
          </w:p>
        </w:tc>
        <w:tc>
          <w:tcPr>
            <w:tcW w:type="dxa" w:w="2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How to respond</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after processing (section 270)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CPC has processed the return; may show demand, refund or no change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for demand; rectification within 4 years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Compare with the return; if an adjustment is wrong, file rectification online or appeal</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Proposed adjustment before processing</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CPC proposes to adjust income or disallow a claim (mismatch with Form 168, audit report)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Agree or disagree online with reasons; revise the return if needed</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Defective return notice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lacks required information or documents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days (extendable)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File a corrected return in response; otherwise the return becomes invalid</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Request for information (old 133(6))</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Officer seeks information about transactions (often from AIS)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specified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Provide factual information with documents; it is not an assessment</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Inquiry before assessment (section 268)</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to file a return or produce accounts and documents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specified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Comply fully; non-compliance can lead to best judgment assessment and penalty</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Scrutiny notice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selected for detailed examination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specified in each notice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Point-wise replies with evidence through the portal</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cause or draft order</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Proposed additions before the final order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specified (usually 7 to 15 days)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Rebut each addition with facts, law and evidence; request personal hearing if needed</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Reassessment show cause (section 281)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Information suggests income escaped assessment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Minimum period stated in notice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Object on facts and law; explain the information; insist on the material relied on</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show cause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Proposal to levy penalty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specified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bona fide explanation, full disclosure, or immunity eligibility</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 notice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payable after an order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 or appeal and seek stay</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adjustment intimation (section 438)</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proposed to be set off against old demand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Confirm or contest (demand already paid, stayed or wrong)</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default intimation (TRACES)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Short deduction, late payment or late filing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Promptly</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 file correction statements; pay interest and fee if correct</w:t>
            </w:r>
          </w:p>
        </w:tc>
      </w:tr>
    </w:tbl>
    <w:p>
      <w:pPr>
        <w:spacing w:after="60"/>
      </w:pPr>
    </w:p>
    <w:p>
      <w:pPr>
        <w:pStyle w:val="Heading2"/>
        <w:keepNext/>
        <w:spacing w:after="120" w:before="240"/>
      </w:pPr>
      <w:r>
        <w:rPr>
          <w:rFonts w:ascii="Verdana" w:cs="Verdana" w:eastAsia="Verdana" w:hAnsi="Verdana"/>
        </w:rPr>
        <w:t xml:space="preserve">40.2 Getting the basics right</w:t>
      </w:r>
    </w:p>
    <w:p>
      <w:pPr>
        <w:pStyle w:val="ListParagraph"/>
        <w:numPr>
          <w:ilvl w:val="0"/>
          <w:numId w:val="2"/>
        </w:numPr>
        <w:spacing w:after="60" w:line="264"/>
      </w:pPr>
      <w:r>
        <w:rPr>
          <w:rFonts w:ascii="Verdana" w:cs="Verdana" w:eastAsia="Verdana" w:hAnsi="Verdana"/>
        </w:rPr>
        <w:t xml:space="preserve">Verify that the notice is genuine using the Document Identification Number (DIN) on the e-filing portal; communications without a DIN are invalid except in specified situations.</w:t>
      </w:r>
    </w:p>
    <w:p>
      <w:pPr>
        <w:pStyle w:val="ListParagraph"/>
        <w:numPr>
          <w:ilvl w:val="0"/>
          <w:numId w:val="2"/>
        </w:numPr>
        <w:spacing w:after="60" w:line="264"/>
      </w:pPr>
      <w:r>
        <w:rPr>
          <w:rFonts w:ascii="Verdana" w:cs="Verdana" w:eastAsia="Verdana" w:hAnsi="Verdana"/>
        </w:rPr>
        <w:t xml:space="preserve">Keep the email and mobile number on the portal updated, and check the e-proceedings tab regularly; notices are served electronically.</w:t>
      </w:r>
    </w:p>
    <w:p>
      <w:pPr>
        <w:pStyle w:val="ListParagraph"/>
        <w:numPr>
          <w:ilvl w:val="0"/>
          <w:numId w:val="2"/>
        </w:numPr>
        <w:spacing w:after="60" w:line="264"/>
      </w:pPr>
      <w:r>
        <w:rPr>
          <w:rFonts w:ascii="Verdana" w:cs="Verdana" w:eastAsia="Verdana" w:hAnsi="Verdana"/>
        </w:rPr>
        <w:t xml:space="preserve">Never ignore a notice, even if it looks wrong. A short reply stating the facts is better than silence.</w:t>
      </w:r>
    </w:p>
    <w:p>
      <w:pPr>
        <w:pStyle w:val="ListParagraph"/>
        <w:numPr>
          <w:ilvl w:val="0"/>
          <w:numId w:val="2"/>
        </w:numPr>
        <w:spacing w:after="60" w:line="264"/>
      </w:pPr>
      <w:r>
        <w:rPr>
          <w:rFonts w:ascii="Verdana" w:cs="Verdana" w:eastAsia="Verdana" w:hAnsi="Verdana"/>
        </w:rPr>
        <w:t xml:space="preserve">Where the issue is a mismatch between AIS and the return, first check whether the AIS data is correct and submit feedback where it is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145: Mismatch intimation</w:t>
            </w:r>
          </w:p>
          <w:p>
            <w:pPr>
              <w:spacing w:after="60" w:line="260"/>
            </w:pPr>
            <w:r>
              <w:rPr>
                <w:rFonts w:ascii="Verdana" w:cs="Verdana" w:eastAsia="Verdana" w:hAnsi="Verdana"/>
                <w:sz w:val="20"/>
                <w:szCs w:val="20"/>
              </w:rPr>
              <w:t xml:space="preserve">A CPC intimation proposes to add Rs. 2,40,000 of interest shown in Form 168 but not in the return. The taxpayer finds that Rs. 1,80,000 was reported under "income from other sources" as a single figure and Rs. 60,000 belongs to an FD held for his minor son (clubbed but reported separately). He responds online, disagreeing with the adjustment and explaining where each amount appears in the return. The proposed adjustment is dropped.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For clients with many notices, prepare a single notice tracker with DIN, section, year, date of issue, due date, officer, status and next action. Review it weekly. Missed deadlines are the main reason small issues become large demands.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Identify the type of communication and deadline; verify the DIN.</w:t>
            </w:r>
          </w:p>
          <w:p>
            <w:pPr>
              <w:spacing w:after="60" w:line="260"/>
            </w:pPr>
            <w:r>
              <w:rPr>
                <w:rFonts w:ascii="Verdana" w:cs="Verdana" w:eastAsia="Verdana" w:hAnsi="Verdana"/>
                <w:sz w:val="20"/>
                <w:szCs w:val="20"/>
              </w:rPr>
              <w:t xml:space="preserve">•  Respond point-wise with documents; never ignore a notice.</w:t>
            </w:r>
          </w:p>
          <w:p>
            <w:pPr>
              <w:spacing w:after="60" w:line="260"/>
            </w:pPr>
            <w:r>
              <w:rPr>
                <w:rFonts w:ascii="Verdana" w:cs="Verdana" w:eastAsia="Verdana" w:hAnsi="Verdana"/>
                <w:sz w:val="20"/>
                <w:szCs w:val="20"/>
              </w:rPr>
              <w:t xml:space="preserve">•  Use AIS feedback for data errors; maintain a notice tracker.</w:t>
            </w:r>
          </w:p>
        </w:tc>
      </w:tr>
    </w:tbl>
    <w:p>
      <w:pPr>
        <w:pStyle w:val="Heading1"/>
        <w:pageBreakBefore/>
        <w:spacing w:after="200" w:before="0"/>
      </w:pPr>
      <w:r>
        <w:rPr>
          <w:rFonts w:ascii="Verdana" w:cs="Verdana" w:eastAsia="Verdana" w:hAnsi="Verdana"/>
        </w:rPr>
        <w:t xml:space="preserve">41. Digital Compliance and Faceless Procedures</w:t>
      </w:r>
    </w:p>
    <w:p>
      <w:pPr>
        <w:spacing w:after="120" w:line="276"/>
        <w:jc w:val="both"/>
      </w:pPr>
      <w:r>
        <w:rPr>
          <w:rFonts w:ascii="Verdana" w:cs="Verdana" w:eastAsia="Verdana" w:hAnsi="Verdana"/>
        </w:rPr>
        <w:t xml:space="preserve">Almost every interaction with the Income Tax Department is now electronic. Knowing the portals and their features saves time and avoids errors.</w:t>
      </w:r>
    </w:p>
    <w:p>
      <w:pPr>
        <w:pStyle w:val="Heading2"/>
        <w:keepNext/>
        <w:spacing w:after="120" w:before="240"/>
      </w:pPr>
      <w:r>
        <w:rPr>
          <w:rFonts w:ascii="Verdana" w:cs="Verdana" w:eastAsia="Verdana" w:hAnsi="Verdana"/>
        </w:rPr>
        <w:t xml:space="preserve">41.1 The main portals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Portal</w:t>
            </w:r>
          </w:p>
        </w:tc>
        <w:tc>
          <w:tcPr>
            <w:tcW w:type="dxa" w:w="7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Used for</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E-filing portal</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Registration, returns, forms (audit reports, TP reports, certificates), e-verification, e-proceedings, responses to notices, rectification, appeals, AIS and TIS, refund status, grievances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TRACES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and TCS: statement status, defaults, corrections, downloading TDS certificates (Forms 130, 131, 132), justification reports, Form 168 view</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e-Pay Tax</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of advance tax, self assessment tax, TDS, TCS, demands and fees through net banking, cards, UPI or over the counter; each payment generates a challan identification number (CIN)</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Compliance portal</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AIS feedback, e-campaigns on high-value transactions, e-verification of information</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NSDL and UTIITSL</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PAN applications and corrections</w:t>
            </w:r>
          </w:p>
        </w:tc>
      </w:tr>
    </w:tbl>
    <w:p>
      <w:pPr>
        <w:spacing w:after="60"/>
      </w:pPr>
    </w:p>
    <w:p>
      <w:pPr>
        <w:pStyle w:val="Heading2"/>
        <w:keepNext/>
        <w:spacing w:after="120" w:before="240"/>
      </w:pPr>
      <w:r>
        <w:rPr>
          <w:rFonts w:ascii="Verdana" w:cs="Verdana" w:eastAsia="Verdana" w:hAnsi="Verdana"/>
        </w:rPr>
        <w:t xml:space="preserve">41.2 Good practices</w:t>
      </w:r>
    </w:p>
    <w:p>
      <w:pPr>
        <w:pStyle w:val="ListParagraph"/>
        <w:numPr>
          <w:ilvl w:val="0"/>
          <w:numId w:val="2"/>
        </w:numPr>
        <w:spacing w:after="60" w:line="264"/>
      </w:pPr>
      <w:r>
        <w:rPr>
          <w:rFonts w:ascii="Verdana" w:cs="Verdana" w:eastAsia="Verdana" w:hAnsi="Verdana"/>
          <w:b/>
          <w:bCs/>
        </w:rPr>
        <w:t xml:space="preserve">Select the correct tax type and year when paying tax.</w:t>
      </w:r>
      <w:r>
        <w:rPr>
          <w:rFonts w:ascii="Verdana" w:cs="Verdana" w:eastAsia="Verdana" w:hAnsi="Verdana"/>
        </w:rPr>
        <w:t xml:space="preserve"> A self assessment payment wrongly marked as advance tax, or for the wrong year, has to be corrected through the Assessing Officer or the bank, which takes time.</w:t>
      </w:r>
    </w:p>
    <w:p>
      <w:pPr>
        <w:pStyle w:val="ListParagraph"/>
        <w:numPr>
          <w:ilvl w:val="0"/>
          <w:numId w:val="2"/>
        </w:numPr>
        <w:spacing w:after="60" w:line="264"/>
      </w:pPr>
      <w:r>
        <w:rPr>
          <w:rFonts w:ascii="Verdana" w:cs="Verdana" w:eastAsia="Verdana" w:hAnsi="Verdana"/>
          <w:b/>
          <w:bCs/>
        </w:rPr>
        <w:t xml:space="preserve">Verify every return promptly.</w:t>
      </w:r>
      <w:r>
        <w:rPr>
          <w:rFonts w:ascii="Verdana" w:cs="Verdana" w:eastAsia="Verdana" w:hAnsi="Verdana"/>
        </w:rPr>
        <w:t xml:space="preserve"> If verification is done after 30 days, the return is treated as filed on the date of verification, which can make it belated.</w:t>
      </w:r>
    </w:p>
    <w:p>
      <w:pPr>
        <w:pStyle w:val="ListParagraph"/>
        <w:numPr>
          <w:ilvl w:val="0"/>
          <w:numId w:val="2"/>
        </w:numPr>
        <w:spacing w:after="60" w:line="264"/>
      </w:pPr>
      <w:r>
        <w:rPr>
          <w:rFonts w:ascii="Verdana" w:cs="Verdana" w:eastAsia="Verdana" w:hAnsi="Verdana"/>
          <w:b/>
          <w:bCs/>
        </w:rPr>
        <w:t xml:space="preserve">Keep bank accounts pre-validated</w:t>
      </w:r>
      <w:r>
        <w:rPr>
          <w:rFonts w:ascii="Verdana" w:cs="Verdana" w:eastAsia="Verdana" w:hAnsi="Verdana"/>
        </w:rPr>
        <w:t xml:space="preserve"> for refunds, and update them when accounts are closed.</w:t>
      </w:r>
    </w:p>
    <w:p>
      <w:pPr>
        <w:pStyle w:val="ListParagraph"/>
        <w:numPr>
          <w:ilvl w:val="0"/>
          <w:numId w:val="2"/>
        </w:numPr>
        <w:spacing w:after="60" w:line="264"/>
      </w:pPr>
      <w:r>
        <w:rPr>
          <w:rFonts w:ascii="Verdana" w:cs="Verdana" w:eastAsia="Verdana" w:hAnsi="Verdana"/>
          <w:b/>
          <w:bCs/>
        </w:rPr>
        <w:t xml:space="preserve">Use digital signatures</w:t>
      </w:r>
      <w:r>
        <w:rPr>
          <w:rFonts w:ascii="Verdana" w:cs="Verdana" w:eastAsia="Verdana" w:hAnsi="Verdana"/>
        </w:rPr>
        <w:t xml:space="preserve"> where mandatory (companies, audit cases) and keep them valid.</w:t>
      </w:r>
    </w:p>
    <w:p>
      <w:pPr>
        <w:pStyle w:val="ListParagraph"/>
        <w:numPr>
          <w:ilvl w:val="0"/>
          <w:numId w:val="2"/>
        </w:numPr>
        <w:spacing w:after="60" w:line="264"/>
      </w:pPr>
      <w:r>
        <w:rPr>
          <w:rFonts w:ascii="Verdana" w:cs="Verdana" w:eastAsia="Verdana" w:hAnsi="Verdana"/>
          <w:b/>
          <w:bCs/>
        </w:rPr>
        <w:t xml:space="preserve">Download and store</w:t>
      </w:r>
      <w:r>
        <w:rPr>
          <w:rFonts w:ascii="Verdana" w:cs="Verdana" w:eastAsia="Verdana" w:hAnsi="Verdana"/>
        </w:rPr>
        <w:t xml:space="preserve"> acknowledgements, intimations, orders and submissions for each year in a structured folder.</w:t>
      </w:r>
    </w:p>
    <w:p>
      <w:pPr>
        <w:pStyle w:val="ListParagraph"/>
        <w:numPr>
          <w:ilvl w:val="0"/>
          <w:numId w:val="2"/>
        </w:numPr>
        <w:spacing w:after="60" w:line="264"/>
      </w:pPr>
      <w:r>
        <w:rPr>
          <w:rFonts w:ascii="Verdana" w:cs="Verdana" w:eastAsia="Verdana" w:hAnsi="Verdana"/>
          <w:b/>
          <w:bCs/>
        </w:rPr>
        <w:t xml:space="preserve">Check e-proceedings regularly</w:t>
      </w:r>
      <w:r>
        <w:rPr>
          <w:rFonts w:ascii="Verdana" w:cs="Verdana" w:eastAsia="Verdana" w:hAnsi="Verdana"/>
        </w:rPr>
        <w:t xml:space="preserve">; notices appear there and also by email and SMS.</w:t>
      </w:r>
    </w:p>
    <w:p>
      <w:pPr>
        <w:pStyle w:val="ListParagraph"/>
        <w:numPr>
          <w:ilvl w:val="0"/>
          <w:numId w:val="2"/>
        </w:numPr>
        <w:spacing w:after="60" w:line="264"/>
      </w:pPr>
      <w:r>
        <w:rPr>
          <w:rFonts w:ascii="Verdana" w:cs="Verdana" w:eastAsia="Verdana" w:hAnsi="Verdana"/>
          <w:b/>
          <w:bCs/>
        </w:rPr>
        <w:t xml:space="preserve">Authorise a representative</w:t>
      </w:r>
      <w:r>
        <w:rPr>
          <w:rFonts w:ascii="Verdana" w:cs="Verdana" w:eastAsia="Verdana" w:hAnsi="Verdana"/>
        </w:rPr>
        <w:t xml:space="preserve"> on the portal for clients, so that submissions are made under the correct login with a record.</w:t>
      </w:r>
    </w:p>
    <w:p>
      <w:pPr>
        <w:pStyle w:val="Heading2"/>
        <w:keepNext/>
        <w:spacing w:after="120" w:before="240"/>
      </w:pPr>
      <w:r>
        <w:rPr>
          <w:rFonts w:ascii="Verdana" w:cs="Verdana" w:eastAsia="Verdana" w:hAnsi="Verdana"/>
        </w:rPr>
        <w:t xml:space="preserve">41.3 Faceless procedures</w:t>
      </w:r>
    </w:p>
    <w:p>
      <w:pPr>
        <w:spacing w:after="120" w:line="276"/>
        <w:jc w:val="both"/>
      </w:pPr>
      <w:r>
        <w:rPr>
          <w:rFonts w:ascii="Verdana" w:cs="Verdana" w:eastAsia="Verdana" w:hAnsi="Verdana"/>
        </w:rPr>
        <w:t xml:space="preserve">Assessments, appeals before the Commissioner (Appeals) and penalties are largely faceless. Notices are issued through a national centre; the taxpayer replies online; personal hearing is by video conference in specified cases. Faceless procedures reduce discretion and travel but demand well-drafted written submissions, since there may be no opportunity to explain in person. Write submissions that are complete on their own: facts, law, evidence and a clear conclusion for each issue.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146: Paying the right challan</w:t>
            </w:r>
          </w:p>
          <w:p>
            <w:pPr>
              <w:spacing w:after="60" w:line="260"/>
            </w:pPr>
            <w:r>
              <w:rPr>
                <w:rFonts w:ascii="Verdana" w:cs="Verdana" w:eastAsia="Verdana" w:hAnsi="Verdana"/>
                <w:sz w:val="20"/>
                <w:szCs w:val="20"/>
              </w:rPr>
              <w:t xml:space="preserve">On 25 July 2027, Suman pays the balance tax of Rs. 42,000 for Tax Year 2026-27 before filing her return. She must choose "self assessment tax" and the correct year. If she mistakenly selects "advance tax", the payment will not match her return and she will receive a demand with interest; she will then have to request the Assessing Officer to correct the challan details.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Use the e-filing portal, TRACES and e-Pay Tax correctly; select the right tax type and year.</w:t>
            </w:r>
          </w:p>
          <w:p>
            <w:pPr>
              <w:spacing w:after="60" w:line="260"/>
            </w:pPr>
            <w:r>
              <w:rPr>
                <w:rFonts w:ascii="Verdana" w:cs="Verdana" w:eastAsia="Verdana" w:hAnsi="Verdana"/>
                <w:sz w:val="20"/>
                <w:szCs w:val="20"/>
              </w:rPr>
              <w:t xml:space="preserve">•  Verify returns within 30 days.</w:t>
            </w:r>
          </w:p>
          <w:p>
            <w:pPr>
              <w:spacing w:after="60" w:line="260"/>
            </w:pPr>
            <w:r>
              <w:rPr>
                <w:rFonts w:ascii="Verdana" w:cs="Verdana" w:eastAsia="Verdana" w:hAnsi="Verdana"/>
                <w:sz w:val="20"/>
                <w:szCs w:val="20"/>
              </w:rPr>
              <w:t xml:space="preserve">•  Faceless proceedings need complete written submissions.</w:t>
            </w:r>
          </w:p>
        </w:tc>
      </w:tr>
    </w:tbl>
    <w:p>
      <w:pPr>
        <w:pStyle w:val="Heading1"/>
        <w:pageBreakBefore/>
        <w:spacing w:after="200" w:before="0"/>
      </w:pPr>
      <w:r>
        <w:rPr>
          <w:rFonts w:ascii="Verdana" w:cs="Verdana" w:eastAsia="Verdana" w:hAnsi="Verdana"/>
        </w:rPr>
        <w:t xml:space="preserve">42. Assessment and Reassessment</w:t>
      </w:r>
    </w:p>
    <w:p>
      <w:pPr>
        <w:pStyle w:val="Heading2"/>
        <w:keepNext/>
        <w:spacing w:after="120" w:before="240"/>
      </w:pPr>
      <w:r>
        <w:rPr>
          <w:rFonts w:ascii="Verdana" w:cs="Verdana" w:eastAsia="Verdana" w:hAnsi="Verdana"/>
        </w:rPr>
        <w:t xml:space="preserve">42.1 Assessment and reassessment (sections 268 to 286)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300"/>
        <w:gridCol w:w="1600"/>
        <w:gridCol w:w="41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Procedure</w:t>
            </w:r>
          </w:p>
        </w:tc>
        <w:tc>
          <w:tcPr>
            <w:tcW w:type="dxa" w:w="1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4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 simple words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Inquiry before assessment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268</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142(1)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to file return or produce documents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Processing and scrutiny assessment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143(1), 143(3)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CPC processes the return; scrutiny if selected</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Best judgment assessment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144</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When the taxpayer does not comply</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Faceless assessment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273</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144B</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communication through the portal</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Dispute Resolution Panel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144C</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 eligible assessees (foreign companies, TP cases): draft order, then DRP directions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escaping assessment / notice / procedure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279 / 280 / 281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147 / 148 / 148A</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Reopening a completed year after show cause and order</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 for notices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Generally 3 years; up to 5 years if escaped income is Rs. 50 lakh or more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 for completion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286</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Statutory deadlines for orders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147: Processing adjustment</w:t>
            </w:r>
          </w:p>
          <w:p>
            <w:pPr>
              <w:spacing w:after="60" w:line="260"/>
            </w:pPr>
            <w:r>
              <w:rPr>
                <w:rFonts w:ascii="Verdana" w:cs="Verdana" w:eastAsia="Verdana" w:hAnsi="Verdana"/>
                <w:sz w:val="20"/>
                <w:szCs w:val="20"/>
              </w:rPr>
              <w:t xml:space="preserve">Firm X claims a deduction that its own audit report (Form 26) says is not allowable. CPC can adjust it during processing under section 270 after an intimation and a chance to respond. Reconcile the return with the audit report before filing.</w:t>
            </w:r>
          </w:p>
        </w:tc>
      </w:tr>
    </w:tbl>
    <w:p>
      <w:pPr>
        <w:spacing w:after="60"/>
      </w:pPr>
    </w:p>
    <w:p>
      <w:pPr>
        <w:pStyle w:val="Heading2"/>
        <w:keepNext/>
        <w:spacing w:after="120" w:before="240"/>
      </w:pPr>
      <w:r>
        <w:rPr>
          <w:rFonts w:ascii="Verdana" w:cs="Verdana" w:eastAsia="Verdana" w:hAnsi="Verdana"/>
        </w:rPr>
        <w:t xml:space="preserve">42.2 Appeals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38"/>
        <w:gridCol w:w="2800"/>
        <w:gridCol w:w="2000"/>
      </w:tblGrid>
      <w:tr>
        <w:trPr>
          <w:cantSplit/>
          <w:tblHeader/>
        </w:trPr>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Forum</w:t>
            </w:r>
          </w:p>
        </w:tc>
        <w:tc>
          <w:tcPr>
            <w:tcW w:type="dxa" w:w="2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limit (broad)</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Scope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First appeal</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(Appeals) or Joint Commissioner (Appeals)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of the order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Facts and law</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Second appeal</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Tax Appellate Tribunal</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2 months from the end of the month the order is received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Last fact-finding authority</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Further appeal</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High Court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120 days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Substantial question of law only</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Supreme Court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per its rules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Keep a notice register with DIN, issue date, due date, section and status. For years up to FY 2025-26, the 1961 Act procedure continues; check the section quoted in each notice.</w:t>
            </w:r>
          </w:p>
        </w:tc>
      </w:tr>
    </w:tbl>
    <w:p>
      <w:pPr>
        <w:spacing w:after="60"/>
      </w:pPr>
    </w:p>
    <w:p>
      <w:pPr>
        <w:pStyle w:val="Heading2"/>
        <w:keepNext/>
        <w:spacing w:after="120" w:before="240"/>
      </w:pPr>
      <w:r>
        <w:rPr>
          <w:rFonts w:ascii="Verdana" w:cs="Verdana" w:eastAsia="Verdana" w:hAnsi="Verdana"/>
        </w:rPr>
        <w:t xml:space="preserve">42.3 Processing of returns (section 270)</w:t>
      </w:r>
    </w:p>
    <w:p>
      <w:pPr>
        <w:spacing w:after="120" w:line="276"/>
        <w:jc w:val="both"/>
      </w:pPr>
      <w:r>
        <w:rPr>
          <w:rFonts w:ascii="Verdana" w:cs="Verdana" w:eastAsia="Verdana" w:hAnsi="Verdana"/>
        </w:rPr>
        <w:t xml:space="preserve">Every return is processed by the Centralised Processing Centre. Adjustments allowed at this stage are limited to: arithmetical errors; incorrect claims apparent from information in the return; disallowance of losses where the return was late; disallowances indicated in the audit report but not made in the return; deductions claimed under certain sections where the return was late; income appearing in Form 168, Form 130 or Form 131 but not included in the return; and inconsistencies with earlier years as prescribed. Before making an adjustment, the CPC must give an intimation and consider the response within 30 days.</w:t>
      </w:r>
    </w:p>
    <w:p>
      <w:pPr>
        <w:pStyle w:val="Heading2"/>
        <w:keepNext/>
        <w:spacing w:after="120" w:before="240"/>
      </w:pPr>
      <w:r>
        <w:rPr>
          <w:rFonts w:ascii="Verdana" w:cs="Verdana" w:eastAsia="Verdana" w:hAnsi="Verdana"/>
        </w:rPr>
        <w:t xml:space="preserve">42.4 Scrutiny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7400"/>
      </w:tblGrid>
      <w:tr>
        <w:trPr>
          <w:cantSplit/>
          <w:tblHeader/>
        </w:trPr>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7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Details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Selection</w:t>
            </w:r>
          </w:p>
        </w:tc>
        <w:tc>
          <w:tcPr>
            <w:tcW w:type="dxa" w:w="7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Through computer-based risk parameters or specified criteria (search, survey, information from other agencies)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w:t>
            </w:r>
          </w:p>
        </w:tc>
        <w:tc>
          <w:tcPr>
            <w:tcW w:type="dxa" w:w="7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Scrutiny notice within 3 months from the end of the tax year in which the return was filed</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Faceless procedure</w:t>
            </w:r>
          </w:p>
        </w:tc>
        <w:tc>
          <w:tcPr>
            <w:tcW w:type="dxa" w:w="7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notices, submissions and hearings through the e-filing portal; personal hearing by video conference on request in specified cases</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cause</w:t>
            </w:r>
          </w:p>
        </w:tc>
        <w:tc>
          <w:tcPr>
            <w:tcW w:type="dxa" w:w="7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draft assessment order or show cause notice before any variation prejudicial to the taxpayer</w:t>
            </w:r>
          </w:p>
        </w:tc>
      </w:tr>
      <w:tr>
        <w:trPr>
          <w:cantSplit/>
        </w:trPr>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w:t>
            </w:r>
          </w:p>
        </w:tc>
        <w:tc>
          <w:tcPr>
            <w:tcW w:type="dxa" w:w="7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Generally within 12 months from the end of the tax year in which the return was filed (longer where TP reference or other special circumstances apply)</w:t>
            </w:r>
          </w:p>
        </w:tc>
      </w:tr>
    </w:tbl>
    <w:p>
      <w:pPr>
        <w:spacing w:after="60"/>
      </w:pPr>
    </w:p>
    <w:p>
      <w:pPr>
        <w:pStyle w:val="Heading2"/>
        <w:keepNext/>
        <w:spacing w:after="120" w:before="240"/>
      </w:pPr>
      <w:r>
        <w:rPr>
          <w:rFonts w:ascii="Verdana" w:cs="Verdana" w:eastAsia="Verdana" w:hAnsi="Verdana"/>
        </w:rPr>
        <w:t xml:space="preserve">42.5 Responding to a notice: a practical checklist</w:t>
      </w:r>
    </w:p>
    <w:p>
      <w:pPr>
        <w:pStyle w:val="ListParagraph"/>
        <w:numPr>
          <w:ilvl w:val="0"/>
          <w:numId w:val="2"/>
        </w:numPr>
        <w:spacing w:after="60" w:line="264"/>
      </w:pPr>
      <w:r>
        <w:rPr>
          <w:rFonts w:ascii="Verdana" w:cs="Verdana" w:eastAsia="Verdana" w:hAnsi="Verdana"/>
        </w:rPr>
        <w:t xml:space="preserve">Read the notice fully: section, tax year, DIN, due date, specific queries, and whether it is a verification or a scrutiny.</w:t>
      </w:r>
    </w:p>
    <w:p>
      <w:pPr>
        <w:pStyle w:val="ListParagraph"/>
        <w:numPr>
          <w:ilvl w:val="0"/>
          <w:numId w:val="2"/>
        </w:numPr>
        <w:spacing w:after="60" w:line="264"/>
      </w:pPr>
      <w:r>
        <w:rPr>
          <w:rFonts w:ascii="Verdana" w:cs="Verdana" w:eastAsia="Verdana" w:hAnsi="Verdana"/>
        </w:rPr>
        <w:t xml:space="preserve">Check the portal for any earlier notices or intimations for the same year.</w:t>
      </w:r>
    </w:p>
    <w:p>
      <w:pPr>
        <w:pStyle w:val="ListParagraph"/>
        <w:numPr>
          <w:ilvl w:val="0"/>
          <w:numId w:val="2"/>
        </w:numPr>
        <w:spacing w:after="60" w:line="264"/>
      </w:pPr>
      <w:r>
        <w:rPr>
          <w:rFonts w:ascii="Verdana" w:cs="Verdana" w:eastAsia="Verdana" w:hAnsi="Verdana"/>
        </w:rPr>
        <w:t xml:space="preserve">Gather evidence against each query (bank statements, contracts, invoices, confirmations with PAN, Form 168 reconciliation).</w:t>
      </w:r>
    </w:p>
    <w:p>
      <w:pPr>
        <w:pStyle w:val="ListParagraph"/>
        <w:numPr>
          <w:ilvl w:val="0"/>
          <w:numId w:val="2"/>
        </w:numPr>
        <w:spacing w:after="60" w:line="264"/>
      </w:pPr>
      <w:r>
        <w:rPr>
          <w:rFonts w:ascii="Verdana" w:cs="Verdana" w:eastAsia="Verdana" w:hAnsi="Verdana"/>
        </w:rPr>
        <w:t xml:space="preserve">Draft a point-wise reply, attaching indexed documents. Keep language factual.</w:t>
      </w:r>
    </w:p>
    <w:p>
      <w:pPr>
        <w:pStyle w:val="ListParagraph"/>
        <w:numPr>
          <w:ilvl w:val="0"/>
          <w:numId w:val="2"/>
        </w:numPr>
        <w:spacing w:after="60" w:line="264"/>
      </w:pPr>
      <w:r>
        <w:rPr>
          <w:rFonts w:ascii="Verdana" w:cs="Verdana" w:eastAsia="Verdana" w:hAnsi="Verdana"/>
        </w:rPr>
        <w:t xml:space="preserve">If more time is needed, seek an adjournment on the portal before the due date, giving reasons.</w:t>
      </w:r>
    </w:p>
    <w:p>
      <w:pPr>
        <w:pStyle w:val="ListParagraph"/>
        <w:numPr>
          <w:ilvl w:val="0"/>
          <w:numId w:val="2"/>
        </w:numPr>
        <w:spacing w:after="60" w:line="264"/>
      </w:pPr>
      <w:r>
        <w:rPr>
          <w:rFonts w:ascii="Verdana" w:cs="Verdana" w:eastAsia="Verdana" w:hAnsi="Verdana"/>
        </w:rPr>
        <w:t xml:space="preserve">Save acknowledgements and keep the notice register updated.</w:t>
      </w:r>
    </w:p>
    <w:p>
      <w:pPr>
        <w:pStyle w:val="ListParagraph"/>
        <w:numPr>
          <w:ilvl w:val="0"/>
          <w:numId w:val="2"/>
        </w:numPr>
        <w:spacing w:after="60" w:line="264"/>
      </w:pPr>
      <w:r>
        <w:rPr>
          <w:rFonts w:ascii="Verdana" w:cs="Verdana" w:eastAsia="Verdana" w:hAnsi="Verdana"/>
        </w:rPr>
        <w:t xml:space="preserve">On receiving a show cause or draft order, reply specifically to each proposed addition; this is the last opportunity before the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148: Bank credits notice</w:t>
            </w:r>
          </w:p>
          <w:p>
            <w:pPr>
              <w:spacing w:after="60" w:line="260"/>
            </w:pPr>
            <w:r>
              <w:rPr>
                <w:rFonts w:ascii="Verdana" w:cs="Verdana" w:eastAsia="Verdana" w:hAnsi="Verdana"/>
                <w:sz w:val="20"/>
                <w:szCs w:val="20"/>
              </w:rPr>
              <w:t xml:space="preserve">A salaried taxpayer receives a notice asking him to explain cash deposits of Rs. 6 lakh and credits of Rs. 15 lakh in his savings account. He prepares a reconciliation: Rs. 9 lakh salary (matches Form 130), Rs. 4 lakh maturity of an FD (bank certificate), Rs. 2 lakh gift from his father (gift deed and father's bank statement), and Rs. 6 lakh cash deposits from withdrawals made earlier in the year (bank statement showing withdrawals). Each item is linked to documents. The notice is closed without addition.</w:t>
            </w:r>
          </w:p>
        </w:tc>
      </w:tr>
    </w:tbl>
    <w:p>
      <w:pPr>
        <w:spacing w:after="60"/>
      </w:pPr>
    </w:p>
    <w:p>
      <w:pPr>
        <w:pStyle w:val="Heading2"/>
        <w:keepNext/>
        <w:spacing w:after="120" w:before="240"/>
      </w:pPr>
      <w:r>
        <w:rPr>
          <w:rFonts w:ascii="Verdana" w:cs="Verdana" w:eastAsia="Verdana" w:hAnsi="Verdana"/>
        </w:rPr>
        <w:t xml:space="preserve">42.6 Best judgment assessment</w:t>
      </w:r>
    </w:p>
    <w:p>
      <w:pPr>
        <w:spacing w:after="120" w:line="276"/>
        <w:jc w:val="both"/>
      </w:pPr>
      <w:r>
        <w:rPr>
          <w:rFonts w:ascii="Verdana" w:cs="Verdana" w:eastAsia="Verdana" w:hAnsi="Verdana"/>
        </w:rPr>
        <w:t xml:space="preserve">If the taxpayer fails to file a return, or to comply with notices, or to produce books, the Assessing Officer can make an assessment to the best of his judgment after giving a show cause notice. The assessment must be based on material, not a guess; but it can be substantial. Penalty and loss of the right to carry forward losses may follow.</w:t>
      </w:r>
    </w:p>
    <w:p>
      <w:pPr>
        <w:pStyle w:val="Heading2"/>
        <w:keepNext/>
        <w:spacing w:after="120" w:before="240"/>
      </w:pPr>
      <w:r>
        <w:rPr>
          <w:rFonts w:ascii="Verdana" w:cs="Verdana" w:eastAsia="Verdana" w:hAnsi="Verdana"/>
        </w:rPr>
        <w:t xml:space="preserve">42.7 Reassessment (sections 279 to 286)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6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Details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Information</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Assessing Officer must have information suggesting that income has escaped assessment (flagged by the risk management system, audit objections, information from other agencies, search or survey)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cause before notice (section 281)</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with the information relied on, giving the taxpayer time to respond</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Speaking order deciding whether it is a fit case, with approval of the specified authority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(section 280)</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Issued with the order; the taxpayer files a return in response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 (section 282)</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Generally up to 3 years from the relevant year; up to 5 years if escaped income is Rs. 50 lakh or more and represented in an asset, expenditure or entries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Assessment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Can cover the escaped income and other issues that come to notice in the course of proceedings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Reassessment</w:t>
            </w:r>
          </w:p>
          <w:p>
            <w:pPr>
              <w:spacing w:after="60" w:line="260"/>
            </w:pPr>
            <w:r>
              <w:rPr>
                <w:rFonts w:ascii="Verdana" w:cs="Verdana" w:eastAsia="Verdana" w:hAnsi="Verdana"/>
                <w:b/>
                <w:bCs/>
                <w:sz w:val="20"/>
                <w:szCs w:val="20"/>
              </w:rPr>
              <w:t xml:space="preserve">CIT v. Kelvinator of India Ltd. (Supreme Court, 2010):</w:t>
            </w:r>
            <w:r>
              <w:rPr>
                <w:rFonts w:ascii="Verdana" w:cs="Verdana" w:eastAsia="Verdana" w:hAnsi="Verdana"/>
                <w:sz w:val="20"/>
                <w:szCs w:val="20"/>
              </w:rPr>
              <w:t xml:space="preserve"> reopening requires tangible material; a mere change of opinion on the same facts is not a valid ground.</w:t>
            </w:r>
          </w:p>
          <w:p>
            <w:pPr>
              <w:spacing w:after="60" w:line="260"/>
            </w:pPr>
            <w:r>
              <w:rPr>
                <w:rFonts w:ascii="Verdana" w:cs="Verdana" w:eastAsia="Verdana" w:hAnsi="Verdana"/>
                <w:b/>
                <w:bCs/>
                <w:sz w:val="20"/>
                <w:szCs w:val="20"/>
              </w:rPr>
              <w:t xml:space="preserve">GKN Driveshafts (India) Ltd. v. ITO (Supreme Court, 2002):</w:t>
            </w:r>
            <w:r>
              <w:rPr>
                <w:rFonts w:ascii="Verdana" w:cs="Verdana" w:eastAsia="Verdana" w:hAnsi="Verdana"/>
                <w:sz w:val="20"/>
                <w:szCs w:val="20"/>
              </w:rPr>
              <w:t xml:space="preserve"> the taxpayer is entitled to the reasons for reopening and to have objections decided by a speaking order before the reassessment proceeds.</w:t>
            </w:r>
          </w:p>
          <w:p>
            <w:pPr>
              <w:spacing w:after="60" w:line="260"/>
            </w:pPr>
            <w:r>
              <w:rPr>
                <w:rFonts w:ascii="Verdana" w:cs="Verdana" w:eastAsia="Verdana" w:hAnsi="Verdana"/>
                <w:b/>
                <w:bCs/>
                <w:sz w:val="20"/>
                <w:szCs w:val="20"/>
              </w:rPr>
              <w:t xml:space="preserve">Union of India v. Ashish Agarwal (Supreme Court, 2022):</w:t>
            </w:r>
            <w:r>
              <w:rPr>
                <w:rFonts w:ascii="Verdana" w:cs="Verdana" w:eastAsia="Verdana" w:hAnsi="Verdana"/>
                <w:sz w:val="20"/>
                <w:szCs w:val="20"/>
              </w:rPr>
              <w:t xml:space="preserve"> notices issued under the old procedure after the 2021 amendments were treated as show cause notices under the new procedure, and the department was allowed to proceed under the new law.</w:t>
            </w:r>
          </w:p>
          <w:p>
            <w:pPr>
              <w:spacing w:after="60" w:line="260"/>
            </w:pPr>
            <w:r>
              <w:rPr>
                <w:rFonts w:ascii="Verdana" w:cs="Verdana" w:eastAsia="Verdana" w:hAnsi="Verdana"/>
                <w:sz w:val="20"/>
                <w:szCs w:val="20"/>
              </w:rPr>
              <w:t xml:space="preserve">Since the 2025 Act carries over the post 2021 scheme (information, show cause, order, notice), these principles on tangible information and fair procedure continue to guide reassessments.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Time limits for reassessment</w:t>
            </w:r>
          </w:p>
          <w:p>
            <w:pPr>
              <w:spacing w:after="60" w:line="260"/>
            </w:pPr>
            <w:r>
              <w:rPr>
                <w:rFonts w:ascii="Verdana" w:cs="Verdana" w:eastAsia="Verdana" w:hAnsi="Verdana"/>
                <w:b/>
                <w:bCs/>
                <w:sz w:val="20"/>
                <w:szCs w:val="20"/>
              </w:rPr>
              <w:t xml:space="preserve">Union of India v. Rajeev Bansal (Supreme Court, 2024):</w:t>
            </w:r>
            <w:r>
              <w:rPr>
                <w:rFonts w:ascii="Verdana" w:cs="Verdana" w:eastAsia="Verdana" w:hAnsi="Verdana"/>
                <w:sz w:val="20"/>
                <w:szCs w:val="20"/>
              </w:rPr>
              <w:t xml:space="preserve"> clarified how the time limits for reassessment notices apply to notices issued during the period covered by the pandemic relaxation law (TOLA), holding that the relaxation extends the time for issuing notices and explaining how the balance of limitation is computed after the Ashish Agarwal show cause stage.</w:t>
            </w:r>
          </w:p>
        </w:tc>
      </w:tr>
    </w:tbl>
    <w:p>
      <w:pPr>
        <w:spacing w:after="60"/>
      </w:pPr>
    </w:p>
    <w:p>
      <w:pPr>
        <w:pStyle w:val="Heading2"/>
        <w:keepNext/>
        <w:spacing w:after="120" w:before="240"/>
      </w:pPr>
      <w:r>
        <w:rPr>
          <w:rFonts w:ascii="Verdana" w:cs="Verdana" w:eastAsia="Verdana" w:hAnsi="Verdana"/>
        </w:rPr>
        <w:t xml:space="preserve">42.8 Rectification and revision</w:t>
      </w:r>
    </w:p>
    <w:p>
      <w:pPr>
        <w:pStyle w:val="ListParagraph"/>
        <w:numPr>
          <w:ilvl w:val="0"/>
          <w:numId w:val="2"/>
        </w:numPr>
        <w:spacing w:after="60" w:line="264"/>
      </w:pPr>
      <w:r>
        <w:rPr>
          <w:rFonts w:ascii="Verdana" w:cs="Verdana" w:eastAsia="Verdana" w:hAnsi="Verdana"/>
          <w:b/>
          <w:bCs/>
        </w:rPr>
        <w:t xml:space="preserve">Rectification:</w:t>
      </w:r>
      <w:r>
        <w:rPr>
          <w:rFonts w:ascii="Verdana" w:cs="Verdana" w:eastAsia="Verdana" w:hAnsi="Verdana"/>
        </w:rPr>
        <w:t xml:space="preserve"> a mistake apparent from the record (arithmetical errors, wrong application of a clear provision, failure to consider a document on record) can be rectified by the authority on its own or on the taxpayer's application, generally within 4 years from the end of the year in which the order was passed. The application must be decided within 6 months.</w:t>
      </w:r>
    </w:p>
    <w:p>
      <w:pPr>
        <w:pStyle w:val="ListParagraph"/>
        <w:numPr>
          <w:ilvl w:val="0"/>
          <w:numId w:val="2"/>
        </w:numPr>
        <w:spacing w:after="60" w:line="264"/>
      </w:pPr>
      <w:r>
        <w:rPr>
          <w:rFonts w:ascii="Verdana" w:cs="Verdana" w:eastAsia="Verdana" w:hAnsi="Verdana"/>
          <w:b/>
          <w:bCs/>
        </w:rPr>
        <w:t xml:space="preserve">Revision prejudicial to revenue:</w:t>
      </w:r>
      <w:r>
        <w:rPr>
          <w:rFonts w:ascii="Verdana" w:cs="Verdana" w:eastAsia="Verdana" w:hAnsi="Verdana"/>
        </w:rPr>
        <w:t xml:space="preserve"> the Principal Commissioner can revise an order that is erroneous and prejudicial to the interests of revenue, within 2 years from the end of the year of the order, after hearing the taxpayer.</w:t>
      </w:r>
    </w:p>
    <w:p>
      <w:pPr>
        <w:pStyle w:val="ListParagraph"/>
        <w:numPr>
          <w:ilvl w:val="0"/>
          <w:numId w:val="2"/>
        </w:numPr>
        <w:spacing w:after="60" w:line="264"/>
      </w:pPr>
      <w:r>
        <w:rPr>
          <w:rFonts w:ascii="Verdana" w:cs="Verdana" w:eastAsia="Verdana" w:hAnsi="Verdana"/>
          <w:b/>
          <w:bCs/>
        </w:rPr>
        <w:t xml:space="preserve">Revision in favour of the taxpayer:</w:t>
      </w:r>
      <w:r>
        <w:rPr>
          <w:rFonts w:ascii="Verdana" w:cs="Verdana" w:eastAsia="Verdana" w:hAnsi="Verdana"/>
        </w:rPr>
        <w:t xml:space="preserve"> on the taxpayer's application, within 1 year of the order, where no appeal has been filed.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Rectification and revision</w:t>
            </w:r>
          </w:p>
          <w:p>
            <w:pPr>
              <w:spacing w:after="60" w:line="260"/>
            </w:pPr>
            <w:r>
              <w:rPr>
                <w:rFonts w:ascii="Verdana" w:cs="Verdana" w:eastAsia="Verdana" w:hAnsi="Verdana"/>
                <w:b/>
                <w:bCs/>
                <w:sz w:val="20"/>
                <w:szCs w:val="20"/>
              </w:rPr>
              <w:t xml:space="preserve">T.S. Balaram, ITO v. Volkart Brothers (Supreme Court, 1971):</w:t>
            </w:r>
            <w:r>
              <w:rPr>
                <w:rFonts w:ascii="Verdana" w:cs="Verdana" w:eastAsia="Verdana" w:hAnsi="Verdana"/>
                <w:sz w:val="20"/>
                <w:szCs w:val="20"/>
              </w:rPr>
              <w:t xml:space="preserve"> a mistake apparent from the record must be obvious and patent; it cannot be something established by a long-drawn process of reasoning on points where there may be two opinions.</w:t>
            </w:r>
          </w:p>
          <w:p>
            <w:pPr>
              <w:spacing w:after="60" w:line="260"/>
            </w:pPr>
            <w:r>
              <w:rPr>
                <w:rFonts w:ascii="Verdana" w:cs="Verdana" w:eastAsia="Verdana" w:hAnsi="Verdana"/>
                <w:b/>
                <w:bCs/>
                <w:sz w:val="20"/>
                <w:szCs w:val="20"/>
              </w:rPr>
              <w:t xml:space="preserve">Malabar Industrial Co. Ltd. v. CIT (Supreme Court, 2000):</w:t>
            </w:r>
            <w:r>
              <w:rPr>
                <w:rFonts w:ascii="Verdana" w:cs="Verdana" w:eastAsia="Verdana" w:hAnsi="Verdana"/>
                <w:sz w:val="20"/>
                <w:szCs w:val="20"/>
              </w:rPr>
              <w:t xml:space="preserve"> revision is possible only if the order is both erroneous and prejudicial to the revenue. Where the Assessing Officer has taken one of two possible views, the order cannot be revised merely because the Commissioner prefers the other view.</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Processing under section 270 is limited to specified adjustments with prior intimation.</w:t>
            </w:r>
          </w:p>
          <w:p>
            <w:pPr>
              <w:spacing w:after="60" w:line="260"/>
            </w:pPr>
            <w:r>
              <w:rPr>
                <w:rFonts w:ascii="Verdana" w:cs="Verdana" w:eastAsia="Verdana" w:hAnsi="Verdana"/>
                <w:sz w:val="20"/>
                <w:szCs w:val="20"/>
              </w:rPr>
              <w:t xml:space="preserve">•  Scrutiny is faceless with show cause before adverse orders.</w:t>
            </w:r>
          </w:p>
          <w:p>
            <w:pPr>
              <w:spacing w:after="60" w:line="260"/>
            </w:pPr>
            <w:r>
              <w:rPr>
                <w:rFonts w:ascii="Verdana" w:cs="Verdana" w:eastAsia="Verdana" w:hAnsi="Verdana"/>
                <w:sz w:val="20"/>
                <w:szCs w:val="20"/>
              </w:rPr>
              <w:t xml:space="preserve">•  Reassessment requires information, show cause, order and notice within time limits.</w:t>
            </w:r>
          </w:p>
          <w:p>
            <w:pPr>
              <w:spacing w:after="60" w:line="260"/>
            </w:pPr>
            <w:r>
              <w:rPr>
                <w:rFonts w:ascii="Verdana" w:cs="Verdana" w:eastAsia="Verdana" w:hAnsi="Verdana"/>
                <w:sz w:val="20"/>
                <w:szCs w:val="20"/>
              </w:rPr>
              <w:t xml:space="preserve">•  Rectification and revision correct mistakes and erroneous orders.</w:t>
            </w:r>
          </w:p>
        </w:tc>
      </w:tr>
    </w:tbl>
    <w:p>
      <w:pPr>
        <w:pStyle w:val="Heading1"/>
        <w:pageBreakBefore/>
        <w:spacing w:after="200" w:before="0"/>
      </w:pPr>
      <w:r>
        <w:rPr>
          <w:rFonts w:ascii="Verdana" w:cs="Verdana" w:eastAsia="Verdana" w:hAnsi="Verdana"/>
        </w:rPr>
        <w:t xml:space="preserve">43. Search, Survey and Block Assessment</w:t>
      </w:r>
    </w:p>
    <w:p>
      <w:pPr>
        <w:spacing w:after="120" w:line="276"/>
        <w:jc w:val="both"/>
      </w:pPr>
      <w:r>
        <w:rPr>
          <w:rFonts w:ascii="Verdana" w:cs="Verdana" w:eastAsia="Verdana" w:hAnsi="Verdana"/>
        </w:rPr>
        <w:t xml:space="preserve">Search and survey are the department's most intrusive powers. Professionals should know the procedure and the taxpayer's rights and obligations, and should advise clients to cooperate while protecting their legal position.</w:t>
      </w:r>
    </w:p>
    <w:p>
      <w:pPr>
        <w:pStyle w:val="Heading2"/>
        <w:keepNext/>
        <w:spacing w:after="120" w:before="240"/>
      </w:pPr>
      <w:r>
        <w:rPr>
          <w:rFonts w:ascii="Verdana" w:cs="Verdana" w:eastAsia="Verdana" w:hAnsi="Verdana"/>
        </w:rPr>
        <w:t xml:space="preserve">43.1 Search and seizure</w:t>
      </w:r>
    </w:p>
    <w:p>
      <w:pPr>
        <w:pStyle w:val="ListParagraph"/>
        <w:numPr>
          <w:ilvl w:val="0"/>
          <w:numId w:val="2"/>
        </w:numPr>
        <w:spacing w:after="60" w:line="264"/>
      </w:pPr>
      <w:r>
        <w:rPr>
          <w:rFonts w:ascii="Verdana" w:cs="Verdana" w:eastAsia="Verdana" w:hAnsi="Verdana"/>
        </w:rPr>
        <w:t xml:space="preserve">A search is authorised by senior officers where they have information that a person has not produced books when required, will not do so, or possesses undisclosed money, bullion, jewellery or other valuables.</w:t>
      </w:r>
    </w:p>
    <w:p>
      <w:pPr>
        <w:pStyle w:val="ListParagraph"/>
        <w:numPr>
          <w:ilvl w:val="0"/>
          <w:numId w:val="2"/>
        </w:numPr>
        <w:spacing w:after="60" w:line="264"/>
      </w:pPr>
      <w:r>
        <w:rPr>
          <w:rFonts w:ascii="Verdana" w:cs="Verdana" w:eastAsia="Verdana" w:hAnsi="Verdana"/>
        </w:rPr>
        <w:t xml:space="preserve">Officers can enter premises, break open locks where keys are not given, search persons, seize books, documents and undisclosed assets, and record statements on oath. A </w:t>
      </w:r>
      <w:r>
        <w:rPr>
          <w:rFonts w:ascii="Verdana" w:cs="Verdana" w:eastAsia="Verdana" w:hAnsi="Verdana"/>
          <w:b/>
          <w:bCs/>
        </w:rPr>
        <w:t xml:space="preserve">panchnama</w:t>
      </w:r>
      <w:r>
        <w:rPr>
          <w:rFonts w:ascii="Verdana" w:cs="Verdana" w:eastAsia="Verdana" w:hAnsi="Verdana"/>
        </w:rPr>
        <w:t xml:space="preserve"> is prepared listing everything seized; ask for a copy.</w:t>
      </w:r>
    </w:p>
    <w:p>
      <w:pPr>
        <w:pStyle w:val="ListParagraph"/>
        <w:numPr>
          <w:ilvl w:val="0"/>
          <w:numId w:val="2"/>
        </w:numPr>
        <w:spacing w:after="60" w:line="264"/>
      </w:pPr>
      <w:r>
        <w:rPr>
          <w:rFonts w:ascii="Verdana" w:cs="Verdana" w:eastAsia="Verdana" w:hAnsi="Verdana"/>
        </w:rPr>
        <w:t xml:space="preserve">Stock-in-trade is not seized but its inventory is taken. Books and documents can be retained for a limited period, with access given to the taxpayer.</w:t>
      </w:r>
    </w:p>
    <w:p>
      <w:pPr>
        <w:pStyle w:val="ListParagraph"/>
        <w:numPr>
          <w:ilvl w:val="0"/>
          <w:numId w:val="2"/>
        </w:numPr>
        <w:spacing w:after="60" w:line="264"/>
      </w:pPr>
      <w:r>
        <w:rPr>
          <w:rFonts w:ascii="Verdana" w:cs="Verdana" w:eastAsia="Verdana" w:hAnsi="Verdana"/>
        </w:rPr>
        <w:t xml:space="preserve">Statements recorded during search can be used as evidence, but a retraction made promptly with reasons is considered by courts.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Search: evidence and completed assessments</w:t>
            </w:r>
          </w:p>
          <w:p>
            <w:pPr>
              <w:spacing w:after="60" w:line="260"/>
            </w:pPr>
            <w:r>
              <w:rPr>
                <w:rFonts w:ascii="Verdana" w:cs="Verdana" w:eastAsia="Verdana" w:hAnsi="Verdana"/>
                <w:b/>
                <w:bCs/>
                <w:sz w:val="20"/>
                <w:szCs w:val="20"/>
              </w:rPr>
              <w:t xml:space="preserve">Pooran Mal v. Director of Inspection (Supreme Court, 1974):</w:t>
            </w:r>
            <w:r>
              <w:rPr>
                <w:rFonts w:ascii="Verdana" w:cs="Verdana" w:eastAsia="Verdana" w:hAnsi="Verdana"/>
                <w:sz w:val="20"/>
                <w:szCs w:val="20"/>
              </w:rPr>
              <w:t xml:space="preserve"> material seized in a search can be used as evidence even if the search is later found to be irregular.</w:t>
            </w:r>
          </w:p>
          <w:p>
            <w:pPr>
              <w:spacing w:after="60" w:line="260"/>
            </w:pPr>
            <w:r>
              <w:rPr>
                <w:rFonts w:ascii="Verdana" w:cs="Verdana" w:eastAsia="Verdana" w:hAnsi="Verdana"/>
                <w:b/>
                <w:bCs/>
                <w:sz w:val="20"/>
                <w:szCs w:val="20"/>
              </w:rPr>
              <w:t xml:space="preserve">PCIT v. Abhisar Buildwell (P) Ltd. (Supreme Court, 2023):</w:t>
            </w:r>
            <w:r>
              <w:rPr>
                <w:rFonts w:ascii="Verdana" w:cs="Verdana" w:eastAsia="Verdana" w:hAnsi="Verdana"/>
                <w:sz w:val="20"/>
                <w:szCs w:val="20"/>
              </w:rPr>
              <w:t xml:space="preserve"> for years where assessments were already completed on the date of search, additions in search assessments can be made only on the basis of incriminating material found during the search; otherwise the department must use the reassessment route.</w:t>
            </w:r>
          </w:p>
        </w:tc>
      </w:tr>
    </w:tbl>
    <w:p>
      <w:pPr>
        <w:spacing w:after="60"/>
      </w:pPr>
    </w:p>
    <w:p>
      <w:pPr>
        <w:pStyle w:val="Heading2"/>
        <w:keepNext/>
        <w:spacing w:after="120" w:before="240"/>
      </w:pPr>
      <w:r>
        <w:rPr>
          <w:rFonts w:ascii="Verdana" w:cs="Verdana" w:eastAsia="Verdana" w:hAnsi="Verdana"/>
        </w:rPr>
        <w:t xml:space="preserve">43.2 Block assessment after search</w:t>
      </w:r>
    </w:p>
    <w:p>
      <w:pPr>
        <w:spacing w:after="120" w:line="276"/>
        <w:jc w:val="both"/>
      </w:pPr>
      <w:r>
        <w:rPr>
          <w:rFonts w:ascii="Verdana" w:cs="Verdana" w:eastAsia="Verdana" w:hAnsi="Verdana"/>
        </w:rPr>
        <w:t xml:space="preserve">For searches initiated after 1 September 2024, the law provides a </w:t>
      </w:r>
      <w:r>
        <w:rPr>
          <w:rFonts w:ascii="Verdana" w:cs="Verdana" w:eastAsia="Verdana" w:hAnsi="Verdana"/>
          <w:b/>
          <w:bCs/>
        </w:rPr>
        <w:t xml:space="preserve">block assessment</w:t>
      </w:r>
      <w:r>
        <w:rPr>
          <w:rFonts w:ascii="Verdana" w:cs="Verdana" w:eastAsia="Verdana" w:hAnsi="Verdana"/>
        </w:rPr>
        <w:t xml:space="preserve">: a single assessment of undisclosed income for the </w:t>
      </w:r>
      <w:r>
        <w:rPr>
          <w:rFonts w:ascii="Verdana" w:cs="Verdana" w:eastAsia="Verdana" w:hAnsi="Verdana"/>
          <w:b/>
          <w:bCs/>
        </w:rPr>
        <w:t xml:space="preserve">block period</w:t>
      </w:r>
      <w:r>
        <w:rPr>
          <w:rFonts w:ascii="Verdana" w:cs="Verdana" w:eastAsia="Verdana" w:hAnsi="Verdana"/>
        </w:rPr>
        <w:t xml:space="preserve">, which covers the six tax years before the year of search and the period of the year of search up to the date of the last authorisation. Undisclosed income found is taxed at a flat </w:t>
      </w:r>
      <w:r>
        <w:rPr>
          <w:rFonts w:ascii="Verdana" w:cs="Verdana" w:eastAsia="Verdana" w:hAnsi="Verdana"/>
          <w:b/>
          <w:bCs/>
        </w:rPr>
        <w:t xml:space="preserve">60%</w:t>
      </w:r>
      <w:r>
        <w:rPr>
          <w:rFonts w:ascii="Verdana" w:cs="Verdana" w:eastAsia="Verdana" w:hAnsi="Verdana"/>
        </w:rPr>
        <w:t xml:space="preserve"> (section 192 of the 2025 Act for the rate), plus surcharge and cess, without deductions or set off. The assessment is to be completed within 12 months from the end of the month in which the last authorisation was executed.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149: Block assessment</w:t>
            </w:r>
          </w:p>
          <w:p>
            <w:pPr>
              <w:spacing w:after="60" w:line="260"/>
            </w:pPr>
            <w:r>
              <w:rPr>
                <w:rFonts w:ascii="Verdana" w:cs="Verdana" w:eastAsia="Verdana" w:hAnsi="Verdana"/>
                <w:sz w:val="20"/>
                <w:szCs w:val="20"/>
              </w:rPr>
              <w:t xml:space="preserve">A search is conducted on a trader on 10 January 2027. Unaccounted cash of Rs. 40 lakh and unrecorded sales of Rs. 1.2 crore over three earlier years are found. The block period covers Tax Years 2020-21 to 2025-26 and 1 April 2026 to 10 January 2027. Undisclosed income determined, say Rs. 1.6 crore, is taxed at 60% = </w:t>
            </w:r>
            <w:r>
              <w:rPr>
                <w:rFonts w:ascii="Verdana" w:cs="Verdana" w:eastAsia="Verdana" w:hAnsi="Verdana"/>
                <w:b/>
                <w:bCs/>
                <w:sz w:val="20"/>
                <w:szCs w:val="20"/>
              </w:rPr>
              <w:t xml:space="preserve">Rs. 96 lakh</w:t>
            </w:r>
            <w:r>
              <w:rPr>
                <w:rFonts w:ascii="Verdana" w:cs="Verdana" w:eastAsia="Verdana" w:hAnsi="Verdana"/>
                <w:sz w:val="20"/>
                <w:szCs w:val="20"/>
              </w:rPr>
              <w:t xml:space="preserve"> plus surcharge and cess, in the block assessment. Penalty may also be levied.</w:t>
            </w:r>
          </w:p>
        </w:tc>
      </w:tr>
    </w:tbl>
    <w:p>
      <w:pPr>
        <w:spacing w:after="60"/>
      </w:pPr>
    </w:p>
    <w:p>
      <w:pPr>
        <w:pStyle w:val="Heading2"/>
        <w:keepNext/>
        <w:spacing w:after="120" w:before="240"/>
      </w:pPr>
      <w:r>
        <w:rPr>
          <w:rFonts w:ascii="Verdana" w:cs="Verdana" w:eastAsia="Verdana" w:hAnsi="Verdana"/>
        </w:rPr>
        <w:t xml:space="preserve">43.3 Survey</w:t>
      </w:r>
    </w:p>
    <w:p>
      <w:pPr>
        <w:spacing w:after="120" w:line="276"/>
        <w:jc w:val="both"/>
      </w:pPr>
      <w:r>
        <w:rPr>
          <w:rFonts w:ascii="Verdana" w:cs="Verdana" w:eastAsia="Verdana" w:hAnsi="Verdana"/>
        </w:rPr>
        <w:t xml:space="preserve">A survey is conducted at a place of business or profession during working hours to inspect books, verify cash and stock, and collect information. Officers can impound books with approval, place identification marks, and record statements (not on oath). There is no seizure of cash or valuables. A survey can also be conducted after a function or ceremony to verify expenses. Survey findings often lead to scrutiny or reassessment.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During a search or survey: be present, cooperate, check the identity and authorisation of the team, do not sign statements you do not understand, ask for a copy of the panchnama and the statement, and seek professional help immediately. Afterwards, reconcile every seized document with the books and prepare explanations before the assessment notices arrive.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Search allows seizure; survey allows inspection and impounding but not seizure.</w:t>
            </w:r>
          </w:p>
          <w:p>
            <w:pPr>
              <w:spacing w:after="60" w:line="260"/>
            </w:pPr>
            <w:r>
              <w:rPr>
                <w:rFonts w:ascii="Verdana" w:cs="Verdana" w:eastAsia="Verdana" w:hAnsi="Verdana"/>
                <w:sz w:val="20"/>
                <w:szCs w:val="20"/>
              </w:rPr>
              <w:t xml:space="preserve">•  Block assessment covers six years plus the year of search; undisclosed income taxed at 60%.</w:t>
            </w:r>
          </w:p>
        </w:tc>
      </w:tr>
    </w:tbl>
    <w:p>
      <w:pPr>
        <w:pStyle w:val="Heading1"/>
        <w:pageBreakBefore/>
        <w:spacing w:after="200" w:before="0"/>
      </w:pPr>
      <w:r>
        <w:rPr>
          <w:rFonts w:ascii="Verdana" w:cs="Verdana" w:eastAsia="Verdana" w:hAnsi="Verdana"/>
        </w:rPr>
        <w:t xml:space="preserve">44. Appeals and Dispute Resolution</w:t>
      </w:r>
    </w:p>
    <w:p>
      <w:pPr>
        <w:pStyle w:val="Heading2"/>
        <w:keepNext/>
        <w:spacing w:after="120" w:before="240"/>
      </w:pPr>
      <w:r>
        <w:rPr>
          <w:rFonts w:ascii="Verdana" w:cs="Verdana" w:eastAsia="Verdana" w:hAnsi="Verdana"/>
        </w:rPr>
        <w:t xml:space="preserve">44.1 First appeal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7000"/>
      </w:tblGrid>
      <w:tr>
        <w:trPr>
          <w:cantSplit/>
          <w:tblHeader/>
        </w:trPr>
        <w:tc>
          <w:tcPr>
            <w:tcW w:type="dxa" w:w="2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Point</w:t>
            </w:r>
          </w:p>
        </w:tc>
        <w:tc>
          <w:tcPr>
            <w:tcW w:type="dxa" w:w="7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Details</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Forum</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of Income Tax (Appeals) or Joint Commissioner (Appeals) for specified smaller cases; faceless appeal procedure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Appealable orders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Assessment orders, penalty orders, intimations with adjustments, orders treating a person as assessee in default, rectification orders affecting liability</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from receipt of the order or demand notice; delay can be condoned for sufficient cause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250, Rs. 500 or Rs. 1,000 depending on assessed income</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Pre-condition</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 returned income must be paid</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Additional evidence</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Admitted only in specified circumstances (prevented by sufficient cause, not given opportunity), after giving the Assessing Officer a chance to respond</w:t>
            </w:r>
          </w:p>
        </w:tc>
      </w:tr>
      <w:tr>
        <w:trPr>
          <w:cantSplit/>
        </w:trP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Powers</w:t>
            </w:r>
          </w:p>
        </w:tc>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Confirm, reduce, enhance (after notice) or annul the assessment</w:t>
            </w:r>
          </w:p>
        </w:tc>
      </w:tr>
    </w:tbl>
    <w:p>
      <w:pPr>
        <w:spacing w:after="60"/>
      </w:pPr>
    </w:p>
    <w:p>
      <w:pPr>
        <w:pStyle w:val="Heading2"/>
        <w:keepNext/>
        <w:spacing w:after="120" w:before="240"/>
      </w:pPr>
      <w:r>
        <w:rPr>
          <w:rFonts w:ascii="Verdana" w:cs="Verdana" w:eastAsia="Verdana" w:hAnsi="Verdana"/>
        </w:rPr>
        <w:t xml:space="preserve">44.2 Stay of demand</w:t>
      </w:r>
    </w:p>
    <w:p>
      <w:pPr>
        <w:spacing w:after="120" w:line="276"/>
        <w:jc w:val="both"/>
      </w:pPr>
      <w:r>
        <w:rPr>
          <w:rFonts w:ascii="Verdana" w:cs="Verdana" w:eastAsia="Verdana" w:hAnsi="Verdana"/>
        </w:rPr>
        <w:t xml:space="preserve">Filing an appeal does not automatically stay recovery. The taxpayer applies to the Assessing Officer for stay. As per CBDT instructions, stay is generally granted on payment of </w:t>
      </w:r>
      <w:r>
        <w:rPr>
          <w:rFonts w:ascii="Verdana" w:cs="Verdana" w:eastAsia="Verdana" w:hAnsi="Verdana"/>
          <w:b/>
          <w:bCs/>
        </w:rPr>
        <w:t xml:space="preserve">20%</w:t>
      </w:r>
      <w:r>
        <w:rPr>
          <w:rFonts w:ascii="Verdana" w:cs="Verdana" w:eastAsia="Verdana" w:hAnsi="Verdana"/>
        </w:rPr>
        <w:t xml:space="preserve"> of the disputed demand, with the possibility of a lower amount in deserving cases (for example, where the addition is covered by a decision of a higher court in the taxpayer's favour). The Tribunal can also grant stay for up to 365 days.</w:t>
      </w:r>
    </w:p>
    <w:p>
      <w:pPr>
        <w:pStyle w:val="Heading2"/>
        <w:keepNext/>
        <w:spacing w:after="120" w:before="240"/>
      </w:pPr>
      <w:r>
        <w:rPr>
          <w:rFonts w:ascii="Verdana" w:cs="Verdana" w:eastAsia="Verdana" w:hAnsi="Verdana"/>
        </w:rPr>
        <w:t xml:space="preserve">44.3 Income Tax Appellate Tribunal</w:t>
      </w:r>
    </w:p>
    <w:p>
      <w:pPr>
        <w:pStyle w:val="ListParagraph"/>
        <w:numPr>
          <w:ilvl w:val="0"/>
          <w:numId w:val="2"/>
        </w:numPr>
        <w:spacing w:after="60" w:line="264"/>
      </w:pPr>
      <w:r>
        <w:rPr>
          <w:rFonts w:ascii="Verdana" w:cs="Verdana" w:eastAsia="Verdana" w:hAnsi="Verdana"/>
        </w:rPr>
        <w:t xml:space="preserve">Appeal against the order of the Commissioner (Appeals) or DRP directions, within 2 months from the end of the month in which the order is received.</w:t>
      </w:r>
    </w:p>
    <w:p>
      <w:pPr>
        <w:pStyle w:val="ListParagraph"/>
        <w:numPr>
          <w:ilvl w:val="0"/>
          <w:numId w:val="2"/>
        </w:numPr>
        <w:spacing w:after="60" w:line="264"/>
      </w:pPr>
      <w:r>
        <w:rPr>
          <w:rFonts w:ascii="Verdana" w:cs="Verdana" w:eastAsia="Verdana" w:hAnsi="Verdana"/>
        </w:rPr>
        <w:t xml:space="preserve">Fee of Rs. 500 to Rs. 10,000 depending on assessed income, and Rs. 500 for stay applications.</w:t>
      </w:r>
    </w:p>
    <w:p>
      <w:pPr>
        <w:pStyle w:val="ListParagraph"/>
        <w:numPr>
          <w:ilvl w:val="0"/>
          <w:numId w:val="2"/>
        </w:numPr>
        <w:spacing w:after="60" w:line="264"/>
      </w:pPr>
      <w:r>
        <w:rPr>
          <w:rFonts w:ascii="Verdana" w:cs="Verdana" w:eastAsia="Verdana" w:hAnsi="Verdana"/>
        </w:rPr>
        <w:t xml:space="preserve">The other party can file </w:t>
      </w:r>
      <w:r>
        <w:rPr>
          <w:rFonts w:ascii="Verdana" w:cs="Verdana" w:eastAsia="Verdana" w:hAnsi="Verdana"/>
          <w:b/>
          <w:bCs/>
        </w:rPr>
        <w:t xml:space="preserve">cross objections</w:t>
      </w:r>
      <w:r>
        <w:rPr>
          <w:rFonts w:ascii="Verdana" w:cs="Verdana" w:eastAsia="Verdana" w:hAnsi="Verdana"/>
        </w:rPr>
        <w:t xml:space="preserve"> within 30 days of receiving notice of the appeal.</w:t>
      </w:r>
    </w:p>
    <w:p>
      <w:pPr>
        <w:pStyle w:val="ListParagraph"/>
        <w:numPr>
          <w:ilvl w:val="0"/>
          <w:numId w:val="2"/>
        </w:numPr>
        <w:spacing w:after="60" w:line="264"/>
      </w:pPr>
      <w:r>
        <w:rPr>
          <w:rFonts w:ascii="Verdana" w:cs="Verdana" w:eastAsia="Verdana" w:hAnsi="Verdana"/>
        </w:rPr>
        <w:t xml:space="preserve">The Tribunal is the final fact-finding authority. Its decisions on law are binding on lower authorities in its jurisdiction until reversed.</w:t>
      </w:r>
    </w:p>
    <w:p>
      <w:pPr>
        <w:pStyle w:val="Heading2"/>
        <w:keepNext/>
        <w:spacing w:after="120" w:before="240"/>
      </w:pPr>
      <w:r>
        <w:rPr>
          <w:rFonts w:ascii="Verdana" w:cs="Verdana" w:eastAsia="Verdana" w:hAnsi="Verdana"/>
        </w:rPr>
        <w:t xml:space="preserve">44.4 High Court and Supreme Court</w:t>
      </w:r>
    </w:p>
    <w:p>
      <w:pPr>
        <w:spacing w:after="120" w:line="276"/>
        <w:jc w:val="both"/>
      </w:pPr>
      <w:r>
        <w:rPr>
          <w:rFonts w:ascii="Verdana" w:cs="Verdana" w:eastAsia="Verdana" w:hAnsi="Verdana"/>
        </w:rPr>
        <w:t xml:space="preserve">An appeal to the High Court lies only on a </w:t>
      </w:r>
      <w:r>
        <w:rPr>
          <w:rFonts w:ascii="Verdana" w:cs="Verdana" w:eastAsia="Verdana" w:hAnsi="Verdana"/>
          <w:b/>
          <w:bCs/>
        </w:rPr>
        <w:t xml:space="preserve">substantial question of law</w:t>
      </w:r>
      <w:r>
        <w:rPr>
          <w:rFonts w:ascii="Verdana" w:cs="Verdana" w:eastAsia="Verdana" w:hAnsi="Verdana"/>
        </w:rPr>
        <w:t xml:space="preserve">, within 120 days. An appeal to the Supreme Court lies against a High Court judgment on a certificate of fitness or by special leave. The department does not file appeals where the tax effect is below monetary limits set by the CBDT (recently Rs. 60 lakh for the Tribunal, Rs. 2 crore for High Courts and Rs. 5 crore for the Supreme Court, with exceptions).</w:t>
      </w:r>
    </w:p>
    <w:p>
      <w:pPr>
        <w:pStyle w:val="Heading2"/>
        <w:keepNext/>
        <w:spacing w:after="120" w:before="240"/>
      </w:pPr>
      <w:r>
        <w:rPr>
          <w:rFonts w:ascii="Verdana" w:cs="Verdana" w:eastAsia="Verdana" w:hAnsi="Verdana"/>
        </w:rPr>
        <w:t xml:space="preserve">44.5 Alternative dispute resolution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3400"/>
        <w:gridCol w:w="3400"/>
      </w:tblGrid>
      <w:tr>
        <w:trPr>
          <w:cantSplit/>
          <w:tblHeader/>
        </w:trPr>
        <w:tc>
          <w:tcPr>
            <w:tcW w:type="dxa" w:w="2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Mechanism</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 can use it</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Key features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Dispute Resolution Panel</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Eligible assessees: TP cases, foreign companies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Objections to draft order; binding directions within 9 months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Dispute Resolution Committee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Small taxpayers: returned income up to Rs. 50 lakh and disputed variation up to Rs. 10 lakh (excluding search and certain cases)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Faceless resolution; can reduce or waive penalty</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Mutual Agreement Procedure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Residents of treaty countries facing double taxation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Negotiation between competent authorities; can run with suspended collection subject to bank guarantee</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rulings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Non-residents and specified residents on transactions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Binding ruling on the transaction, through the Board for Advance Rulings</w:t>
            </w:r>
          </w:p>
        </w:tc>
      </w:tr>
      <w:tr>
        <w:trPr>
          <w:cantSplit/>
        </w:trPr>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pricing agreement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Taxpayers with international transactions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Prospective certainty with rollback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Before appealing, compare the cost of litigation (fees, time, deposit of 20%) with the tax at stake and the strength of the legal position. For recurring issues, a well-drafted appeal in the first year with the right evidence often sets the tone for later years.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Appeals: powers, delay and stay</w:t>
            </w:r>
          </w:p>
          <w:p>
            <w:pPr>
              <w:spacing w:after="60" w:line="260"/>
            </w:pPr>
            <w:r>
              <w:rPr>
                <w:rFonts w:ascii="Verdana" w:cs="Verdana" w:eastAsia="Verdana" w:hAnsi="Verdana"/>
                <w:b/>
                <w:bCs/>
                <w:sz w:val="20"/>
                <w:szCs w:val="20"/>
              </w:rPr>
              <w:t xml:space="preserve">CIT v. Kapurchand Shrimal (Supreme Court, 1981):</w:t>
            </w:r>
            <w:r>
              <w:rPr>
                <w:rFonts w:ascii="Verdana" w:cs="Verdana" w:eastAsia="Verdana" w:hAnsi="Verdana"/>
                <w:sz w:val="20"/>
                <w:szCs w:val="20"/>
              </w:rPr>
              <w:t xml:space="preserve"> the powers of the first appellate authority are co-terminous with those of the Assessing Officer; it can do what the officer could have done and can direct him to do what he failed to do.</w:t>
            </w:r>
          </w:p>
          <w:p>
            <w:pPr>
              <w:spacing w:after="60" w:line="260"/>
            </w:pPr>
            <w:r>
              <w:rPr>
                <w:rFonts w:ascii="Verdana" w:cs="Verdana" w:eastAsia="Verdana" w:hAnsi="Verdana"/>
                <w:b/>
                <w:bCs/>
                <w:sz w:val="20"/>
                <w:szCs w:val="20"/>
              </w:rPr>
              <w:t xml:space="preserve">Collector, Land Acquisition v. Mst. Katiji (Supreme Court, 1987):</w:t>
            </w:r>
            <w:r>
              <w:rPr>
                <w:rFonts w:ascii="Verdana" w:cs="Verdana" w:eastAsia="Verdana" w:hAnsi="Verdana"/>
                <w:sz w:val="20"/>
                <w:szCs w:val="20"/>
              </w:rPr>
              <w:t xml:space="preserve"> a liberal and justice-oriented approach should be taken in condoning delay; a meritorious matter should not be thrown out at the threshold for technical reasons.</w:t>
            </w:r>
          </w:p>
          <w:p>
            <w:pPr>
              <w:spacing w:after="60" w:line="260"/>
            </w:pPr>
            <w:r>
              <w:rPr>
                <w:rFonts w:ascii="Verdana" w:cs="Verdana" w:eastAsia="Verdana" w:hAnsi="Verdana"/>
                <w:b/>
                <w:bCs/>
                <w:sz w:val="20"/>
                <w:szCs w:val="20"/>
              </w:rPr>
              <w:t xml:space="preserve">PCIT v. LG Electronics India (P) Ltd. (Supreme Court, 2018):</w:t>
            </w:r>
            <w:r>
              <w:rPr>
                <w:rFonts w:ascii="Verdana" w:cs="Verdana" w:eastAsia="Verdana" w:hAnsi="Verdana"/>
                <w:sz w:val="20"/>
                <w:szCs w:val="20"/>
              </w:rPr>
              <w:t xml:space="preserve"> the administrative instruction that stay may be granted on payment of 20% of the demand is not a rigid rule; the authorities can grant stay on a lower payment in appropriate cases.</w:t>
            </w:r>
          </w:p>
          <w:p>
            <w:pPr>
              <w:spacing w:after="60" w:line="260"/>
            </w:pPr>
            <w:r>
              <w:rPr>
                <w:rFonts w:ascii="Verdana" w:cs="Verdana" w:eastAsia="Verdana" w:hAnsi="Verdana"/>
                <w:b/>
                <w:bCs/>
                <w:sz w:val="20"/>
                <w:szCs w:val="20"/>
              </w:rPr>
              <w:t xml:space="preserve">CIT v. Chhabil Dass Agarwal (Supreme Court, 2013):</w:t>
            </w:r>
            <w:r>
              <w:rPr>
                <w:rFonts w:ascii="Verdana" w:cs="Verdana" w:eastAsia="Verdana" w:hAnsi="Verdana"/>
                <w:sz w:val="20"/>
                <w:szCs w:val="20"/>
              </w:rPr>
              <w:t xml:space="preserve"> where an effective statutory appeal is available, a writ petition is generally not entertained, except in exceptional situations such as violation of natural justice or lack of jurisdiction.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First appeal within 30 days; Tribunal within 2 months from end of month; High Court only on substantial questions of law.</w:t>
            </w:r>
          </w:p>
          <w:p>
            <w:pPr>
              <w:spacing w:after="60" w:line="260"/>
            </w:pPr>
            <w:r>
              <w:rPr>
                <w:rFonts w:ascii="Verdana" w:cs="Verdana" w:eastAsia="Verdana" w:hAnsi="Verdana"/>
                <w:sz w:val="20"/>
                <w:szCs w:val="20"/>
              </w:rPr>
              <w:t xml:space="preserve">•  Stay usually on 20% payment.</w:t>
            </w:r>
          </w:p>
          <w:p>
            <w:pPr>
              <w:spacing w:after="60" w:line="260"/>
            </w:pPr>
            <w:r>
              <w:rPr>
                <w:rFonts w:ascii="Verdana" w:cs="Verdana" w:eastAsia="Verdana" w:hAnsi="Verdana"/>
                <w:sz w:val="20"/>
                <w:szCs w:val="20"/>
              </w:rPr>
              <w:t xml:space="preserve">•  DRP, DRC, MAP, advance rulings and APAs are alternatives to litigation.</w:t>
            </w:r>
          </w:p>
        </w:tc>
      </w:tr>
    </w:tbl>
    <w:p>
      <w:pPr>
        <w:pStyle w:val="Heading1"/>
        <w:pageBreakBefore/>
        <w:spacing w:after="200" w:before="0"/>
      </w:pPr>
      <w:r>
        <w:rPr>
          <w:rFonts w:ascii="Verdana" w:cs="Verdana" w:eastAsia="Verdana" w:hAnsi="Verdana"/>
        </w:rPr>
        <w:t xml:space="preserve">45. Collection, Recovery and Refunds</w:t>
      </w:r>
    </w:p>
    <w:p>
      <w:pPr>
        <w:pStyle w:val="Heading2"/>
        <w:keepNext/>
        <w:spacing w:after="120" w:before="240"/>
      </w:pPr>
      <w:r>
        <w:rPr>
          <w:rFonts w:ascii="Verdana" w:cs="Verdana" w:eastAsia="Verdana" w:hAnsi="Verdana"/>
        </w:rPr>
        <w:t xml:space="preserve">45.1 Demand and recovery</w:t>
      </w:r>
    </w:p>
    <w:p>
      <w:pPr>
        <w:pStyle w:val="ListParagraph"/>
        <w:numPr>
          <w:ilvl w:val="0"/>
          <w:numId w:val="2"/>
        </w:numPr>
        <w:spacing w:after="60" w:line="264"/>
      </w:pPr>
      <w:r>
        <w:rPr>
          <w:rFonts w:ascii="Verdana" w:cs="Verdana" w:eastAsia="Verdana" w:hAnsi="Verdana"/>
        </w:rPr>
        <w:t xml:space="preserve">A notice of demand is issued with every order creating a liability. Tax must be paid within </w:t>
      </w:r>
      <w:r>
        <w:rPr>
          <w:rFonts w:ascii="Verdana" w:cs="Verdana" w:eastAsia="Verdana" w:hAnsi="Verdana"/>
          <w:b/>
          <w:bCs/>
        </w:rPr>
        <w:t xml:space="preserve">30 days</w:t>
      </w:r>
      <w:r>
        <w:rPr>
          <w:rFonts w:ascii="Verdana" w:cs="Verdana" w:eastAsia="Verdana" w:hAnsi="Verdana"/>
        </w:rPr>
        <w:t xml:space="preserve">, unless a shorter period is specified with reasons.</w:t>
      </w:r>
    </w:p>
    <w:p>
      <w:pPr>
        <w:pStyle w:val="ListParagraph"/>
        <w:numPr>
          <w:ilvl w:val="0"/>
          <w:numId w:val="2"/>
        </w:numPr>
        <w:spacing w:after="60" w:line="264"/>
      </w:pPr>
      <w:r>
        <w:rPr>
          <w:rFonts w:ascii="Verdana" w:cs="Verdana" w:eastAsia="Verdana" w:hAnsi="Verdana"/>
        </w:rPr>
        <w:t xml:space="preserve">If not paid, the taxpayer is an </w:t>
      </w:r>
      <w:r>
        <w:rPr>
          <w:rFonts w:ascii="Verdana" w:cs="Verdana" w:eastAsia="Verdana" w:hAnsi="Verdana"/>
          <w:b/>
          <w:bCs/>
        </w:rPr>
        <w:t xml:space="preserve">assessee in default</w:t>
      </w:r>
      <w:r>
        <w:rPr>
          <w:rFonts w:ascii="Verdana" w:cs="Verdana" w:eastAsia="Verdana" w:hAnsi="Verdana"/>
        </w:rPr>
        <w:t xml:space="preserve">, and simple interest at 1% a month runs from the end of the 30-day period. A penalty may also be imposed.</w:t>
      </w:r>
    </w:p>
    <w:p>
      <w:pPr>
        <w:pStyle w:val="ListParagraph"/>
        <w:numPr>
          <w:ilvl w:val="0"/>
          <w:numId w:val="2"/>
        </w:numPr>
        <w:spacing w:after="60" w:line="264"/>
      </w:pPr>
      <w:r>
        <w:rPr>
          <w:rFonts w:ascii="Verdana" w:cs="Verdana" w:eastAsia="Verdana" w:hAnsi="Verdana"/>
        </w:rPr>
        <w:t xml:space="preserve">Recovery can be through the Tax Recovery Officer: attachment and sale of movable and immovable property, attachment of bank accounts, garnishee notices to debtors of the taxpayer, and appointment of a receiver.</w:t>
      </w:r>
    </w:p>
    <w:p>
      <w:pPr>
        <w:pStyle w:val="ListParagraph"/>
        <w:numPr>
          <w:ilvl w:val="0"/>
          <w:numId w:val="2"/>
        </w:numPr>
        <w:spacing w:after="60" w:line="264"/>
      </w:pPr>
      <w:r>
        <w:rPr>
          <w:rFonts w:ascii="Verdana" w:cs="Verdana" w:eastAsia="Verdana" w:hAnsi="Verdana"/>
        </w:rPr>
        <w:t xml:space="preserve">Tax clearance certificates may be required from persons leaving India in specified situations.</w:t>
      </w:r>
    </w:p>
    <w:p>
      <w:pPr>
        <w:pStyle w:val="Heading2"/>
        <w:keepNext/>
        <w:spacing w:after="120" w:before="240"/>
      </w:pPr>
      <w:r>
        <w:rPr>
          <w:rFonts w:ascii="Verdana" w:cs="Verdana" w:eastAsia="Verdana" w:hAnsi="Verdana"/>
        </w:rPr>
        <w:t xml:space="preserve">45.2 Refunds</w:t>
      </w:r>
    </w:p>
    <w:p>
      <w:pPr>
        <w:pStyle w:val="ListParagraph"/>
        <w:numPr>
          <w:ilvl w:val="0"/>
          <w:numId w:val="2"/>
        </w:numPr>
        <w:spacing w:after="60" w:line="264"/>
      </w:pPr>
      <w:r>
        <w:rPr>
          <w:rFonts w:ascii="Verdana" w:cs="Verdana" w:eastAsia="Verdana" w:hAnsi="Verdana"/>
        </w:rPr>
        <w:t xml:space="preserve">Refund arises where taxes paid (TDS, TCS, advance tax, self assessment tax) exceed the tax determined.</w:t>
      </w:r>
    </w:p>
    <w:p>
      <w:pPr>
        <w:pStyle w:val="ListParagraph"/>
        <w:numPr>
          <w:ilvl w:val="0"/>
          <w:numId w:val="2"/>
        </w:numPr>
        <w:spacing w:after="60" w:line="264"/>
      </w:pPr>
      <w:r>
        <w:rPr>
          <w:rFonts w:ascii="Verdana" w:cs="Verdana" w:eastAsia="Verdana" w:hAnsi="Verdana"/>
        </w:rPr>
        <w:t xml:space="preserve">Interest on refund (section 437) is 0.5% a month from 1 April of the next year (for TDS and advance tax) or from the date of filing the return or of payment, whichever is later (for self assessment tax), to the date of grant, if the refund is at least 10% of the tax determined. No interest for the period of delay attributable to the taxpayer.</w:t>
      </w:r>
    </w:p>
    <w:p>
      <w:pPr>
        <w:pStyle w:val="ListParagraph"/>
        <w:numPr>
          <w:ilvl w:val="0"/>
          <w:numId w:val="2"/>
        </w:numPr>
        <w:spacing w:after="60" w:line="264"/>
      </w:pPr>
      <w:r>
        <w:rPr>
          <w:rFonts w:ascii="Verdana" w:cs="Verdana" w:eastAsia="Verdana" w:hAnsi="Verdana"/>
        </w:rPr>
        <w:t xml:space="preserve">Refunds are credited to a pre-validated bank account linked to PAN.</w:t>
      </w:r>
    </w:p>
    <w:p>
      <w:pPr>
        <w:pStyle w:val="ListParagraph"/>
        <w:numPr>
          <w:ilvl w:val="0"/>
          <w:numId w:val="2"/>
        </w:numPr>
        <w:spacing w:after="60" w:line="264"/>
      </w:pPr>
      <w:r>
        <w:rPr>
          <w:rFonts w:ascii="Verdana" w:cs="Verdana" w:eastAsia="Verdana" w:hAnsi="Verdana"/>
        </w:rPr>
        <w:t xml:space="preserve">Before granting a refund, the department can adjust it against outstanding demands of other years after giving an intimation and allowing 30 days to respond (section 438). Check the portal and respond if the demand is wrong or stayed.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150: Refund interest</w:t>
            </w:r>
          </w:p>
          <w:p>
            <w:pPr>
              <w:spacing w:after="60" w:line="260"/>
            </w:pPr>
            <w:r>
              <w:rPr>
                <w:rFonts w:ascii="Verdana" w:cs="Verdana" w:eastAsia="Verdana" w:hAnsi="Verdana"/>
                <w:sz w:val="20"/>
                <w:szCs w:val="20"/>
              </w:rPr>
              <w:t xml:space="preserve">Karan's TDS for Tax Year 2026-27 is Rs. 1,50,000 and his tax is Rs. 1,00,000. He files on 20 July 2027 and receives the refund of Rs. 50,000 on 25 November 2027. Interest = 50,000 x 0.5% x 8 months (April to November) = </w:t>
            </w:r>
            <w:r>
              <w:rPr>
                <w:rFonts w:ascii="Verdana" w:cs="Verdana" w:eastAsia="Verdana" w:hAnsi="Verdana"/>
                <w:b/>
                <w:bCs/>
                <w:sz w:val="20"/>
                <w:szCs w:val="20"/>
              </w:rPr>
              <w:t xml:space="preserve">Rs. 2,000</w:t>
            </w:r>
            <w:r>
              <w:rPr>
                <w:rFonts w:ascii="Verdana" w:cs="Verdana" w:eastAsia="Verdana" w:hAnsi="Verdana"/>
                <w:sz w:val="20"/>
                <w:szCs w:val="20"/>
              </w:rPr>
              <w:t xml:space="preserve">. The refund exceeds 10% of tax, so interest is payable. The interest is taxable in the year of receipt.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Interest on refunds</w:t>
            </w:r>
          </w:p>
          <w:p>
            <w:pPr>
              <w:spacing w:after="60" w:line="260"/>
            </w:pPr>
            <w:r>
              <w:rPr>
                <w:rFonts w:ascii="Verdana" w:cs="Verdana" w:eastAsia="Verdana" w:hAnsi="Verdana"/>
                <w:b/>
                <w:bCs/>
                <w:sz w:val="20"/>
                <w:szCs w:val="20"/>
              </w:rPr>
              <w:t xml:space="preserve">Union of India v. Tata Chemicals Ltd. (Supreme Court, 2014):</w:t>
            </w:r>
            <w:r>
              <w:rPr>
                <w:rFonts w:ascii="Verdana" w:cs="Verdana" w:eastAsia="Verdana" w:hAnsi="Verdana"/>
                <w:sz w:val="20"/>
                <w:szCs w:val="20"/>
              </w:rPr>
              <w:t xml:space="preserve"> interest is payable on refund of excess tax deducted at source, since the government has had the use of the taxpayer's money; the statutory obligation to pay interest is not a matter of discretion.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Demand payable within 30 days; interest at 1% a month thereafter.</w:t>
            </w:r>
          </w:p>
          <w:p>
            <w:pPr>
              <w:spacing w:after="60" w:line="260"/>
            </w:pPr>
            <w:r>
              <w:rPr>
                <w:rFonts w:ascii="Verdana" w:cs="Verdana" w:eastAsia="Verdana" w:hAnsi="Verdana"/>
                <w:sz w:val="20"/>
                <w:szCs w:val="20"/>
              </w:rPr>
              <w:t xml:space="preserve">•  Refund interest at 0.5% a month; refunds can be adjusted against old demands after intimation.</w:t>
            </w:r>
          </w:p>
        </w:tc>
      </w:tr>
    </w:tbl>
    <w:p>
      <w:pPr>
        <w:pStyle w:val="Heading1"/>
        <w:pageBreakBefore/>
        <w:spacing w:after="200" w:before="0"/>
      </w:pPr>
      <w:r>
        <w:rPr>
          <w:rFonts w:ascii="Verdana" w:cs="Verdana" w:eastAsia="Verdana" w:hAnsi="Verdana"/>
        </w:rPr>
        <w:t xml:space="preserve">46. Penalties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1400"/>
        <w:gridCol w:w="1600"/>
        <w:gridCol w:w="3200"/>
      </w:tblGrid>
      <w:tr>
        <w:trPr>
          <w:cantSplit/>
          <w:tblHeader/>
        </w:trPr>
        <w:tc>
          <w:tcPr>
            <w:tcW w:type="dxa" w:w="3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Default</w:t>
            </w:r>
          </w:p>
        </w:tc>
        <w:tc>
          <w:tcPr>
            <w:tcW w:type="dxa" w:w="1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w:t>
            </w:r>
          </w:p>
        </w:tc>
        <w:tc>
          <w:tcPr>
            <w:tcW w:type="dxa" w:w="3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Penalty</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Under-reporting of income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439</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270A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of tax on under-reported income</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Misreporting (false entries, suppression)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439</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270A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 of tax</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get accounts audited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chapter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271B</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0.5% of turnover, max Rs. 1.5 lakh</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loan or deposit of Rs. 20,000 or more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chapter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271D, 271E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Equal to the amount</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receipt of Rs. 2 lakh or more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chapter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271DA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Equal to the amount</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TP documentation and reporting defaults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chapter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271AA, 271G, 271BA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Percentage of transaction value; delays in report now a graded fee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151: Under-reporting</w:t>
            </w:r>
          </w:p>
          <w:p>
            <w:pPr>
              <w:spacing w:after="60" w:line="260"/>
            </w:pPr>
            <w:r>
              <w:rPr>
                <w:rFonts w:ascii="Verdana" w:cs="Verdana" w:eastAsia="Verdana" w:hAnsi="Verdana"/>
                <w:sz w:val="20"/>
                <w:szCs w:val="20"/>
              </w:rPr>
              <w:t xml:space="preserve">Additional income of Rs. 3,00,000 is assessed for a person in the 30% slab. Tax on it = Rs. 93,600. Penalty for under-reporting = 50% = </w:t>
            </w:r>
            <w:r>
              <w:rPr>
                <w:rFonts w:ascii="Verdana" w:cs="Verdana" w:eastAsia="Verdana" w:hAnsi="Verdana"/>
                <w:b/>
                <w:bCs/>
                <w:sz w:val="20"/>
                <w:szCs w:val="20"/>
              </w:rPr>
              <w:t xml:space="preserve">Rs. 46,800</w:t>
            </w:r>
            <w:r>
              <w:rPr>
                <w:rFonts w:ascii="Verdana" w:cs="Verdana" w:eastAsia="Verdana" w:hAnsi="Verdana"/>
                <w:sz w:val="20"/>
                <w:szCs w:val="20"/>
              </w:rPr>
              <w:t xml:space="preserve">. Immunity is available if tax and interest are paid and no appeal is filed, subject to conditions.</w:t>
            </w:r>
          </w:p>
        </w:tc>
      </w:tr>
    </w:tbl>
    <w:p>
      <w:pPr>
        <w:spacing w:after="60"/>
      </w:pPr>
    </w:p>
    <w:p>
      <w:pPr>
        <w:spacing w:after="120" w:line="276"/>
        <w:jc w:val="both"/>
      </w:pPr>
      <w:r>
        <w:rPr>
          <w:rFonts w:ascii="Verdana" w:cs="Verdana" w:eastAsia="Verdana" w:hAnsi="Verdana"/>
        </w:rPr>
        <w:t xml:space="preserve">The Finance Act 2026 converted several technical penalties into fees and decriminalised minor defaults. Check the current section before quoting a penalty.</w:t>
      </w:r>
    </w:p>
    <w:p>
      <w:pPr>
        <w:pStyle w:val="Heading2"/>
        <w:keepNext/>
        <w:spacing w:after="120" w:before="240"/>
      </w:pPr>
      <w:r>
        <w:rPr>
          <w:rFonts w:ascii="Verdana" w:cs="Verdana" w:eastAsia="Verdana" w:hAnsi="Verdana"/>
        </w:rPr>
        <w:t xml:space="preserve">46.1 Under-reporting and misreporting in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48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Under-reporting includes</w:t>
            </w:r>
          </w:p>
        </w:tc>
        <w:tc>
          <w:tcPr>
            <w:tcW w:type="dxa" w:w="4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Misreporting includes (penalty 200%)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Assessed income higher than returned income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Misrepresentation or suppression of facts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assessed where no return was filed and income exceeds the exemption limit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record investments in the books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Reassessed income higher than earlier assessed income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Claiming expenditure not supported by evidence</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total income under MAT or AMT provisions higher than returned</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Recording false entries in the books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Reduction of losses declared</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record receipts affecting total income</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report international or specified domestic transactions</w:t>
            </w:r>
          </w:p>
        </w:tc>
      </w:tr>
    </w:tbl>
    <w:p>
      <w:pPr>
        <w:spacing w:after="60"/>
      </w:pPr>
    </w:p>
    <w:p>
      <w:pPr>
        <w:spacing w:after="120" w:line="276"/>
        <w:jc w:val="both"/>
      </w:pPr>
      <w:r>
        <w:rPr>
          <w:rFonts w:ascii="Verdana" w:cs="Verdana" w:eastAsia="Verdana" w:hAnsi="Verdana"/>
        </w:rPr>
        <w:t xml:space="preserve">The penalty is computed on the tax payable on the under-reported income. Certain amounts are excluded: where the taxpayer offers a bona fide explanation and discloses all material facts; where an estimate is made on the basis of the same material and the taxpayer's own estimate was reasonable; and additions based on transfer pricing where documentation was properly maintained.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Penalty principles</w:t>
            </w:r>
          </w:p>
          <w:p>
            <w:pPr>
              <w:spacing w:after="60" w:line="260"/>
            </w:pPr>
            <w:r>
              <w:rPr>
                <w:rFonts w:ascii="Verdana" w:cs="Verdana" w:eastAsia="Verdana" w:hAnsi="Verdana"/>
                <w:b/>
                <w:bCs/>
                <w:sz w:val="20"/>
                <w:szCs w:val="20"/>
              </w:rPr>
              <w:t xml:space="preserve">CIT v. Reliance Petroproducts (P) Ltd. (Supreme Court, 2010):</w:t>
            </w:r>
            <w:r>
              <w:rPr>
                <w:rFonts w:ascii="Verdana" w:cs="Verdana" w:eastAsia="Verdana" w:hAnsi="Verdana"/>
                <w:sz w:val="20"/>
                <w:szCs w:val="20"/>
              </w:rPr>
              <w:t xml:space="preserve"> making a claim that is not sustainable in law does not by itself amount to furnishing inaccurate particulars, where all facts were disclosed. The principle continues to guide the distinction between under-reporting and misreporting.</w:t>
            </w:r>
          </w:p>
          <w:p>
            <w:pPr>
              <w:spacing w:after="60" w:line="260"/>
            </w:pPr>
            <w:r>
              <w:rPr>
                <w:rFonts w:ascii="Verdana" w:cs="Verdana" w:eastAsia="Verdana" w:hAnsi="Verdana"/>
                <w:b/>
                <w:bCs/>
                <w:sz w:val="20"/>
                <w:szCs w:val="20"/>
              </w:rPr>
              <w:t xml:space="preserve">Union of India v. Dharmendra Textile Processors (Supreme Court, 2008):</w:t>
            </w:r>
            <w:r>
              <w:rPr>
                <w:rFonts w:ascii="Verdana" w:cs="Verdana" w:eastAsia="Verdana" w:hAnsi="Verdana"/>
                <w:sz w:val="20"/>
                <w:szCs w:val="20"/>
              </w:rPr>
              <w:t xml:space="preserve"> civil penalties do not require proof of wilful intent (mens rea); the statutory conditions and the taxpayer's explanation are what matter.</w:t>
            </w:r>
          </w:p>
        </w:tc>
      </w:tr>
    </w:tbl>
    <w:p>
      <w:pPr>
        <w:spacing w:after="60"/>
      </w:pPr>
    </w:p>
    <w:p>
      <w:pPr>
        <w:pStyle w:val="Heading2"/>
        <w:keepNext/>
        <w:spacing w:after="120" w:before="240"/>
      </w:pPr>
      <w:r>
        <w:rPr>
          <w:rFonts w:ascii="Verdana" w:cs="Verdana" w:eastAsia="Verdana" w:hAnsi="Verdana"/>
        </w:rPr>
        <w:t xml:space="preserve">46.2 Immunity from penalty and prosecution</w:t>
      </w:r>
    </w:p>
    <w:p>
      <w:pPr>
        <w:pStyle w:val="ListParagraph"/>
        <w:numPr>
          <w:ilvl w:val="0"/>
          <w:numId w:val="2"/>
        </w:numPr>
        <w:spacing w:after="60" w:line="264"/>
      </w:pPr>
      <w:r>
        <w:rPr>
          <w:rFonts w:ascii="Verdana" w:cs="Verdana" w:eastAsia="Verdana" w:hAnsi="Verdana"/>
        </w:rPr>
        <w:t xml:space="preserve">Available for under-reporting cases (not misreporting).</w:t>
      </w:r>
    </w:p>
    <w:p>
      <w:pPr>
        <w:pStyle w:val="ListParagraph"/>
        <w:numPr>
          <w:ilvl w:val="0"/>
          <w:numId w:val="2"/>
        </w:numPr>
        <w:spacing w:after="60" w:line="264"/>
      </w:pPr>
      <w:r>
        <w:rPr>
          <w:rFonts w:ascii="Verdana" w:cs="Verdana" w:eastAsia="Verdana" w:hAnsi="Verdana"/>
        </w:rPr>
        <w:t xml:space="preserve">The taxpayer must pay the tax and interest within the period in the demand notice, and must not file an appeal.</w:t>
      </w:r>
    </w:p>
    <w:p>
      <w:pPr>
        <w:pStyle w:val="ListParagraph"/>
        <w:numPr>
          <w:ilvl w:val="0"/>
          <w:numId w:val="2"/>
        </w:numPr>
        <w:spacing w:after="60" w:line="264"/>
      </w:pPr>
      <w:r>
        <w:rPr>
          <w:rFonts w:ascii="Verdana" w:cs="Verdana" w:eastAsia="Verdana" w:hAnsi="Verdana"/>
        </w:rPr>
        <w:t xml:space="preserve">Application within 1 month from the end of the month of receipt of the assessment order.</w:t>
      </w:r>
    </w:p>
    <w:p>
      <w:pPr>
        <w:pStyle w:val="ListParagraph"/>
        <w:numPr>
          <w:ilvl w:val="0"/>
          <w:numId w:val="2"/>
        </w:numPr>
        <w:spacing w:after="60" w:line="264"/>
      </w:pPr>
      <w:r>
        <w:rPr>
          <w:rFonts w:ascii="Verdana" w:cs="Verdana" w:eastAsia="Verdana" w:hAnsi="Verdana"/>
        </w:rPr>
        <w:t xml:space="preserve">The Assessing Officer decides within 1 month; the order is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152: Immunity decision</w:t>
            </w:r>
          </w:p>
          <w:p>
            <w:pPr>
              <w:spacing w:after="60" w:line="260"/>
            </w:pPr>
            <w:r>
              <w:rPr>
                <w:rFonts w:ascii="Verdana" w:cs="Verdana" w:eastAsia="Verdana" w:hAnsi="Verdana"/>
                <w:sz w:val="20"/>
                <w:szCs w:val="20"/>
              </w:rPr>
              <w:t xml:space="preserve">An addition of Rs. 10 lakh is made on an estimated basis for a trader in the 30% slab. Tax Rs. 3.12 lakh; potential penalty (50%) Rs. 1.56 lakh. The trader believes his appeal has a moderate chance. By seeking immunity, he pays Rs. 3.12 lakh plus interest and avoids the penalty and any prosecution risk. By appealing, he risks the penalty and litigation cost. A risk-weighted comparison helps him decide.</w:t>
            </w:r>
          </w:p>
        </w:tc>
      </w:tr>
    </w:tbl>
    <w:p>
      <w:pPr>
        <w:spacing w:after="60"/>
      </w:pPr>
    </w:p>
    <w:p>
      <w:pPr>
        <w:pStyle w:val="Heading2"/>
        <w:keepNext/>
        <w:spacing w:after="120" w:before="240"/>
      </w:pPr>
      <w:r>
        <w:rPr>
          <w:rFonts w:ascii="Verdana" w:cs="Verdana" w:eastAsia="Verdana" w:hAnsi="Verdana"/>
        </w:rPr>
        <w:t xml:space="preserve">46.3 Other penalties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8"/>
        <w:gridCol w:w="4600"/>
      </w:tblGrid>
      <w:tr>
        <w:trPr>
          <w:cantSplit/>
          <w:tblHeader/>
        </w:trPr>
        <w:tc>
          <w:tcPr>
            <w:tcW w:type="dxa" w:w="5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Default</w:t>
            </w:r>
          </w:p>
        </w:tc>
        <w:tc>
          <w:tcPr>
            <w:tcW w:type="dxa" w:w="4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Penalty (broad)</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deduct or collect tax</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Equal to the tax not deducted or collected</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file TDS or TCS statement or filing incorrect statement</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to Rs. 1,00,000 (converted to fees in some cases by recent amendments)</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comply with notices</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for each failure</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keep books or documents, or TP documentation</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amounts or 2% of transaction value</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Accountant or valuer furnishing incorrect report</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per report</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Loans, deposits or receipts in cash above limits</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Equal to the amount</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furnish statement of financial transactions</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 to Rs. 1,000 per day</w:t>
            </w:r>
          </w:p>
        </w:tc>
      </w:tr>
      <w:tr>
        <w:trPr>
          <w:cantSplit/>
        </w:trPr>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Undisclosed foreign assets (Black Money Act)</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 lakh for non-reporting; undisclosed foreign income or assets taxed at 30% with a further penalty of three times the tax</w:t>
            </w:r>
          </w:p>
        </w:tc>
      </w:tr>
    </w:tbl>
    <w:p>
      <w:pPr>
        <w:spacing w:after="60"/>
      </w:pPr>
    </w:p>
    <w:p>
      <w:pPr>
        <w:pStyle w:val="Heading2"/>
        <w:keepNext/>
        <w:spacing w:after="120" w:before="240"/>
      </w:pPr>
      <w:r>
        <w:rPr>
          <w:rFonts w:ascii="Verdana" w:cs="Verdana" w:eastAsia="Verdana" w:hAnsi="Verdana"/>
        </w:rPr>
        <w:t xml:space="preserve">46.4 Prosecution and compounding</w:t>
      </w:r>
    </w:p>
    <w:p>
      <w:pPr>
        <w:spacing w:after="120" w:line="276"/>
        <w:jc w:val="both"/>
      </w:pPr>
      <w:r>
        <w:rPr>
          <w:rFonts w:ascii="Verdana" w:cs="Verdana" w:eastAsia="Verdana" w:hAnsi="Verdana"/>
        </w:rPr>
        <w:t xml:space="preserve">Prosecution is a criminal proceeding before a court, separate from penalty. The main offences are: wilful attempt to evade tax, penalty or interest; failure to pay TDS or TCS deducted or collected to the government; wilful failure to file a return; false statements in verification; and abetment. Punishments range from rigorous imprisonment of 3 months to 7 years with fine, depending on the amount and offence. For TDS, recent amendments provide that no prosecution will be launched if the tax is paid by the due date of filing the quarterly statement.</w:t>
      </w:r>
    </w:p>
    <w:p>
      <w:pPr>
        <w:spacing w:after="120" w:line="276"/>
        <w:jc w:val="both"/>
      </w:pPr>
      <w:r>
        <w:rPr>
          <w:rFonts w:ascii="Verdana" w:cs="Verdana" w:eastAsia="Verdana" w:hAnsi="Verdana"/>
        </w:rPr>
        <w:t xml:space="preserve">Most offences can be </w:t>
      </w:r>
      <w:r>
        <w:rPr>
          <w:rFonts w:ascii="Verdana" w:cs="Verdana" w:eastAsia="Verdana" w:hAnsi="Verdana"/>
          <w:b/>
          <w:bCs/>
        </w:rPr>
        <w:t xml:space="preserve">compounded</w:t>
      </w:r>
      <w:r>
        <w:rPr>
          <w:rFonts w:ascii="Verdana" w:cs="Verdana" w:eastAsia="Verdana" w:hAnsi="Verdana"/>
        </w:rPr>
        <w:t xml:space="preserve"> by applying to the competent authority and paying the compounding charges prescribed in the CBDT guidelines. Compounding closes the prosecution. Serious offences and repeat offenders may not be eligible.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Duty to file returns</w:t>
            </w:r>
          </w:p>
          <w:p>
            <w:pPr>
              <w:spacing w:after="60" w:line="260"/>
            </w:pPr>
            <w:r>
              <w:rPr>
                <w:rFonts w:ascii="Verdana" w:cs="Verdana" w:eastAsia="Verdana" w:hAnsi="Verdana"/>
                <w:b/>
                <w:bCs/>
                <w:sz w:val="20"/>
                <w:szCs w:val="20"/>
              </w:rPr>
              <w:t xml:space="preserve">Sasi Enterprises v. ACIT (Supreme Court, 2014):</w:t>
            </w:r>
            <w:r>
              <w:rPr>
                <w:rFonts w:ascii="Verdana" w:cs="Verdana" w:eastAsia="Verdana" w:hAnsi="Verdana"/>
                <w:sz w:val="20"/>
                <w:szCs w:val="20"/>
              </w:rPr>
              <w:t xml:space="preserve"> the statutory obligation to file a return by the due date is independent of the assessment process, and prosecution for wilful failure to file can proceed even while assessment proceedings are pending.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Prosecution notices usually start with a show cause from the department. A prompt reply showing reasonable cause (for example, delay due to cash flow problems with subsequent payment, or no wilful intent) often leads to closure. Where compounding is available, it is usually the most practical route.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Under-reporting 50%; misreporting 200% of tax.</w:t>
            </w:r>
          </w:p>
          <w:p>
            <w:pPr>
              <w:spacing w:after="60" w:line="260"/>
            </w:pPr>
            <w:r>
              <w:rPr>
                <w:rFonts w:ascii="Verdana" w:cs="Verdana" w:eastAsia="Verdana" w:hAnsi="Verdana"/>
                <w:sz w:val="20"/>
                <w:szCs w:val="20"/>
              </w:rPr>
              <w:t xml:space="preserve">•  Immunity for under-reporting if tax paid and no appeal filed.</w:t>
            </w:r>
          </w:p>
          <w:p>
            <w:pPr>
              <w:spacing w:after="60" w:line="260"/>
            </w:pPr>
            <w:r>
              <w:rPr>
                <w:rFonts w:ascii="Verdana" w:cs="Verdana" w:eastAsia="Verdana" w:hAnsi="Verdana"/>
                <w:sz w:val="20"/>
                <w:szCs w:val="20"/>
              </w:rPr>
              <w:t xml:space="preserve">•  Prosecution for serious offences; compounding available in most cases.</w:t>
            </w:r>
          </w:p>
        </w:tc>
      </w:tr>
    </w:tbl>
    <w:p>
      <w:pPr>
        <w:pStyle w:val="Heading1"/>
        <w:pageBreakBefore/>
        <w:spacing w:after="200" w:before="0"/>
      </w:pPr>
      <w:r>
        <w:rPr>
          <w:rFonts w:ascii="Verdana" w:cs="Verdana" w:eastAsia="Verdana" w:hAnsi="Verdana"/>
        </w:rPr>
        <w:t xml:space="preserve">47. Forms Under the Income-tax Rules, 2026</w:t>
      </w:r>
    </w:p>
    <w:p>
      <w:pPr>
        <w:spacing w:after="120" w:line="276"/>
        <w:jc w:val="both"/>
      </w:pPr>
      <w:r>
        <w:rPr>
          <w:rFonts w:ascii="Verdana" w:cs="Verdana" w:eastAsia="Verdana" w:hAnsi="Verdana"/>
        </w:rPr>
        <w:t xml:space="preserve">Forms are renumbered from Tax Year 2026-27. For FY 2025-26 and earlier, the old forms under the 1962 Rules continue.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600"/>
        <w:gridCol w:w="22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Purpose</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form</w:t>
            </w:r>
          </w:p>
        </w:tc>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form</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audit report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3CA, 3CB, 3CD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Amalgamation revival certificate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Arrears relief</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 information for treaty benefit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10F</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41</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 issue of Tax Residency Certificate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10FA / 10FB</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 / 43</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 accountant's report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3CEB</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48</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Master file / CbCR report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3CEAA / 3CEAD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56 / 59</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report / AMT report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29B / 29C</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66 / 67</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Donation certificate from donee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10BE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114</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Declaration for no TDS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15G, 15H</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121</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Perquisite statement / employee deduction claims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12BA / 12BB</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123 / 124</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TDS certificate / non-salary TDS certificate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 / 16A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130 / 131</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certificate: property, rent by individuals etc.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16B, 16C, 16D, 16E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132</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statement: salary / residents non-salary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24Q / 26Q</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138 / 140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Challan cum statement: property, rent etc.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26QB, 26QC, 26QD, 26QE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141</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TCS statement / TDS statement non-residents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27EQ / 27Q</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143 / 144</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remittance information / CA certificate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15CA / 15CB</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145 / 146</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Statement of financial transactions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165</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tax statement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26AS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168</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PAN application (individuals / entities)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49A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93 / 94</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H: COMPREHENSIVE CASE STUDIES</w:t>
      </w:r>
    </w:p>
    <w:p>
      <w:pPr>
        <w:shd w:fill="F6E8D2" w:color="auto" w:val="clear"/>
        <w:spacing w:after="200"/>
      </w:pPr>
      <w:r>
        <w:rPr>
          <w:rFonts w:ascii="Verdana" w:cs="Verdana" w:eastAsia="Verdana" w:hAnsi="Verdana"/>
          <w:i/>
          <w:iCs/>
          <w:color w:val="92400E"/>
          <w:sz w:val="20"/>
          <w:szCs w:val="20"/>
        </w:rPr>
        <w:t xml:space="preserve">  Complete computations that bring the chapters together</w:t>
      </w:r>
    </w:p>
    <w:p>
      <w:pPr>
        <w:spacing w:after="240" w:line="276"/>
        <w:jc w:val="both"/>
      </w:pPr>
      <w:r>
        <w:rPr>
          <w:rFonts w:ascii="Verdana" w:cs="Verdana" w:eastAsia="Verdana" w:hAnsi="Verdana"/>
          <w:i/>
          <w:iCs/>
          <w:color w:val="404040"/>
          <w:sz w:val="21"/>
          <w:szCs w:val="21"/>
        </w:rPr>
        <w:t xml:space="preserve">The case studies apply the chapters to realistic fact patterns, each with a complete computation and the reasoning behind every step. They are designed to be worked through with the relevant chapters open.</w:t>
      </w:r>
    </w:p>
    <w:p>
      <w:pPr>
        <w:pStyle w:val="Heading1"/>
        <w:spacing w:after="200" w:before="120"/>
      </w:pPr>
      <w:r>
        <w:rPr>
          <w:rFonts w:ascii="Verdana" w:cs="Verdana" w:eastAsia="Verdana" w:hAnsi="Verdana"/>
        </w:rPr>
        <w:t xml:space="preserve">48. Case Study 1: Salaried Taxpayer with Property and Investments</w:t>
      </w:r>
    </w:p>
    <w:p>
      <w:pPr>
        <w:spacing w:after="120" w:line="276"/>
        <w:jc w:val="both"/>
      </w:pPr>
      <w:r>
        <w:rPr>
          <w:rFonts w:ascii="Verdana" w:cs="Verdana" w:eastAsia="Verdana" w:hAnsi="Verdana"/>
          <w:b/>
          <w:bCs/>
        </w:rPr>
        <w:t xml:space="preserve">Facts.</w:t>
      </w:r>
      <w:r>
        <w:rPr>
          <w:rFonts w:ascii="Verdana" w:cs="Verdana" w:eastAsia="Verdana" w:hAnsi="Verdana"/>
        </w:rPr>
        <w:t xml:space="preserve"> Anita, 45, a resident, works in Bengaluru. For Tax Year 2026-27 her details are:</w:t>
      </w:r>
    </w:p>
    <w:p>
      <w:pPr>
        <w:pStyle w:val="ListParagraph"/>
        <w:numPr>
          <w:ilvl w:val="0"/>
          <w:numId w:val="2"/>
        </w:numPr>
        <w:spacing w:after="60" w:line="264"/>
      </w:pPr>
      <w:r>
        <w:rPr>
          <w:rFonts w:ascii="Verdana" w:cs="Verdana" w:eastAsia="Verdana" w:hAnsi="Verdana"/>
        </w:rPr>
        <w:t xml:space="preserve">Basic salary Rs. 12,00,000; HRA Rs. 4,80,000; special allowance Rs. 6,00,000; employer NPS contribution Rs. 1,20,000 (10% of basic). Professional tax Rs. 2,400.</w:t>
      </w:r>
    </w:p>
    <w:p>
      <w:pPr>
        <w:pStyle w:val="ListParagraph"/>
        <w:numPr>
          <w:ilvl w:val="0"/>
          <w:numId w:val="2"/>
        </w:numPr>
        <w:spacing w:after="60" w:line="264"/>
      </w:pPr>
      <w:r>
        <w:rPr>
          <w:rFonts w:ascii="Verdana" w:cs="Verdana" w:eastAsia="Verdana" w:hAnsi="Verdana"/>
        </w:rPr>
        <w:t xml:space="preserve">She pays rent of Rs. 40,000 a month (Rs. 4,80,000 a year) for her flat in Bengaluru.</w:t>
      </w:r>
    </w:p>
    <w:p>
      <w:pPr>
        <w:pStyle w:val="ListParagraph"/>
        <w:numPr>
          <w:ilvl w:val="0"/>
          <w:numId w:val="2"/>
        </w:numPr>
        <w:spacing w:after="60" w:line="264"/>
      </w:pPr>
      <w:r>
        <w:rPr>
          <w:rFonts w:ascii="Verdana" w:cs="Verdana" w:eastAsia="Verdana" w:hAnsi="Verdana"/>
        </w:rPr>
        <w:t xml:space="preserve">She owns a flat in Mysuru let out at Rs. 25,000 a month. Municipal tax paid Rs. 15,000. Home loan interest Rs. 3,50,000.</w:t>
      </w:r>
    </w:p>
    <w:p>
      <w:pPr>
        <w:pStyle w:val="ListParagraph"/>
        <w:numPr>
          <w:ilvl w:val="0"/>
          <w:numId w:val="2"/>
        </w:numPr>
        <w:spacing w:after="60" w:line="264"/>
      </w:pPr>
      <w:r>
        <w:rPr>
          <w:rFonts w:ascii="Verdana" w:cs="Verdana" w:eastAsia="Verdana" w:hAnsi="Verdana"/>
        </w:rPr>
        <w:t xml:space="preserve">Savings bank interest Rs. 18,000; FD interest Rs. 1,20,000; dividends Rs. 40,000.</w:t>
      </w:r>
    </w:p>
    <w:p>
      <w:pPr>
        <w:pStyle w:val="ListParagraph"/>
        <w:numPr>
          <w:ilvl w:val="0"/>
          <w:numId w:val="2"/>
        </w:numPr>
        <w:spacing w:after="60" w:line="264"/>
      </w:pPr>
      <w:r>
        <w:rPr>
          <w:rFonts w:ascii="Verdana" w:cs="Verdana" w:eastAsia="Verdana" w:hAnsi="Verdana"/>
        </w:rPr>
        <w:t xml:space="preserve">LTCG on listed shares Rs. 2,50,000; STCG on equity funds Rs. 60,000.</w:t>
      </w:r>
    </w:p>
    <w:p>
      <w:pPr>
        <w:pStyle w:val="ListParagraph"/>
        <w:numPr>
          <w:ilvl w:val="0"/>
          <w:numId w:val="2"/>
        </w:numPr>
        <w:spacing w:after="60" w:line="264"/>
      </w:pPr>
      <w:r>
        <w:rPr>
          <w:rFonts w:ascii="Verdana" w:cs="Verdana" w:eastAsia="Verdana" w:hAnsi="Verdana"/>
        </w:rPr>
        <w:t xml:space="preserve">Old regime deductions available: section 123 Rs. 1,50,000; section 126 Rs. 75,000 (self Rs. 25,000, senior parents Rs. 50,000); section 124 own NPS Rs. 50,000.</w:t>
      </w:r>
    </w:p>
    <w:p>
      <w:pPr>
        <w:pStyle w:val="Heading2"/>
        <w:keepNext/>
        <w:spacing w:after="120" w:before="240"/>
      </w:pPr>
      <w:r>
        <w:rPr>
          <w:rFonts w:ascii="Verdana" w:cs="Verdana" w:eastAsia="Verdana" w:hAnsi="Verdana"/>
        </w:rPr>
        <w:t xml:space="preserve">48.1 Step 1: salary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HRA exempt (old regime): least of 4,80,000; 50% of 12,00,000 = 6,00,000 (Bengaluru now 50%); 4,80,000 less 1,20,000 = 3,60,000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400"/>
        <w:gridCol w:w="24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Particulars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regime (Rs.)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regime (Rs.)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Basic, HRA, special allowance, employer NPS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24,00,000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24,00,000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HRA exemption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standard deduction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(75,000)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professional tax</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(2,400)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Income from salary</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19,87,600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23,25,000</w:t>
            </w:r>
          </w:p>
        </w:tc>
      </w:tr>
    </w:tbl>
    <w:p>
      <w:pPr>
        <w:spacing w:after="60"/>
      </w:pPr>
    </w:p>
    <w:p>
      <w:pPr>
        <w:pStyle w:val="Heading2"/>
        <w:keepNext/>
        <w:spacing w:after="120" w:before="240"/>
      </w:pPr>
      <w:r>
        <w:rPr>
          <w:rFonts w:ascii="Verdana" w:cs="Verdana" w:eastAsia="Verdana" w:hAnsi="Verdana"/>
        </w:rPr>
        <w:t xml:space="preserve">48.2 Step 2: house property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(25,000 x 12)</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municipal tax</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annual value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2,85,000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30% standard deduction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(85,500)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interest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(3,50,000)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Loss from house property</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(1,50,500)</w:t>
            </w:r>
          </w:p>
        </w:tc>
      </w:tr>
    </w:tbl>
    <w:p>
      <w:pPr>
        <w:spacing w:after="60"/>
      </w:pPr>
    </w:p>
    <w:p>
      <w:pPr>
        <w:spacing w:after="120" w:line="276"/>
        <w:jc w:val="both"/>
      </w:pPr>
      <w:r>
        <w:rPr>
          <w:rFonts w:ascii="Verdana" w:cs="Verdana" w:eastAsia="Verdana" w:hAnsi="Verdana"/>
        </w:rPr>
        <w:t xml:space="preserve">In the old regime the loss is set off against salary (within Rs. 2 lakh). In the new regime it cannot be set off against any other head, and it is ignored.</w:t>
      </w:r>
    </w:p>
    <w:p>
      <w:pPr>
        <w:pStyle w:val="Heading2"/>
        <w:keepNext/>
        <w:spacing w:after="120" w:before="240"/>
      </w:pPr>
      <w:r>
        <w:rPr>
          <w:rFonts w:ascii="Verdana" w:cs="Verdana" w:eastAsia="Verdana" w:hAnsi="Verdana"/>
        </w:rPr>
        <w:t xml:space="preserve">48.3 Step 3: total income and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400"/>
        <w:gridCol w:w="24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Particulars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regime (Rs.)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regime (Rs.)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19,87,600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23,25,000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(1,50,500)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sources (18,000 + 1,20,000 + 40,000)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1,78,000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1,78,000</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Gross total income (excluding special rate gains)</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20,15,100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25,03,000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123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124 employer NPS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124 own NPS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126</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(75,000)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153 (savings interest, up to 10,000)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income at normal rates</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16,10,100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23,83,000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at normal rates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2,95,530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2,95,750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(2,50,000 less 1,25,000) x 12.5%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15,625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15,625</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60,000 x 20%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before cess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3,23,155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3,23,375</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 at 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12,926</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12,935</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3,36,081</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3,36,310</w:t>
            </w:r>
          </w:p>
        </w:tc>
      </w:tr>
    </w:tbl>
    <w:p>
      <w:pPr>
        <w:spacing w:after="60"/>
      </w:pPr>
    </w:p>
    <w:p>
      <w:pPr>
        <w:spacing w:after="120" w:line="276"/>
        <w:jc w:val="both"/>
      </w:pPr>
      <w:r>
        <w:rPr>
          <w:rFonts w:ascii="Verdana" w:cs="Verdana" w:eastAsia="Verdana" w:hAnsi="Verdana"/>
          <w:b/>
          <w:bCs/>
        </w:rPr>
        <w:t xml:space="preserve">Conclusion.</w:t>
      </w:r>
      <w:r>
        <w:rPr>
          <w:rFonts w:ascii="Verdana" w:cs="Verdana" w:eastAsia="Verdana" w:hAnsi="Verdana"/>
        </w:rPr>
        <w:t xml:space="preserve"> The two regimes give almost the same tax; the old regime is lower by only Rs. 229. The addition of Bengaluru to the 50% HRA list under the Rules, 2026, the house property loss and the full use of deductions have brought the old regime level with the new. If Anita's rent or deductions were slightly lower, the new regime would win. This is a typical case where the computation must be run every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Anita has no business income, so she can choose the regime afresh each year in her return. She should also tell her employer her choice at the start of the year so that TDS is deducted correctly.</w:t>
            </w:r>
          </w:p>
        </w:tc>
      </w:tr>
    </w:tbl>
    <w:p>
      <w:pPr>
        <w:pStyle w:val="Heading1"/>
        <w:pageBreakBefore/>
        <w:spacing w:after="200" w:before="0"/>
      </w:pPr>
      <w:r>
        <w:rPr>
          <w:rFonts w:ascii="Verdana" w:cs="Verdana" w:eastAsia="Verdana" w:hAnsi="Verdana"/>
        </w:rPr>
        <w:t xml:space="preserve">49. Case Study 2: Professional with Books of Account</w:t>
      </w:r>
    </w:p>
    <w:p>
      <w:pPr>
        <w:spacing w:after="120" w:line="276"/>
        <w:jc w:val="both"/>
      </w:pPr>
      <w:r>
        <w:rPr>
          <w:rFonts w:ascii="Verdana" w:cs="Verdana" w:eastAsia="Verdana" w:hAnsi="Verdana"/>
          <w:b/>
          <w:bCs/>
        </w:rPr>
        <w:t xml:space="preserve">Facts.</w:t>
      </w:r>
      <w:r>
        <w:rPr>
          <w:rFonts w:ascii="Verdana" w:cs="Verdana" w:eastAsia="Verdana" w:hAnsi="Verdana"/>
        </w:rPr>
        <w:t xml:space="preserve"> Dr. Mehul, a surgeon, has gross receipts of Rs. 1.2 crore in Tax Year 2026-27, above the Rs. 75 lakh limit of the presumptive scheme. Rs. 30 lakh comes from hospitals, which deducted TDS of Rs. 3 lakh. He is in the new regime and maintains 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000"/>
        <w:gridCol w:w="28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Expense</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c>
          <w:tcPr>
            <w:tcW w:type="dxa" w:w="2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Treatment</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Clinic rent (TDS deducted and paid)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Staff salaries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Medical consumables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 equipment WDV Rs. 40 lakh at 15%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 computers Rs. 2 lakh at 40%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Conferences and journals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Car expenses Rs. 3 lakh, 70% business use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70%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equipment loan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Personal LIC premium debited to accounts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 business expense; ignored</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allowable expenses</w:t>
            </w:r>
          </w:p>
        </w:tc>
        <w:tc>
          <w:tcPr>
            <w:tcW w:type="dxa" w:w="2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57,40,000</w:t>
            </w:r>
          </w:p>
        </w:tc>
        <w:tc>
          <w:tcPr>
            <w:tcW w:type="dxa" w:w="28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receipts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allowable expenses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(57,40,000)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Income from profession</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62,60,000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FD interest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income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65,60,000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3,00,000 on first 24 lakh plus 30% of 41,60,000 (12,48,000)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15,48,000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Surcharge 10% (income above Rs. 50 lakh)</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1,54,800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68,112</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17,70,912</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TDS by hospitals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 payable through advance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14,70,912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Instalment</w:t>
            </w:r>
          </w:p>
        </w:tc>
        <w:tc>
          <w:tcPr>
            <w:tcW w:type="dxa" w:w="4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Cumulative amount (Rs.)</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June 2026 (15%)</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2,20,637</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September 2026 (45%)</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6,61,910</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December 2026 (75%)</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11,03,184</w:t>
            </w:r>
          </w:p>
        </w:tc>
      </w:tr>
      <w:tr>
        <w:trPr>
          <w:cantSplit/>
        </w:trP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March 2027 (100%)</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14,70,912</w:t>
            </w:r>
          </w:p>
        </w:tc>
      </w:tr>
    </w:tbl>
    <w:p>
      <w:pPr>
        <w:spacing w:after="60"/>
      </w:pPr>
    </w:p>
    <w:p>
      <w:pPr>
        <w:spacing w:after="120" w:line="276"/>
        <w:jc w:val="both"/>
      </w:pPr>
      <w:r>
        <w:rPr>
          <w:rFonts w:ascii="Verdana" w:cs="Verdana" w:eastAsia="Verdana" w:hAnsi="Verdana"/>
          <w:b/>
          <w:bCs/>
        </w:rPr>
        <w:t xml:space="preserve">Compliance.</w:t>
      </w:r>
      <w:r>
        <w:rPr>
          <w:rFonts w:ascii="Verdana" w:cs="Verdana" w:eastAsia="Verdana" w:hAnsi="Verdana"/>
        </w:rPr>
        <w:t xml:space="preserve"> Gross receipts exceed Rs. 50 lakh, so tax audit is required (Form 26 by 30 September 2027), and the return (ITR-3) is due by 31 October 2027. He must deduct TDS on clinic rent (10%, rent above Rs. 50,000 a month), and since his receipts exceed the audit threshold, he will have to deduct TDS under section 393 on payments to contractors and professionals above the thresholds (the obligation for individuals depends on receipts of the preceding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At about Rs. 66 lakh of income, surcharge of 10% applies. If income were just above Rs. 50 lakh, marginal relief would reduce the surcharge. Timing of large expenses (equipment purchases before 180 days of use, for full depreciation) can make a difference.</w:t>
            </w:r>
          </w:p>
        </w:tc>
      </w:tr>
    </w:tbl>
    <w:p>
      <w:pPr>
        <w:pStyle w:val="Heading1"/>
        <w:pageBreakBefore/>
        <w:spacing w:after="200" w:before="0"/>
      </w:pPr>
      <w:r>
        <w:rPr>
          <w:rFonts w:ascii="Verdana" w:cs="Verdana" w:eastAsia="Verdana" w:hAnsi="Verdana"/>
        </w:rPr>
        <w:t xml:space="preserve">50. Case Study 3: Partnership Firm and its Partners</w:t>
      </w:r>
    </w:p>
    <w:p>
      <w:pPr>
        <w:spacing w:after="120" w:line="276"/>
        <w:jc w:val="both"/>
      </w:pPr>
      <w:r>
        <w:rPr>
          <w:rFonts w:ascii="Verdana" w:cs="Verdana" w:eastAsia="Verdana" w:hAnsi="Verdana"/>
          <w:b/>
          <w:bCs/>
        </w:rPr>
        <w:t xml:space="preserve">Facts.</w:t>
      </w:r>
      <w:r>
        <w:rPr>
          <w:rFonts w:ascii="Verdana" w:cs="Verdana" w:eastAsia="Verdana" w:hAnsi="Verdana"/>
        </w:rPr>
        <w:t xml:space="preserve"> Patel Brothers, a trading firm with two working partners A and B, reports net profit of Rs. 10,00,000 for Tax Year 2026-27 after debiting: remuneration to A and B of Rs. 6,00,000 each (Rs. 12,00,000), and interest on capital at 15% (A: capital Rs. 20 lakh, interest Rs. 3,00,000; B: capital Rs. 10 lakh, interest Rs. 1,50,000). A cash payment of Rs. 25,000 to one supplier in a day is included in expenses. The deed authorises remuneration and interest.</w:t>
      </w:r>
    </w:p>
    <w:p>
      <w:pPr>
        <w:pStyle w:val="Heading2"/>
        <w:keepNext/>
        <w:spacing w:after="120" w:before="240"/>
      </w:pPr>
      <w:r>
        <w:rPr>
          <w:rFonts w:ascii="Verdana" w:cs="Verdana" w:eastAsia="Verdana" w:hAnsi="Verdana"/>
        </w:rPr>
        <w:t xml:space="preserve">50.1 Step 1: book profit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profit as per accounts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interest in excess of 12% (3% of Rs. 30 lakh)</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cash payment disallowed (section 36)</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remuneration to partners (to compute book profit)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Book profit</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23,15,000</w:t>
            </w:r>
          </w:p>
        </w:tc>
      </w:tr>
    </w:tbl>
    <w:p>
      <w:pPr>
        <w:spacing w:after="60"/>
      </w:pPr>
    </w:p>
    <w:p>
      <w:pPr>
        <w:pStyle w:val="Heading2"/>
        <w:keepNext/>
        <w:spacing w:after="120" w:before="240"/>
      </w:pPr>
      <w:r>
        <w:rPr>
          <w:rFonts w:ascii="Verdana" w:cs="Verdana" w:eastAsia="Verdana" w:hAnsi="Verdana"/>
        </w:rPr>
        <w:t xml:space="preserve">50.2 Step 2: allowable remuneration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First Rs. 6,00,000: higher of Rs. 3,00,000 and 90% (Rs. 5,40,000)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5,40,000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Balance Rs. 17,15,000 at 60%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10,29,000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Maximum allowable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15,69,000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remuneration (fully allowed, being within limit)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r>
    </w:tbl>
    <w:p>
      <w:pPr>
        <w:spacing w:after="60"/>
      </w:pPr>
    </w:p>
    <w:p>
      <w:pPr>
        <w:pStyle w:val="Heading2"/>
        <w:keepNext/>
        <w:spacing w:after="120" w:before="240"/>
      </w:pPr>
      <w:r>
        <w:rPr>
          <w:rFonts w:ascii="Verdana" w:cs="Verdana" w:eastAsia="Verdana" w:hAnsi="Verdana"/>
        </w:rPr>
        <w:t xml:space="preserve">50.3 Step 3: firm's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 profit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23,15,000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remuneration allowed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Taxable income of the firm</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11,15,000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at 30%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3,34,500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 at 4% (no surcharge, income below Rs. 1 crore)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13,380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3,47,880</w:t>
            </w:r>
          </w:p>
        </w:tc>
      </w:tr>
    </w:tbl>
    <w:p>
      <w:pPr>
        <w:spacing w:after="60"/>
      </w:pPr>
    </w:p>
    <w:p>
      <w:pPr>
        <w:pStyle w:val="Heading2"/>
        <w:keepNext/>
        <w:spacing w:after="120" w:before="240"/>
      </w:pPr>
      <w:r>
        <w:rPr>
          <w:rFonts w:ascii="Verdana" w:cs="Verdana" w:eastAsia="Verdana" w:hAnsi="Verdana"/>
        </w:rPr>
        <w:t xml:space="preserve">50.4 Step 4: partners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000"/>
        <w:gridCol w:w="2038"/>
      </w:tblGrid>
      <w:tr>
        <w:trPr>
          <w:cantSplit/>
          <w:tblHeader/>
        </w:trPr>
        <w:tc>
          <w:tcPr>
            <w:tcW w:type="dxa" w:w="1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Partner</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Remuneration</w:t>
            </w:r>
          </w:p>
        </w:tc>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Interest allowed (12%)</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Business income</w:t>
            </w:r>
          </w:p>
        </w:tc>
        <w:tc>
          <w:tcPr>
            <w:tcW w:type="dxa" w:w="2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TDS by firm (10%)</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2,40,000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8,40,000</w:t>
            </w:r>
          </w:p>
        </w:tc>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84,000</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7,20,000</w:t>
            </w:r>
          </w:p>
        </w:tc>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72,000</w:t>
            </w:r>
          </w:p>
        </w:tc>
      </w:tr>
    </w:tbl>
    <w:p>
      <w:pPr>
        <w:spacing w:after="60"/>
      </w:pPr>
    </w:p>
    <w:p>
      <w:pPr>
        <w:spacing w:after="120" w:line="276"/>
        <w:jc w:val="both"/>
      </w:pPr>
      <w:r>
        <w:rPr>
          <w:rFonts w:ascii="Verdana" w:cs="Verdana" w:eastAsia="Verdana" w:hAnsi="Verdana"/>
        </w:rPr>
        <w:t xml:space="preserve">Share of profit from the firm is exempt in the partners' hands. The excess interest of Rs. 90,000 (3%) that was disallowed to the firm is also not taxed in the partners' hands, because partners are taxed only to the extent allowed to the firm. Each partner files ITR-3.</w:t>
      </w:r>
    </w:p>
    <w:p>
      <w:pPr>
        <w:pStyle w:val="Heading1"/>
        <w:pageBreakBefore/>
        <w:spacing w:after="200" w:before="0"/>
      </w:pPr>
      <w:r>
        <w:rPr>
          <w:rFonts w:ascii="Verdana" w:cs="Verdana" w:eastAsia="Verdana" w:hAnsi="Verdana"/>
        </w:rPr>
        <w:t xml:space="preserve">51. Case Study 4: Senior Citizen Selling a House</w:t>
      </w:r>
    </w:p>
    <w:p>
      <w:pPr>
        <w:spacing w:after="120" w:line="276"/>
        <w:jc w:val="both"/>
      </w:pPr>
      <w:r>
        <w:rPr>
          <w:rFonts w:ascii="Verdana" w:cs="Verdana" w:eastAsia="Verdana" w:hAnsi="Verdana"/>
          <w:b/>
          <w:bCs/>
        </w:rPr>
        <w:t xml:space="preserve">Facts.</w:t>
      </w:r>
      <w:r>
        <w:rPr>
          <w:rFonts w:ascii="Verdana" w:cs="Verdana" w:eastAsia="Verdana" w:hAnsi="Verdana"/>
        </w:rPr>
        <w:t xml:space="preserve"> Mr. Joshi, 72, a resident, receives pension of Rs. 6,00,000, FD interest of Rs. 4,00,000 and Senior Citizens Savings Scheme interest of Rs. 2,40,000. On 20 August 2026 he sells a flat bought in 2005-06 for Rs. 25 lakh (CII 117) for Rs. 1.5 crore; stamp value Rs. 1.45 crore; brokerage Rs. 1,50,000. He buys a new flat for Rs. 60 lakh in December 2026. He is considering investing Rs. 50 lakh in section 85 bonds. He pays health insurance of Rs. 50,000.</w:t>
      </w:r>
    </w:p>
    <w:p>
      <w:pPr>
        <w:pStyle w:val="Heading2"/>
        <w:keepNext/>
        <w:spacing w:after="120" w:before="240"/>
      </w:pPr>
      <w:r>
        <w:rPr>
          <w:rFonts w:ascii="Verdana" w:cs="Verdana" w:eastAsia="Verdana" w:hAnsi="Verdana"/>
        </w:rPr>
        <w:t xml:space="preserve">51.1 Step 1: capital gain under both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400"/>
        <w:gridCol w:w="24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Particulars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Without indexation (Rs.)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With indexation (Rs.)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consideration (stamp value is within 110%)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brokerage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cost (indexed: 25 lakh x 390 / 117, assuming CII 390)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(83,33,333)</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Long-term capital gain</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1,23,50,000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65,16,667</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82 (new flat)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(60,00,000)</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Balance</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63,50,000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5,16,667</w:t>
            </w:r>
          </w:p>
        </w:tc>
      </w:tr>
    </w:tbl>
    <w:p>
      <w:pPr>
        <w:spacing w:after="60"/>
      </w:pPr>
    </w:p>
    <w:p>
      <w:pPr>
        <w:spacing w:after="120" w:line="276"/>
        <w:jc w:val="both"/>
      </w:pPr>
      <w:r>
        <w:rPr>
          <w:rFonts w:ascii="Verdana" w:cs="Verdana" w:eastAsia="Verdana" w:hAnsi="Verdana"/>
          <w:b/>
          <w:bCs/>
        </w:rPr>
        <w:t xml:space="preserve">Insight.</w:t>
      </w:r>
      <w:r>
        <w:rPr>
          <w:rFonts w:ascii="Verdana" w:cs="Verdana" w:eastAsia="Verdana" w:hAnsi="Verdana"/>
        </w:rPr>
        <w:t xml:space="preserve"> Under the indexation option, Mr. Joshi needs to invest only about </w:t>
      </w:r>
      <w:r>
        <w:rPr>
          <w:rFonts w:ascii="Verdana" w:cs="Verdana" w:eastAsia="Verdana" w:hAnsi="Verdana"/>
          <w:b/>
          <w:bCs/>
        </w:rPr>
        <w:t xml:space="preserve">Rs. 5.17 lakh</w:t>
      </w:r>
      <w:r>
        <w:rPr>
          <w:rFonts w:ascii="Verdana" w:cs="Verdana" w:eastAsia="Verdana" w:hAnsi="Verdana"/>
        </w:rPr>
        <w:t xml:space="preserve"> in section 85 bonds to make the gain fully exempt, instead of Rs. 50 lakh. Without indexation, even after Rs. 50 lakh in bonds, Rs. 13.5 lakh would remain taxable at 12.5% (Rs. 1,68,750). This shows why the computation must be done </w:t>
      </w:r>
      <w:r>
        <w:rPr>
          <w:rFonts w:ascii="Verdana" w:cs="Verdana" w:eastAsia="Verdana" w:hAnsi="Verdana"/>
          <w:b/>
          <w:bCs/>
        </w:rPr>
        <w:t xml:space="preserve">before</w:t>
      </w:r>
      <w:r>
        <w:rPr>
          <w:rFonts w:ascii="Verdana" w:cs="Verdana" w:eastAsia="Verdana" w:hAnsi="Verdana"/>
        </w:rPr>
        <w:t xml:space="preserve"> making reinvestments: the bonds carry a 5-year lock-in and taxable interest.</w:t>
      </w:r>
    </w:p>
    <w:p>
      <w:pPr>
        <w:pStyle w:val="Heading2"/>
        <w:keepNext/>
        <w:spacing w:after="120" w:before="240"/>
      </w:pPr>
      <w:r>
        <w:rPr>
          <w:rFonts w:ascii="Verdana" w:cs="Verdana" w:eastAsia="Verdana" w:hAnsi="Verdana"/>
        </w:rPr>
        <w:t xml:space="preserve">51.2 Step 2: other income and regime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400"/>
        <w:gridCol w:w="2400"/>
      </w:tblGrid>
      <w:tr>
        <w:trPr>
          <w:cantSplit/>
          <w:tblHeader/>
        </w:trPr>
        <w:tc>
          <w:tcPr>
            <w:tcW w:type="dxa" w:w="4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Particulars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regime (Rs.)</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regime (Rs.)</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Pension less standard deduction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5,25,000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(4,00,000 + 2,40,000)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6,40,000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6,40,000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153 (senior citizen interest)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126</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allowed</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income (normal)</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10,90,000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11,65,000</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(senior slabs in old regime)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1,37,000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56,500 before rebate</w:t>
            </w:r>
          </w:p>
        </w:tc>
      </w:tr>
      <w:tr>
        <w:trPr>
          <w:cantSplit/>
        </w:trPr>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Rebate under section 156</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Not available (income above Rs. 5 lakh)</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(56,500)</w:t>
            </w:r>
          </w:p>
        </w:tc>
      </w:tr>
      <w:tr>
        <w:trPr>
          <w:cantSplit/>
        </w:trPr>
        <w:tc>
          <w:tcPr>
            <w:tcW w:type="dxa" w:w="48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 plus cess</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1,42,480</w:t>
            </w:r>
          </w:p>
        </w:tc>
        <w:tc>
          <w:tcPr>
            <w:tcW w:type="dxa" w:w="24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Nil</w:t>
            </w:r>
          </w:p>
        </w:tc>
      </w:tr>
    </w:tbl>
    <w:p>
      <w:pPr>
        <w:spacing w:after="60"/>
      </w:pPr>
    </w:p>
    <w:p>
      <w:pPr>
        <w:spacing w:after="120" w:line="276"/>
        <w:jc w:val="both"/>
      </w:pPr>
      <w:r>
        <w:rPr>
          <w:rFonts w:ascii="Verdana" w:cs="Verdana" w:eastAsia="Verdana" w:hAnsi="Verdana"/>
        </w:rPr>
        <w:t xml:space="preserve">With the new regime and the indexation option on the capital gain (fully covered by reinvestment), Mr. Joshi's total tax is </w:t>
      </w:r>
      <w:r>
        <w:rPr>
          <w:rFonts w:ascii="Verdana" w:cs="Verdana" w:eastAsia="Verdana" w:hAnsi="Verdana"/>
          <w:b/>
          <w:bCs/>
        </w:rPr>
        <w:t xml:space="preserve">nil</w:t>
      </w:r>
      <w:r>
        <w:rPr>
          <w:rFonts w:ascii="Verdana" w:cs="Verdana" w:eastAsia="Verdana" w:hAnsi="Verdana"/>
        </w:rPr>
        <w:t xml:space="preserve">. Because his tax is nil, he should give Form 121 (old 15H) to his bank at the start of the year to avoid TDS of about Rs. 64,000 on his interest, and file his return to report the capital gain and exemptions.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Section 82 requires the new house to be in India and held for 3 years. The bonds under section 85 must be bought within 6 months of the sale (by 19 February 2027). Any amount not invested by the return due date must be deposited in the Capital Gains Accounts Scheme.</w:t>
            </w:r>
          </w:p>
        </w:tc>
      </w:tr>
    </w:tbl>
    <w:p>
      <w:pPr>
        <w:pStyle w:val="Heading1"/>
        <w:pageBreakBefore/>
        <w:spacing w:after="200" w:before="0"/>
      </w:pPr>
      <w:r>
        <w:rPr>
          <w:rFonts w:ascii="Verdana" w:cs="Verdana" w:eastAsia="Verdana" w:hAnsi="Verdana"/>
        </w:rPr>
        <w:t xml:space="preserve">52. Case Study 5: F&amp;O Trader with Salary</w:t>
      </w:r>
    </w:p>
    <w:p>
      <w:pPr>
        <w:spacing w:after="120" w:line="276"/>
        <w:jc w:val="both"/>
      </w:pPr>
      <w:r>
        <w:rPr>
          <w:rFonts w:ascii="Verdana" w:cs="Verdana" w:eastAsia="Verdana" w:hAnsi="Verdana"/>
          <w:b/>
          <w:bCs/>
        </w:rPr>
        <w:t xml:space="preserve">Facts.</w:t>
      </w:r>
      <w:r>
        <w:rPr>
          <w:rFonts w:ascii="Verdana" w:cs="Verdana" w:eastAsia="Verdana" w:hAnsi="Verdana"/>
        </w:rPr>
        <w:t xml:space="preserve"> Rohit, a salaried employee (salary Rs. 15,00,000, new regime), also trades. In Tax Year 2026-27 he has: loss from futures and options Rs. 6,00,000 (turnover Rs. 1.4 crore); intraday equity profit Rs. 50,000; short-term gain on delivery shares Rs. 1,00,000.</w:t>
      </w:r>
    </w:p>
    <w:p>
      <w:pPr>
        <w:pStyle w:val="Heading2"/>
        <w:keepNext/>
        <w:spacing w:after="120" w:before="240"/>
      </w:pPr>
      <w:r>
        <w:rPr>
          <w:rFonts w:ascii="Verdana" w:cs="Verdana" w:eastAsia="Verdana" w:hAnsi="Verdana"/>
        </w:rPr>
        <w:t xml:space="preserve">52.1 Step 1: classify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3400"/>
        <w:gridCol w:w="30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Activity</w:t>
            </w:r>
          </w:p>
        </w:tc>
        <w:tc>
          <w:tcPr>
            <w:tcW w:type="dxa" w:w="3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Nature</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Result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F&amp;O on a recognised exchange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Non-speculative business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 Rs. 6,00,000</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Intraday equity</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Speculative business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 Rs. 50,000</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Delivery shares held a few months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(STCG under section 196)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Gain Rs. 1,00,000</w:t>
            </w:r>
          </w:p>
        </w:tc>
      </w:tr>
    </w:tbl>
    <w:p>
      <w:pPr>
        <w:spacing w:after="60"/>
      </w:pPr>
    </w:p>
    <w:p>
      <w:pPr>
        <w:pStyle w:val="Heading2"/>
        <w:keepNext/>
        <w:spacing w:after="120" w:before="240"/>
      </w:pPr>
      <w:r>
        <w:rPr>
          <w:rFonts w:ascii="Verdana" w:cs="Verdana" w:eastAsia="Verdana" w:hAnsi="Verdana"/>
        </w:rPr>
        <w:t xml:space="preserve">52.2 Step 2: set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F&amp;O loss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off against speculative profit (a non-speculative loss can absorb speculative income)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off against STCG (other head; not against salary)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Business loss to carry forward (8 years)</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(4,50,000)</w:t>
            </w:r>
          </w:p>
        </w:tc>
      </w:tr>
    </w:tbl>
    <w:p>
      <w:pPr>
        <w:spacing w:after="60"/>
      </w:pPr>
    </w:p>
    <w:p>
      <w:pPr>
        <w:pStyle w:val="Heading2"/>
        <w:keepNext/>
        <w:spacing w:after="120" w:before="240"/>
      </w:pPr>
      <w:r>
        <w:rPr>
          <w:rFonts w:ascii="Verdana" w:cs="Verdana" w:eastAsia="Verdana" w:hAnsi="Verdana"/>
        </w:rPr>
        <w:t xml:space="preserve">52.3 Step 3: tax on salary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less standard deduction (15,00,000 less 75,000)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14,25,000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20,000 + 40,000 + 15% of 2,25,000 (33,750)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93,750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3,750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 payable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97,500</w:t>
            </w:r>
          </w:p>
        </w:tc>
      </w:tr>
    </w:tbl>
    <w:p>
      <w:pPr>
        <w:spacing w:after="60"/>
      </w:pPr>
    </w:p>
    <w:p>
      <w:pPr>
        <w:spacing w:after="120" w:line="276"/>
        <w:jc w:val="both"/>
      </w:pPr>
      <w:r>
        <w:rPr>
          <w:rFonts w:ascii="Verdana" w:cs="Verdana" w:eastAsia="Verdana" w:hAnsi="Verdana"/>
          <w:b/>
          <w:bCs/>
        </w:rPr>
        <w:t xml:space="preserve">Compliance.</w:t>
      </w:r>
      <w:r>
        <w:rPr>
          <w:rFonts w:ascii="Verdana" w:cs="Verdana" w:eastAsia="Verdana" w:hAnsi="Verdana"/>
        </w:rPr>
        <w:t xml:space="preserve"> Rohit must file ITR-3 (business income) by 31 August 2027 (non-audit business case) to carry forward the loss. Tax audit is not required since his turnover of Rs. 1.4 crore is within Rs. 10 crore and his transactions are digital, and he is not opting for the presumptive scheme. The loss of Rs. 4,50,000 can be set off only against business income (including future F&amp;O profits) for 8 years.</w:t>
      </w:r>
    </w:p>
    <w:p>
      <w:pPr>
        <w:pStyle w:val="Heading1"/>
        <w:pageBreakBefore/>
        <w:spacing w:after="200" w:before="0"/>
      </w:pPr>
      <w:r>
        <w:rPr>
          <w:rFonts w:ascii="Verdana" w:cs="Verdana" w:eastAsia="Verdana" w:hAnsi="Verdana"/>
        </w:rPr>
        <w:t xml:space="preserve">53. Case Study 6: Start-up Company, Section 140 and MAT</w:t>
      </w:r>
    </w:p>
    <w:p>
      <w:pPr>
        <w:spacing w:after="120" w:line="276"/>
        <w:jc w:val="both"/>
      </w:pPr>
      <w:r>
        <w:rPr>
          <w:rFonts w:ascii="Verdana" w:cs="Verdana" w:eastAsia="Verdana" w:hAnsi="Verdana"/>
          <w:b/>
          <w:bCs/>
        </w:rPr>
        <w:t xml:space="preserve">Facts.</w:t>
      </w:r>
      <w:r>
        <w:rPr>
          <w:rFonts w:ascii="Verdana" w:cs="Verdana" w:eastAsia="Verdana" w:hAnsi="Verdana"/>
        </w:rPr>
        <w:t xml:space="preserve"> InnoAI Pvt. Ltd., a DPIIT recognised start-up incorporated in 2021 with an Inter Ministerial Board certificate, earns book profit and business income of Rs. 3 crore in Tax Year 2026-27. It has brought forward business loss (tax) of Rs. 1.2 crore. In the books, the brought forward loss is Rs. 1.2 crore and unabsorbed depreciation is nil. During the year, a new investor acquired 55% of the shares by fresh issue; all original shareholders continue to hold their shares. It is in the normal regime and wants to claim section 140 for three years starting this year.</w:t>
      </w:r>
    </w:p>
    <w:p>
      <w:pPr>
        <w:pStyle w:val="Heading2"/>
        <w:keepNext/>
        <w:spacing w:after="120" w:before="240"/>
      </w:pPr>
      <w:r>
        <w:rPr>
          <w:rFonts w:ascii="Verdana" w:cs="Verdana" w:eastAsia="Verdana" w:hAnsi="Verdana"/>
        </w:rPr>
        <w:t xml:space="preserve">53.1 Step 1: loss set off and section 119</w:t>
      </w:r>
    </w:p>
    <w:p>
      <w:pPr>
        <w:spacing w:after="120" w:line="276"/>
        <w:jc w:val="both"/>
      </w:pPr>
      <w:r>
        <w:rPr>
          <w:rFonts w:ascii="Verdana" w:cs="Verdana" w:eastAsia="Verdana" w:hAnsi="Verdana"/>
        </w:rPr>
        <w:t xml:space="preserve">More than 49% of voting power has changed hands, so the normal 51% test fails. But the company is an eligible start-up and all shareholders of the loss year continue to hold their shares, so the relaxation applies. The Rs. 1.2 crore loss can be set off.</w:t>
      </w:r>
    </w:p>
    <w:p>
      <w:pPr>
        <w:pStyle w:val="Heading2"/>
        <w:keepNext/>
        <w:spacing w:after="120" w:before="240"/>
      </w:pPr>
      <w:r>
        <w:rPr>
          <w:rFonts w:ascii="Verdana" w:cs="Verdana" w:eastAsia="Verdana" w:hAnsi="Verdana"/>
        </w:rPr>
        <w:t xml:space="preserve">53.2 Step 2: normal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brought forward loss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Gross total income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section 140 (100% of eligible profits)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income under normal provisions</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Nil</w:t>
            </w:r>
          </w:p>
        </w:tc>
      </w:tr>
    </w:tbl>
    <w:p>
      <w:pPr>
        <w:spacing w:after="60"/>
      </w:pPr>
    </w:p>
    <w:p>
      <w:pPr>
        <w:pStyle w:val="Heading2"/>
        <w:keepNext/>
        <w:spacing w:after="120" w:before="240"/>
      </w:pPr>
      <w:r>
        <w:rPr>
          <w:rFonts w:ascii="Verdana" w:cs="Verdana" w:eastAsia="Verdana" w:hAnsi="Verdana"/>
        </w:rPr>
        <w:t xml:space="preserve">53.3 Step 3: 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 profit before adjustment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lower of brought forward loss (1.2 crore) and unabsorbed depreciation (nil) as per books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Book profit</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at 14%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42,00,000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Surcharge 7% and cess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4,73,760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MAT payable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46,73,760</w:t>
            </w:r>
          </w:p>
        </w:tc>
      </w:tr>
    </w:tbl>
    <w:p>
      <w:pPr>
        <w:spacing w:after="60"/>
      </w:pPr>
    </w:p>
    <w:p>
      <w:pPr>
        <w:spacing w:after="120" w:line="276"/>
        <w:jc w:val="both"/>
      </w:pPr>
      <w:r>
        <w:rPr>
          <w:rFonts w:ascii="Verdana" w:cs="Verdana" w:eastAsia="Verdana" w:hAnsi="Verdana"/>
          <w:b/>
          <w:bCs/>
        </w:rPr>
        <w:t xml:space="preserve">The trap.</w:t>
      </w:r>
      <w:r>
        <w:rPr>
          <w:rFonts w:ascii="Verdana" w:cs="Verdana" w:eastAsia="Verdana" w:hAnsi="Verdana"/>
        </w:rPr>
        <w:t xml:space="preserve"> Because the MAT adjustment allows only the </w:t>
      </w:r>
      <w:r>
        <w:rPr>
          <w:rFonts w:ascii="Verdana" w:cs="Verdana" w:eastAsia="Verdana" w:hAnsi="Verdana"/>
          <w:b/>
          <w:bCs/>
        </w:rPr>
        <w:t xml:space="preserve">lower</w:t>
      </w:r>
      <w:r>
        <w:rPr>
          <w:rFonts w:ascii="Verdana" w:cs="Verdana" w:eastAsia="Verdana" w:hAnsi="Verdana"/>
        </w:rPr>
        <w:t xml:space="preserve"> of brought forward loss and unabsorbed depreciation as per books, and unabsorbed depreciation is nil, no reduction is available. MAT of </w:t>
      </w:r>
      <w:r>
        <w:rPr>
          <w:rFonts w:ascii="Verdana" w:cs="Verdana" w:eastAsia="Verdana" w:hAnsi="Verdana"/>
          <w:b/>
          <w:bCs/>
        </w:rPr>
        <w:t xml:space="preserve">Rs. 46.7 lakh</w:t>
      </w:r>
      <w:r>
        <w:rPr>
          <w:rFonts w:ascii="Verdana" w:cs="Verdana" w:eastAsia="Verdana" w:hAnsi="Verdana"/>
        </w:rPr>
        <w:t xml:space="preserve"> is payable despite section 140, and from Tax Year 2026-27 it is a final tax with no credit.</w:t>
      </w:r>
    </w:p>
    <w:p>
      <w:pPr>
        <w:pStyle w:val="Heading2"/>
        <w:keepNext/>
        <w:spacing w:after="120" w:before="240"/>
      </w:pPr>
      <w:r>
        <w:rPr>
          <w:rFonts w:ascii="Verdana" w:cs="Verdana" w:eastAsia="Verdana" w:hAnsi="Verdana"/>
        </w:rPr>
        <w:t xml:space="preserve">53.4 Step 4: compare section 200</w:t>
      </w:r>
    </w:p>
    <w:p>
      <w:pPr>
        <w:spacing w:after="120" w:line="276"/>
        <w:jc w:val="both"/>
      </w:pPr>
      <w:r>
        <w:rPr>
          <w:rFonts w:ascii="Verdana" w:cs="Verdana" w:eastAsia="Verdana" w:hAnsi="Verdana"/>
        </w:rPr>
        <w:t xml:space="preserve">Under section 200, section 140 is not available, but MAT does not apply. Tax = (3 crore less 1.2 crore loss) x 25.168% = </w:t>
      </w:r>
      <w:r>
        <w:rPr>
          <w:rFonts w:ascii="Verdana" w:cs="Verdana" w:eastAsia="Verdana" w:hAnsi="Verdana"/>
          <w:b/>
          <w:bCs/>
        </w:rPr>
        <w:t xml:space="preserve">Rs. 45,30,240</w:t>
      </w:r>
      <w:r>
        <w:rPr>
          <w:rFonts w:ascii="Verdana" w:cs="Verdana" w:eastAsia="Verdana" w:hAnsi="Verdana"/>
        </w:rPr>
        <w:t xml:space="preserve">, slightly lower than MAT, and the section 140 years are not used up. The company should compare the multi-year position: if profits are expected to rise sharply, preserving section 140 years is valueless when MAT applies on book profit anyway. This case shows why start-ups should plan the section 140 years together with MAT.</w:t>
      </w:r>
    </w:p>
    <w:p>
      <w:pPr>
        <w:pStyle w:val="Heading1"/>
        <w:pageBreakBefore/>
        <w:spacing w:after="200" w:before="0"/>
      </w:pPr>
      <w:r>
        <w:rPr>
          <w:rFonts w:ascii="Verdana" w:cs="Verdana" w:eastAsia="Verdana" w:hAnsi="Verdana"/>
        </w:rPr>
        <w:t xml:space="preserve">54. Case Study 7: Merger of Group Companies</w:t>
      </w:r>
    </w:p>
    <w:p>
      <w:pPr>
        <w:spacing w:after="120" w:line="276"/>
        <w:jc w:val="both"/>
      </w:pPr>
      <w:r>
        <w:rPr>
          <w:rFonts w:ascii="Verdana" w:cs="Verdana" w:eastAsia="Verdana" w:hAnsi="Verdana"/>
          <w:b/>
          <w:bCs/>
        </w:rPr>
        <w:t xml:space="preserve">Facts.</w:t>
      </w:r>
      <w:r>
        <w:rPr>
          <w:rFonts w:ascii="Verdana" w:cs="Verdana" w:eastAsia="Verdana" w:hAnsi="Verdana"/>
        </w:rPr>
        <w:t xml:space="preserve"> Aarav Industries Ltd. (a manufacturer) proposes to amalgamate its wholly owned subsidiary Aarav Components Pvt. Ltd. (also a manufacturer) into itself with the appointed date 1 April 2026. Aarav Components has: business loss of Tax Year 2022-23 of Rs. 6 crore; unabsorbed depreciation of Rs. 2 crore; plant WDV of Rs. 15 crore; land (book value Rs. 3 crore, market value Rs. 12 crore). It has been in business for 7 years and held all its fixed assets throughout.</w:t>
      </w:r>
    </w:p>
    <w:p>
      <w:pPr>
        <w:pStyle w:val="Heading2"/>
        <w:keepNext/>
        <w:spacing w:after="120" w:before="240"/>
      </w:pPr>
      <w:r>
        <w:rPr>
          <w:rFonts w:ascii="Verdana" w:cs="Verdana" w:eastAsia="Verdana" w:hAnsi="Verdana"/>
        </w:rPr>
        <w:t xml:space="preserve">54.1 Tax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6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Issue</w:t>
            </w:r>
          </w:p>
        </w:tc>
        <w:tc>
          <w:tcPr>
            <w:tcW w:type="dxa" w:w="6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Analysis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 it an amalgamation?</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Yes: all assets and liabilities pass; the parent holds 100%, so the 75% shareholder test is met by excluding shares held by the amalgamated company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on transfer of land and plant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 transfer under section 70; no tax on the Rs. 9 crore embedded gain in land</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and holding period for the parent</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Land at Rs. 3 crore with the subsidiary's holding period; plant block at WDV Rs. 15 crore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Losses and depreciation (section 116)</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Industrial undertaking, in business 3 or more years, held 75% of fixed assets for 2 years: conditions met. Parent must hold 75% of the assets and continue the business for 5 years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Remaining life of the loss</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 of Tax Year 2022-23 can be set off only up to Tax Year 2030-31. Unabsorbed depreciation has no time limit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Expenses of the merger</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Legal and filing costs deductible over 5 years under section 52</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Stamp duty</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Payable on the Tribunal order as per state law; not a tax deduction until incurred as expense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Procedure</w:t>
            </w:r>
          </w:p>
        </w:tc>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of the scheme to the department; returns for Tax Year 2026-27 filed by the parent including the subsidiary's income; Form 29 for loss carry forward</w:t>
            </w:r>
          </w:p>
        </w:tc>
      </w:tr>
    </w:tbl>
    <w:p>
      <w:pPr>
        <w:spacing w:after="60"/>
      </w:pPr>
    </w:p>
    <w:p>
      <w:pPr>
        <w:spacing w:after="120" w:line="276"/>
        <w:jc w:val="both"/>
      </w:pPr>
      <w:r>
        <w:rPr>
          <w:rFonts w:ascii="Verdana" w:cs="Verdana" w:eastAsia="Verdana" w:hAnsi="Verdana"/>
          <w:b/>
          <w:bCs/>
        </w:rPr>
        <w:t xml:space="preserve">Value.</w:t>
      </w:r>
      <w:r>
        <w:rPr>
          <w:rFonts w:ascii="Verdana" w:cs="Verdana" w:eastAsia="Verdana" w:hAnsi="Verdana"/>
        </w:rPr>
        <w:t xml:space="preserve"> The loss and depreciation of Rs. 8 crore, used against the parent's profits in the normal regime (29.12% for the parent's turnover level), are worth about </w:t>
      </w:r>
      <w:r>
        <w:rPr>
          <w:rFonts w:ascii="Verdana" w:cs="Verdana" w:eastAsia="Verdana" w:hAnsi="Verdana"/>
          <w:b/>
          <w:bCs/>
        </w:rPr>
        <w:t xml:space="preserve">Rs. 2.33 crore</w:t>
      </w:r>
      <w:r>
        <w:rPr>
          <w:rFonts w:ascii="Verdana" w:cs="Verdana" w:eastAsia="Verdana" w:hAnsi="Verdana"/>
        </w:rPr>
        <w:t xml:space="preserve"> of tax, provided the conditions are maintained for 5 years.</w:t>
      </w:r>
    </w:p>
    <w:p>
      <w:pPr>
        <w:pStyle w:val="Heading1"/>
        <w:pageBreakBefore/>
        <w:spacing w:after="200" w:before="0"/>
      </w:pPr>
      <w:r>
        <w:rPr>
          <w:rFonts w:ascii="Verdana" w:cs="Verdana" w:eastAsia="Verdana" w:hAnsi="Verdana"/>
        </w:rPr>
        <w:t xml:space="preserve">55. Case Study 8: Non-Resident Individual</w:t>
      </w:r>
    </w:p>
    <w:p>
      <w:pPr>
        <w:spacing w:after="120" w:line="276"/>
        <w:jc w:val="both"/>
      </w:pPr>
      <w:r>
        <w:rPr>
          <w:rFonts w:ascii="Verdana" w:cs="Verdana" w:eastAsia="Verdana" w:hAnsi="Verdana"/>
          <w:b/>
          <w:bCs/>
        </w:rPr>
        <w:t xml:space="preserve">Facts.</w:t>
      </w:r>
      <w:r>
        <w:rPr>
          <w:rFonts w:ascii="Verdana" w:cs="Verdana" w:eastAsia="Verdana" w:hAnsi="Verdana"/>
        </w:rPr>
        <w:t xml:space="preserve"> Sonia, an NRI in Canada, has in Tax Year 2026-27: sale of a Pune flat for Rs. 1.5 crore (LTCG Rs. 80 lakh, lower deduction certificate obtained, TDS Rs. 11,44,000); NRO FD interest Rs. 2,00,000 (TDS at 31.2% = Rs. 62,400); rent from another flat Rs. 3,60,000 (TDS by tenant at 31.2% = Rs. 1,12,320). She is in the new regime.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 3,60,000 less 30%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2,52,000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sources: NRO interest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Normal income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4,52,000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 normal income (5% of 52,000; no section 156 rebate for non-residents)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2,600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Rs. 80,00,000 at 12.5% (no basic exemption adjustment for non-residents)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Surcharge 10% (total income Rs. 84.52 lakh)</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1,00,260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44,114</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11,46,974</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TDS (11,44,000 + 62,400 + 1,12,320)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(13,18,720)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Refund due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1,71,746</w:t>
            </w:r>
          </w:p>
        </w:tc>
      </w:tr>
    </w:tbl>
    <w:p>
      <w:pPr>
        <w:spacing w:after="60"/>
      </w:pPr>
    </w:p>
    <w:p>
      <w:pPr>
        <w:spacing w:after="120" w:line="276"/>
        <w:jc w:val="both"/>
      </w:pPr>
      <w:r>
        <w:rPr>
          <w:rFonts w:ascii="Verdana" w:cs="Verdana" w:eastAsia="Verdana" w:hAnsi="Verdana"/>
          <w:b/>
          <w:bCs/>
        </w:rPr>
        <w:t xml:space="preserve">Points.</w:t>
      </w:r>
      <w:r>
        <w:rPr>
          <w:rFonts w:ascii="Verdana" w:cs="Verdana" w:eastAsia="Verdana" w:hAnsi="Verdana"/>
        </w:rPr>
        <w:t xml:space="preserve"> The refund arises because the tenant and bank deducted at 30% while her actual rate on that income is much lower. For future years, she can claim the India-Canada treaty rate on interest (generally 15%) by giving her TRC and Form 41 to the bank, and apply for a lower deduction certificate for rent. She files ITR-2, reports the Indian bank accounts, and claims the refund.</w:t>
      </w:r>
    </w:p>
    <w:p>
      <w:pPr>
        <w:pStyle w:val="Heading1"/>
        <w:pageBreakBefore/>
        <w:spacing w:after="200" w:before="0"/>
      </w:pPr>
      <w:r>
        <w:rPr>
          <w:rFonts w:ascii="Verdana" w:cs="Verdana" w:eastAsia="Verdana" w:hAnsi="Verdana"/>
        </w:rPr>
        <w:t xml:space="preserve">56. Case Study 9: Educational Trust</w:t>
      </w:r>
    </w:p>
    <w:p>
      <w:pPr>
        <w:spacing w:after="120" w:line="276"/>
        <w:jc w:val="both"/>
      </w:pPr>
      <w:r>
        <w:rPr>
          <w:rFonts w:ascii="Verdana" w:cs="Verdana" w:eastAsia="Verdana" w:hAnsi="Verdana"/>
          <w:b/>
          <w:bCs/>
        </w:rPr>
        <w:t xml:space="preserve">Facts.</w:t>
      </w:r>
      <w:r>
        <w:rPr>
          <w:rFonts w:ascii="Verdana" w:cs="Verdana" w:eastAsia="Verdana" w:hAnsi="Verdana"/>
        </w:rPr>
        <w:t xml:space="preserve"> Vidya Trust runs a school and is registered as an NPO. For Tax Year 2026-27: fees Rs. 3.5 crore; general donations Rs. 40 lakh; corpus donations with specific direction Rs. 1 crore; anonymous donations Rs. 12 lakh (total donations including corpus Rs. 1.52 crore); interest Rs. 18 lakh. Revenue expenses on the school Rs. 2.9 crore; capital expenditure on classrooms Rs. 60 lakh (from current income).</w:t>
      </w:r>
    </w:p>
    <w:p>
      <w:pPr>
        <w:pStyle w:val="Heading2"/>
        <w:keepNext/>
        <w:spacing w:after="120" w:before="240"/>
      </w:pPr>
      <w:r>
        <w:rPr>
          <w:rFonts w:ascii="Verdana" w:cs="Verdana" w:eastAsia="Verdana" w:hAnsi="Verdana"/>
        </w:rPr>
        <w:t xml:space="preserve">56.1 Step 1: income for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3,50,00,000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donations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Anonymous donations within the limit (see Step 3)</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7,60,000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Income (excluding corpus donations and taxable anonymous donations)</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4,15,60,000</w:t>
            </w:r>
          </w:p>
        </w:tc>
      </w:tr>
    </w:tbl>
    <w:p>
      <w:pPr>
        <w:spacing w:after="60"/>
      </w:pPr>
    </w:p>
    <w:p>
      <w:pPr>
        <w:pStyle w:val="Heading2"/>
        <w:keepNext/>
        <w:spacing w:after="120" w:before="240"/>
      </w:pPr>
      <w:r>
        <w:rPr>
          <w:rFonts w:ascii="Verdana" w:cs="Verdana" w:eastAsia="Verdana" w:hAnsi="Verdana"/>
        </w:rPr>
        <w:t xml:space="preserve">56.2 Step 2: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Revenue expenses on objects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2,90,00,000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expenditure on objects (application)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application</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3,50,00,000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Required 85% of 4,15,60,000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3,53,26,000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Shortfall in application</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3,26,000</w:t>
            </w:r>
          </w:p>
        </w:tc>
      </w:tr>
    </w:tbl>
    <w:p>
      <w:pPr>
        <w:spacing w:after="60"/>
      </w:pPr>
    </w:p>
    <w:p>
      <w:pPr>
        <w:pStyle w:val="Heading2"/>
        <w:keepNext/>
        <w:spacing w:after="120" w:before="240"/>
      </w:pPr>
      <w:r>
        <w:rPr>
          <w:rFonts w:ascii="Verdana" w:cs="Verdana" w:eastAsia="Verdana" w:hAnsi="Verdana"/>
        </w:rPr>
        <w:t xml:space="preserve">56.3 Step 3: anonymous donations</w:t>
      </w:r>
    </w:p>
    <w:p>
      <w:pPr>
        <w:spacing w:after="120" w:line="276"/>
        <w:jc w:val="both"/>
      </w:pPr>
      <w:r>
        <w:rPr>
          <w:rFonts w:ascii="Verdana" w:cs="Verdana" w:eastAsia="Verdana" w:hAnsi="Verdana"/>
        </w:rPr>
        <w:t xml:space="preserve">Limit = higher of Rs. 1 lakh and 5% of total donations (5% of Rs. 1.52 crore = Rs. 7.6 lakh). Anonymous donations above Rs. 7.6 lakh, that is </w:t>
      </w:r>
      <w:r>
        <w:rPr>
          <w:rFonts w:ascii="Verdana" w:cs="Verdana" w:eastAsia="Verdana" w:hAnsi="Verdana"/>
          <w:b/>
          <w:bCs/>
        </w:rPr>
        <w:t xml:space="preserve">Rs. 4.4 lakh</w:t>
      </w:r>
      <w:r>
        <w:rPr>
          <w:rFonts w:ascii="Verdana" w:cs="Verdana" w:eastAsia="Verdana" w:hAnsi="Verdana"/>
        </w:rPr>
        <w:t xml:space="preserve">, are taxed at 30%: tax Rs. 1,32,000 plus surcharge and cess. The balance of Rs. 7.6 lakh is treated like other income and included in Step 1.</w:t>
      </w:r>
    </w:p>
    <w:p>
      <w:pPr>
        <w:pStyle w:val="Heading2"/>
        <w:keepNext/>
        <w:spacing w:after="120" w:before="240"/>
      </w:pPr>
      <w:r>
        <w:rPr>
          <w:rFonts w:ascii="Verdana" w:cs="Verdana" w:eastAsia="Verdana" w:hAnsi="Verdana"/>
        </w:rPr>
        <w:t xml:space="preserve">56.4 Step 4: corpus</w:t>
      </w:r>
    </w:p>
    <w:p>
      <w:pPr>
        <w:spacing w:after="120" w:line="276"/>
        <w:jc w:val="both"/>
      </w:pPr>
      <w:r>
        <w:rPr>
          <w:rFonts w:ascii="Verdana" w:cs="Verdana" w:eastAsia="Verdana" w:hAnsi="Verdana"/>
        </w:rPr>
        <w:t xml:space="preserve">Corpus donations of Rs. 1 crore are not income, provided they are invested in the specified modes. They cannot be used for current expenses; if later spent, the spending is not application. The trust has a shortfall of Rs. 3,26,000 against the 85% requirement. It should file the accumulation form before the return due date, stating the specific purpose (for example, a science laboratory) and the period, failing which the shortfall is taxed at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Capital expenditure on the objects is application in the year of spending. Depreciation on such assets is not claimed again, to avoid double deduction. If capital assets are bought from borrowed funds, application is counted when the loan is repaid.</w:t>
            </w:r>
          </w:p>
        </w:tc>
      </w:tr>
    </w:tbl>
    <w:p>
      <w:pPr>
        <w:pStyle w:val="Heading1"/>
        <w:pageBreakBefore/>
        <w:spacing w:after="200" w:before="0"/>
      </w:pPr>
      <w:r>
        <w:rPr>
          <w:rFonts w:ascii="Verdana" w:cs="Verdana" w:eastAsia="Verdana" w:hAnsi="Verdana"/>
        </w:rPr>
        <w:t xml:space="preserve">57. Case Study 10: Transfer Pricing Adjustment and Secondary Adjustment</w:t>
      </w:r>
    </w:p>
    <w:p>
      <w:pPr>
        <w:spacing w:after="120" w:line="276"/>
        <w:jc w:val="both"/>
      </w:pPr>
      <w:r>
        <w:rPr>
          <w:rFonts w:ascii="Verdana" w:cs="Verdana" w:eastAsia="Verdana" w:hAnsi="Verdana"/>
          <w:b/>
          <w:bCs/>
        </w:rPr>
        <w:t xml:space="preserve">Facts.</w:t>
      </w:r>
      <w:r>
        <w:rPr>
          <w:rFonts w:ascii="Verdana" w:cs="Verdana" w:eastAsia="Verdana" w:hAnsi="Verdana"/>
        </w:rPr>
        <w:t xml:space="preserve"> Following Illustration 56 (Indus Tech), a primary adjustment of Rs. 3 crore is made for Tax Year 2026-27 by the TPO in an order passed on 30 June 2029, which the company accepts without appeal. The excess money is not repatriated. Assume the prescribed interest rate for a rupee denominated advance is 11.75% (the rate is linked to the SBI lending rate plus a spread, as per the Rules).</w:t>
      </w:r>
    </w:p>
    <w:p>
      <w:pPr>
        <w:pStyle w:val="Heading2"/>
        <w:keepNext/>
        <w:spacing w:after="120" w:before="240"/>
      </w:pPr>
      <w:r>
        <w:rPr>
          <w:rFonts w:ascii="Verdana" w:cs="Verdana" w:eastAsia="Verdana" w:hAnsi="Verdana"/>
        </w:rPr>
        <w:t xml:space="preserve">57.1 Option A: leave the money with the parent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advance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Imputed interest each year at 11.75%</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35,25,000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 imputed interest at 25.168% (section 200 company)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8,87,172 a year</w:t>
            </w:r>
          </w:p>
        </w:tc>
      </w:tr>
    </w:tbl>
    <w:p>
      <w:pPr>
        <w:spacing w:after="60"/>
      </w:pPr>
    </w:p>
    <w:p>
      <w:pPr>
        <w:pStyle w:val="Heading2"/>
        <w:keepNext/>
        <w:spacing w:after="120" w:before="240"/>
      </w:pPr>
      <w:r>
        <w:rPr>
          <w:rFonts w:ascii="Verdana" w:cs="Verdana" w:eastAsia="Verdana" w:hAnsi="Verdana"/>
        </w:rPr>
        <w:t xml:space="preserve">57.2 Option B: pay the one-time additional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Excess money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Additional tax at 18% plus 12% surcharge plus 4% cess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62,89,920</w:t>
            </w:r>
          </w:p>
        </w:tc>
      </w:tr>
    </w:tbl>
    <w:p>
      <w:pPr>
        <w:spacing w:after="60"/>
      </w:pPr>
    </w:p>
    <w:p>
      <w:pPr>
        <w:spacing w:after="120" w:line="276"/>
        <w:jc w:val="both"/>
      </w:pPr>
      <w:r>
        <w:rPr>
          <w:rFonts w:ascii="Verdana" w:cs="Verdana" w:eastAsia="Verdana" w:hAnsi="Verdana"/>
          <w:b/>
          <w:bCs/>
        </w:rPr>
        <w:t xml:space="preserve">Analysis.</w:t>
      </w:r>
      <w:r>
        <w:rPr>
          <w:rFonts w:ascii="Verdana" w:cs="Verdana" w:eastAsia="Verdana" w:hAnsi="Verdana"/>
        </w:rPr>
        <w:t xml:space="preserve"> The one-time tax equals about seven years of tax on imputed interest. If the parent can return the money within a year or two, repatriation (Option C) is clearly the best, because it stops interest and needs no extra tax. Option B makes sense only if the money is unlikely to be repatriated for many years. The tax on imputed interest is not creditable against the one-time tax. The company must also consider FEMA reporting of any receivable.</w:t>
      </w:r>
    </w:p>
    <w:p>
      <w:pPr>
        <w:pStyle w:val="Heading1"/>
        <w:pageBreakBefore/>
        <w:spacing w:after="200" w:before="0"/>
      </w:pPr>
      <w:r>
        <w:rPr>
          <w:rFonts w:ascii="Verdana" w:cs="Verdana" w:eastAsia="Verdana" w:hAnsi="Verdana"/>
        </w:rPr>
        <w:t xml:space="preserve">58. Case Study 11: Company Regime Choice over Five Years</w:t>
      </w:r>
    </w:p>
    <w:p>
      <w:pPr>
        <w:spacing w:after="120" w:line="276"/>
        <w:jc w:val="both"/>
      </w:pPr>
      <w:r>
        <w:rPr>
          <w:rFonts w:ascii="Verdana" w:cs="Verdana" w:eastAsia="Verdana" w:hAnsi="Verdana"/>
          <w:b/>
          <w:bCs/>
        </w:rPr>
        <w:t xml:space="preserve">Facts.</w:t>
      </w:r>
      <w:r>
        <w:rPr>
          <w:rFonts w:ascii="Verdana" w:cs="Verdana" w:eastAsia="Verdana" w:hAnsi="Verdana"/>
        </w:rPr>
        <w:t xml:space="preserve"> Tapi Industries Ltd. (normal regime, turnover below Rs. 400 crore) expects book profits of Rs. 10, 11, 12, 13 and 14 crore over Tax Years 2026-27 to 2030-31. It enjoys a profit-linked deduction of Rs. 6 crore a year for the first two years only, and claims additional depreciation of about Rs. 50 lakh a year. Under section 200 these would not be available, and taxable income would be roughly equal to book profit.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700"/>
        <w:gridCol w:w="1700"/>
        <w:gridCol w:w="2000"/>
        <w:gridCol w:w="1938"/>
      </w:tblGrid>
      <w:tr>
        <w:trPr>
          <w:cantSplit/>
          <w:tblHeader/>
        </w:trPr>
        <w:tc>
          <w:tcPr>
            <w:tcW w:type="dxa" w:w="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Year</w:t>
            </w:r>
          </w:p>
        </w:tc>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Book profit (Rs. crore)</w:t>
            </w:r>
          </w:p>
        </w:tc>
        <w:tc>
          <w:tcPr>
            <w:tcW w:type="dxa" w:w="1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Normal tax (old)</w:t>
            </w:r>
          </w:p>
        </w:tc>
        <w:tc>
          <w:tcPr>
            <w:tcW w:type="dxa" w:w="1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MAT</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Payable in old regime</w:t>
            </w:r>
          </w:p>
        </w:tc>
        <w:tc>
          <w:tcPr>
            <w:tcW w:type="dxa" w:w="19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under section 200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97,37,000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1,55,79,200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1,55,79,200</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2,51,68,000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1,25,19,000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1,79,37,920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1,79,37,920</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2,76,84,800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3,34,88,000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1,95,68,640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3,34,88,000</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3,02,01,600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3,64,00,000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2,11,99,360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3,64,00,000</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3,27,18,400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3,93,12,000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2,28,30,080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3,93,12,000</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3,52,35,200</w:t>
            </w:r>
          </w:p>
        </w:tc>
      </w:tr>
      <w:tr>
        <w:trPr>
          <w:cantSplit/>
        </w:trPr>
        <w:tc>
          <w:tcPr>
            <w:tcW w:type="dxa" w:w="7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w:t>
            </w:r>
          </w:p>
        </w:tc>
        <w:tc>
          <w:tcPr>
            <w:tcW w:type="dxa" w:w="16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c>
          <w:tcPr>
            <w:tcW w:type="dxa" w:w="17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17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2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14,27,17,120</w:t>
            </w:r>
          </w:p>
        </w:tc>
        <w:tc>
          <w:tcPr>
            <w:tcW w:type="dxa" w:w="19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15,10,08,000</w:t>
            </w:r>
          </w:p>
        </w:tc>
      </w:tr>
    </w:tbl>
    <w:p>
      <w:pPr>
        <w:spacing w:after="60"/>
      </w:pPr>
    </w:p>
    <w:p>
      <w:pPr>
        <w:spacing w:after="120" w:line="276"/>
        <w:jc w:val="both"/>
      </w:pPr>
      <w:r>
        <w:rPr>
          <w:rFonts w:ascii="Verdana" w:cs="Verdana" w:eastAsia="Verdana" w:hAnsi="Verdana"/>
          <w:b/>
          <w:bCs/>
        </w:rPr>
        <w:t xml:space="preserve">Reading the table.</w:t>
      </w:r>
      <w:r>
        <w:rPr>
          <w:rFonts w:ascii="Verdana" w:cs="Verdana" w:eastAsia="Verdana" w:hAnsi="Verdana"/>
        </w:rPr>
        <w:t xml:space="preserve"> In years 1 and 2, the old regime (paying MAT) is cheaper than section 200 because of the large deduction. From year 3 onwards, once the deduction ends, section 200 is cheaper every year. The best path is to stay in the old regime for years 1 and 2 and </w:t>
      </w:r>
      <w:r>
        <w:rPr>
          <w:rFonts w:ascii="Verdana" w:cs="Verdana" w:eastAsia="Verdana" w:hAnsi="Verdana"/>
          <w:b/>
          <w:bCs/>
        </w:rPr>
        <w:t xml:space="preserve">switch to section 200 from year 3</w:t>
      </w:r>
      <w:r>
        <w:rPr>
          <w:rFonts w:ascii="Verdana" w:cs="Verdana" w:eastAsia="Verdana" w:hAnsi="Verdana"/>
        </w:rPr>
        <w:t xml:space="preserve">: total tax = 1,55,79,200 + 1,79,37,920 + 3,02,01,600 + 3,27,18,400 + 3,52,35,200 = </w:t>
      </w:r>
      <w:r>
        <w:rPr>
          <w:rFonts w:ascii="Verdana" w:cs="Verdana" w:eastAsia="Verdana" w:hAnsi="Verdana"/>
          <w:b/>
          <w:bCs/>
        </w:rPr>
        <w:t xml:space="preserve">Rs. 13,16,72,320</w:t>
      </w:r>
      <w:r>
        <w:rPr>
          <w:rFonts w:ascii="Verdana" w:cs="Verdana" w:eastAsia="Verdana" w:hAnsi="Verdana"/>
        </w:rPr>
        <w:t xml:space="preserve">, about Rs. 1.1 crore less than staying in the old regime throughout, and Rs. 1.9 crore less than switching now. Since MAT is a final tax from Tax Year 2026-27, the MAT paid in years 1 and 2 creates no credit, which is already reflected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section 200 option can be exercised in any later year, but once exercised it cannot be withdrawn. A multi-year model like this is the only reliable way to choose the year of switch.</w:t>
            </w:r>
          </w:p>
        </w:tc>
      </w:tr>
    </w:tbl>
    <w:p>
      <w:pPr>
        <w:pStyle w:val="Heading1"/>
        <w:pageBreakBefore/>
        <w:spacing w:after="200" w:before="0"/>
      </w:pPr>
      <w:r>
        <w:rPr>
          <w:rFonts w:ascii="Verdana" w:cs="Verdana" w:eastAsia="Verdana" w:hAnsi="Verdana"/>
        </w:rPr>
        <w:t xml:space="preserve">59. Case Study 12: Small Trader under the Presumptive Scheme</w:t>
      </w:r>
    </w:p>
    <w:p>
      <w:pPr>
        <w:spacing w:after="120" w:line="276"/>
        <w:jc w:val="both"/>
      </w:pPr>
      <w:r>
        <w:rPr>
          <w:rFonts w:ascii="Verdana" w:cs="Verdana" w:eastAsia="Verdana" w:hAnsi="Verdana"/>
          <w:b/>
          <w:bCs/>
        </w:rPr>
        <w:t xml:space="preserve">Facts.</w:t>
      </w:r>
      <w:r>
        <w:rPr>
          <w:rFonts w:ascii="Verdana" w:cs="Verdana" w:eastAsia="Verdana" w:hAnsi="Verdana"/>
        </w:rPr>
        <w:t xml:space="preserve"> Joseph runs a provision store as a sole proprietor. Turnover for Tax Year 2026-27 is Rs. 1.1 crore: Rs. 95 lakh received through UPI and bank, Rs. 15 lakh in cash. He also has bank interest of Rs. 1,20,000 and LTCG on equity funds of Rs. 60,000. He is in the new regime.</w:t>
      </w:r>
    </w:p>
    <w:p>
      <w:pPr>
        <w:pStyle w:val="Heading2"/>
        <w:keepNext/>
        <w:spacing w:after="120" w:before="240"/>
      </w:pPr>
      <w:r>
        <w:rPr>
          <w:rFonts w:ascii="Verdana" w:cs="Verdana" w:eastAsia="Verdana" w:hAnsi="Verdana"/>
        </w:rPr>
        <w:t xml:space="preserve">59.1 Step 1: eligibility</w:t>
      </w:r>
    </w:p>
    <w:p>
      <w:pPr>
        <w:spacing w:after="120" w:line="276"/>
        <w:jc w:val="both"/>
      </w:pPr>
      <w:r>
        <w:rPr>
          <w:rFonts w:ascii="Verdana" w:cs="Verdana" w:eastAsia="Verdana" w:hAnsi="Verdana"/>
        </w:rPr>
        <w:t xml:space="preserve">Cash receipts are 13.6% of turnover, more than 5%, so the limit is Rs. 2 crore (not Rs. 3 crore). Turnover of Rs. 1.1 crore is within it. He is a resident individual, so section 58 is available.</w:t>
      </w:r>
    </w:p>
    <w:p>
      <w:pPr>
        <w:pStyle w:val="Heading2"/>
        <w:keepNext/>
        <w:spacing w:after="120" w:before="240"/>
      </w:pPr>
      <w:r>
        <w:rPr>
          <w:rFonts w:ascii="Verdana" w:cs="Verdana" w:eastAsia="Verdana" w:hAnsi="Verdana"/>
        </w:rPr>
        <w:t xml:space="preserve">59.2 Step 2: income and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 of Rs. 95 lakh (digital receipts)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5,70,000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 of Rs. 15 lakh (cash receipts)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Presumptive business income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6,90,000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bank interest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income at normal rates</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8,10,000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 Rs. 8,10,000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rebate under section 156 (income up to Rs. 12 lakh)</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of Rs. 60,000 within the Rs. 1,25,000 exemption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Tax payable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Nil</w:t>
            </w:r>
          </w:p>
        </w:tc>
      </w:tr>
    </w:tbl>
    <w:p>
      <w:pPr>
        <w:spacing w:after="60"/>
      </w:pPr>
    </w:p>
    <w:p>
      <w:pPr>
        <w:pStyle w:val="Heading2"/>
        <w:keepNext/>
        <w:spacing w:after="120" w:before="240"/>
      </w:pPr>
      <w:r>
        <w:rPr>
          <w:rFonts w:ascii="Verdana" w:cs="Verdana" w:eastAsia="Verdana" w:hAnsi="Verdana"/>
        </w:rPr>
        <w:t xml:space="preserve">59.3 Step 3: compliance</w:t>
      </w:r>
    </w:p>
    <w:p>
      <w:pPr>
        <w:pStyle w:val="ListParagraph"/>
        <w:numPr>
          <w:ilvl w:val="0"/>
          <w:numId w:val="2"/>
        </w:numPr>
        <w:spacing w:after="60" w:line="264"/>
      </w:pPr>
      <w:r>
        <w:rPr>
          <w:rFonts w:ascii="Verdana" w:cs="Verdana" w:eastAsia="Verdana" w:hAnsi="Verdana"/>
        </w:rPr>
        <w:t xml:space="preserve">File ITR-4 by 31 August 2027 (non-audit business case). Since ITR-4 now allows LTCG under section 198 up to Rs. 1,25,000, he can use it.</w:t>
      </w:r>
    </w:p>
    <w:p>
      <w:pPr>
        <w:pStyle w:val="ListParagraph"/>
        <w:numPr>
          <w:ilvl w:val="0"/>
          <w:numId w:val="2"/>
        </w:numPr>
        <w:spacing w:after="60" w:line="264"/>
      </w:pPr>
      <w:r>
        <w:rPr>
          <w:rFonts w:ascii="Verdana" w:cs="Verdana" w:eastAsia="Verdana" w:hAnsi="Verdana"/>
        </w:rPr>
        <w:t xml:space="preserve">Keep basic records of turnover and bank statements; the GST turnover must match the turnover declared.</w:t>
      </w:r>
    </w:p>
    <w:p>
      <w:pPr>
        <w:pStyle w:val="ListParagraph"/>
        <w:numPr>
          <w:ilvl w:val="0"/>
          <w:numId w:val="2"/>
        </w:numPr>
        <w:spacing w:after="60" w:line="264"/>
      </w:pPr>
      <w:r>
        <w:rPr>
          <w:rFonts w:ascii="Verdana" w:cs="Verdana" w:eastAsia="Verdana" w:hAnsi="Verdana"/>
        </w:rPr>
        <w:t xml:space="preserve">No advance tax is payable, since tax is nil. If tax were payable, the whole amount would be due by 15 March 2027.</w:t>
      </w:r>
    </w:p>
    <w:p>
      <w:pPr>
        <w:pStyle w:val="ListParagraph"/>
        <w:numPr>
          <w:ilvl w:val="0"/>
          <w:numId w:val="2"/>
        </w:numPr>
        <w:spacing w:after="60" w:line="264"/>
      </w:pPr>
      <w:r>
        <w:rPr>
          <w:rFonts w:ascii="Verdana" w:cs="Verdana" w:eastAsia="Verdana" w:hAnsi="Verdana"/>
        </w:rPr>
        <w:t xml:space="preserve">If he declares less than 6% or 8% in a later year, the five-year lock out and audit rules apply.</w:t>
      </w:r>
    </w:p>
    <w:p>
      <w:pPr>
        <w:pStyle w:val="Heading1"/>
        <w:pageBreakBefore/>
        <w:spacing w:after="200" w:before="0"/>
      </w:pPr>
      <w:r>
        <w:rPr>
          <w:rFonts w:ascii="Verdana" w:cs="Verdana" w:eastAsia="Verdana" w:hAnsi="Verdana"/>
        </w:rPr>
        <w:t xml:space="preserve">60. Case Study 13: Correcting a TDS Default</w:t>
      </w:r>
    </w:p>
    <w:p>
      <w:pPr>
        <w:spacing w:after="120" w:line="276"/>
        <w:jc w:val="both"/>
      </w:pPr>
      <w:r>
        <w:rPr>
          <w:rFonts w:ascii="Verdana" w:cs="Verdana" w:eastAsia="Verdana" w:hAnsi="Verdana"/>
          <w:b/>
          <w:bCs/>
        </w:rPr>
        <w:t xml:space="preserve">Facts.</w:t>
      </w:r>
      <w:r>
        <w:rPr>
          <w:rFonts w:ascii="Verdana" w:cs="Verdana" w:eastAsia="Verdana" w:hAnsi="Verdana"/>
        </w:rPr>
        <w:t xml:space="preserve"> Maple Tech Pvt. Ltd. paid professional fees of Rs. 12 lakh to a consultant on 15 June 2026 without deducting TDS. The error is found during the tax audit in May 2027. The company deducts nothing from the consultant (the payment is already made) but deposits the TDS of Rs. 1,20,000 from its own funds on 20 May 2027, with interest.</w:t>
      </w:r>
    </w:p>
    <w:p>
      <w:pPr>
        <w:pStyle w:val="Heading2"/>
        <w:keepNext/>
        <w:spacing w:after="120" w:before="240"/>
      </w:pPr>
      <w:r>
        <w:rPr>
          <w:rFonts w:ascii="Verdana" w:cs="Verdana" w:eastAsia="Verdana" w:hAnsi="Verdana"/>
        </w:rPr>
        <w:t xml:space="preserve">60.1 Step 1: interest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required: 10% of Rs. 12,00,000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for failure to deduct: 1% a month from June 2026 to May 2027 (12 months)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14,400</w:t>
            </w:r>
          </w:p>
        </w:tc>
      </w:tr>
    </w:tbl>
    <w:p>
      <w:pPr>
        <w:spacing w:after="60"/>
      </w:pPr>
    </w:p>
    <w:p>
      <w:pPr>
        <w:pStyle w:val="Heading2"/>
        <w:keepNext/>
        <w:spacing w:after="120" w:before="240"/>
      </w:pPr>
      <w:r>
        <w:rPr>
          <w:rFonts w:ascii="Verdana" w:cs="Verdana" w:eastAsia="Verdana" w:hAnsi="Verdana"/>
        </w:rPr>
        <w:t xml:space="preserve">60.2 Step 2: disallowance under section 35</w:t>
      </w:r>
    </w:p>
    <w:p>
      <w:pPr>
        <w:spacing w:after="120" w:line="276"/>
        <w:jc w:val="both"/>
      </w:pPr>
      <w:r>
        <w:rPr>
          <w:rFonts w:ascii="Verdana" w:cs="Verdana" w:eastAsia="Verdana" w:hAnsi="Verdana"/>
        </w:rPr>
        <w:t xml:space="preserve">The TDS was paid on 20 May 2027, before the return due date of 31 October 2027. Therefore </w:t>
      </w:r>
      <w:r>
        <w:rPr>
          <w:rFonts w:ascii="Verdana" w:cs="Verdana" w:eastAsia="Verdana" w:hAnsi="Verdana"/>
          <w:b/>
          <w:bCs/>
        </w:rPr>
        <w:t xml:space="preserve">no disallowance</w:t>
      </w:r>
      <w:r>
        <w:rPr>
          <w:rFonts w:ascii="Verdana" w:cs="Verdana" w:eastAsia="Verdana" w:hAnsi="Verdana"/>
        </w:rPr>
        <w:t xml:space="preserve"> arises for Tax Year 2026-27. Had the TDS been paid after the return due date, 30% of Rs. 12 lakh (Rs. 3,60,000) would have been disallowed in Tax Year 2026-27 and allowed in the year of payment.</w:t>
      </w:r>
    </w:p>
    <w:p>
      <w:pPr>
        <w:pStyle w:val="Heading2"/>
        <w:keepNext/>
        <w:spacing w:after="120" w:before="240"/>
      </w:pPr>
      <w:r>
        <w:rPr>
          <w:rFonts w:ascii="Verdana" w:cs="Verdana" w:eastAsia="Verdana" w:hAnsi="Verdana"/>
        </w:rPr>
        <w:t xml:space="preserve">60.3 Step 3: reporting and other consequences</w:t>
      </w:r>
    </w:p>
    <w:p>
      <w:pPr>
        <w:pStyle w:val="ListParagraph"/>
        <w:numPr>
          <w:ilvl w:val="0"/>
          <w:numId w:val="2"/>
        </w:numPr>
        <w:spacing w:after="60" w:line="264"/>
      </w:pPr>
      <w:r>
        <w:rPr>
          <w:rFonts w:ascii="Verdana" w:cs="Verdana" w:eastAsia="Verdana" w:hAnsi="Verdana"/>
        </w:rPr>
        <w:t xml:space="preserve">File a correction statement for the June 2026 quarter (Form 140) adding the deductee record, so that the consultant gets credit in Form 168; a fee for delayed reporting may apply.</w:t>
      </w:r>
    </w:p>
    <w:p>
      <w:pPr>
        <w:pStyle w:val="ListParagraph"/>
        <w:numPr>
          <w:ilvl w:val="0"/>
          <w:numId w:val="2"/>
        </w:numPr>
        <w:spacing w:after="60" w:line="264"/>
      </w:pPr>
      <w:r>
        <w:rPr>
          <w:rFonts w:ascii="Verdana" w:cs="Verdana" w:eastAsia="Verdana" w:hAnsi="Verdana"/>
        </w:rPr>
        <w:t xml:space="preserve">Issue the TDS certificate (Form 131) to the consultant.</w:t>
      </w:r>
    </w:p>
    <w:p>
      <w:pPr>
        <w:pStyle w:val="ListParagraph"/>
        <w:numPr>
          <w:ilvl w:val="0"/>
          <w:numId w:val="2"/>
        </w:numPr>
        <w:spacing w:after="60" w:line="264"/>
      </w:pPr>
      <w:r>
        <w:rPr>
          <w:rFonts w:ascii="Verdana" w:cs="Verdana" w:eastAsia="Verdana" w:hAnsi="Verdana"/>
        </w:rPr>
        <w:t xml:space="preserve">The tax audit report (Form 26) reports the delay in deduction and payment.</w:t>
      </w:r>
    </w:p>
    <w:p>
      <w:pPr>
        <w:pStyle w:val="ListParagraph"/>
        <w:numPr>
          <w:ilvl w:val="0"/>
          <w:numId w:val="2"/>
        </w:numPr>
        <w:spacing w:after="60" w:line="264"/>
      </w:pPr>
      <w:r>
        <w:rPr>
          <w:rFonts w:ascii="Verdana" w:cs="Verdana" w:eastAsia="Verdana" w:hAnsi="Verdana"/>
        </w:rPr>
        <w:t xml:space="preserve">A penalty equal to the TDS not deducted is possible, but where the default is corrected voluntarily with interest before any proceedings, it is usually not levied because of reasonable cause.</w:t>
      </w:r>
    </w:p>
    <w:p>
      <w:pPr>
        <w:pStyle w:val="ListParagraph"/>
        <w:numPr>
          <w:ilvl w:val="0"/>
          <w:numId w:val="2"/>
        </w:numPr>
        <w:spacing w:after="60" w:line="264"/>
      </w:pPr>
      <w:r>
        <w:rPr>
          <w:rFonts w:ascii="Verdana" w:cs="Verdana" w:eastAsia="Verdana" w:hAnsi="Verdana"/>
        </w:rPr>
        <w:t xml:space="preserve">If the company does not recover the Rs. 1,20,000 from the consultant, it is in substance additional consideration, and its deductibility and the TDS on the grossed up amount must be examined. The simpler course is to recover it from the consultant, who gets full credit for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cheapest fix for a missed TDS is to pay it before the return due date. Interest is small compared with a 30% disallowance, penalty exposure and loss of goodwill with the vendor.</w:t>
            </w:r>
          </w:p>
        </w:tc>
      </w:tr>
    </w:tbl>
    <w:p>
      <w:pPr>
        <w:pStyle w:val="Heading1"/>
        <w:pageBreakBefore/>
        <w:spacing w:after="200" w:before="0"/>
      </w:pPr>
      <w:r>
        <w:rPr>
          <w:rFonts w:ascii="Verdana" w:cs="Verdana" w:eastAsia="Verdana" w:hAnsi="Verdana"/>
        </w:rPr>
        <w:t xml:space="preserve">61. Case Study 14: Several Capital Assets Sold in One Year</w:t>
      </w:r>
    </w:p>
    <w:p>
      <w:pPr>
        <w:spacing w:after="120" w:line="276"/>
        <w:jc w:val="both"/>
      </w:pPr>
      <w:r>
        <w:rPr>
          <w:rFonts w:ascii="Verdana" w:cs="Verdana" w:eastAsia="Verdana" w:hAnsi="Verdana"/>
          <w:b/>
          <w:bCs/>
        </w:rPr>
        <w:t xml:space="preserve">Facts.</w:t>
      </w:r>
      <w:r>
        <w:rPr>
          <w:rFonts w:ascii="Verdana" w:cs="Verdana" w:eastAsia="Verdana" w:hAnsi="Verdana"/>
        </w:rPr>
        <w:t xml:space="preserve"> Priya, a resident in the new regime, has salary of Rs. 20,00,000. During Tax Year 2026-27 she sells: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800"/>
        <w:gridCol w:w="1800"/>
        <w:gridCol w:w="2200"/>
      </w:tblGrid>
      <w:tr>
        <w:trPr>
          <w:cantSplit/>
          <w:tblHeader/>
        </w:trPr>
        <w:tc>
          <w:tcPr>
            <w:tcW w:type="dxa" w:w="3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Asset</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Holding</w:t>
            </w:r>
          </w:p>
        </w:tc>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Gain or loss (Rs.)</w:t>
            </w:r>
          </w:p>
        </w:tc>
        <w:tc>
          <w:tcPr>
            <w:tcW w:type="dxa" w:w="2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Nature</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Listed shares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years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under section 198</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Listed shares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 months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STCL</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Debt mutual fund bought in June 2023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years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at slab (specified fund)</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Gold jewellery inherited from her mother (mother's cost Rs. 3 lakh in 2010, sold for Rs. 12 lakh)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Long-term (mother's period counted)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9,00,000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under section 197 at 12.5%</w:t>
            </w:r>
          </w:p>
        </w:tc>
      </w:tr>
      <w:tr>
        <w:trPr>
          <w:cantSplit/>
        </w:trPr>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Unlisted shares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year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at slab</w:t>
            </w:r>
          </w:p>
        </w:tc>
      </w:tr>
    </w:tbl>
    <w:p>
      <w:pPr>
        <w:spacing w:after="60"/>
      </w:pPr>
    </w:p>
    <w:p>
      <w:pPr>
        <w:spacing w:after="120" w:line="276"/>
        <w:jc w:val="both"/>
      </w:pPr>
      <w:r>
        <w:rPr>
          <w:rFonts w:ascii="Verdana" w:cs="Verdana" w:eastAsia="Verdana" w:hAnsi="Verdana"/>
        </w:rPr>
        <w:t xml:space="preserve">She also has a brought forward long-term capital loss of Rs. 50,000 from Tax Year 2024-25.</w:t>
      </w:r>
    </w:p>
    <w:p>
      <w:pPr>
        <w:pStyle w:val="Heading2"/>
        <w:keepNext/>
        <w:spacing w:after="120" w:before="240"/>
      </w:pPr>
      <w:r>
        <w:rPr>
          <w:rFonts w:ascii="Verdana" w:cs="Verdana" w:eastAsia="Verdana" w:hAnsi="Verdana"/>
        </w:rPr>
        <w:t xml:space="preserve">61.1 Step 1: set off in the best order</w:t>
      </w:r>
    </w:p>
    <w:p>
      <w:pPr>
        <w:pStyle w:val="ListParagraph"/>
        <w:numPr>
          <w:ilvl w:val="0"/>
          <w:numId w:val="2"/>
        </w:numPr>
        <w:spacing w:after="60" w:line="264"/>
      </w:pPr>
      <w:r>
        <w:rPr>
          <w:rFonts w:ascii="Verdana" w:cs="Verdana" w:eastAsia="Verdana" w:hAnsi="Verdana"/>
        </w:rPr>
        <w:t xml:space="preserve">The STCL of Rs. 1,20,000 can be set off against any capital gain. It is best used against gains taxed at the highest rate: her slab rate STCG (debt fund and unlisted shares) rather than 12.5% gains. Slab STCG = 80,000 + 2,00,000 less 1,20,000 = </w:t>
      </w:r>
      <w:r>
        <w:rPr>
          <w:rFonts w:ascii="Verdana" w:cs="Verdana" w:eastAsia="Verdana" w:hAnsi="Verdana"/>
          <w:b/>
          <w:bCs/>
        </w:rPr>
        <w:t xml:space="preserve">Rs. 1,60,000</w:t>
      </w:r>
      <w:r>
        <w:rPr>
          <w:rFonts w:ascii="Verdana" w:cs="Verdana" w:eastAsia="Verdana" w:hAnsi="Verdana"/>
        </w:rPr>
        <w:t xml:space="preserve">.</w:t>
      </w:r>
    </w:p>
    <w:p>
      <w:pPr>
        <w:pStyle w:val="ListParagraph"/>
        <w:numPr>
          <w:ilvl w:val="0"/>
          <w:numId w:val="2"/>
        </w:numPr>
        <w:spacing w:after="60" w:line="264"/>
      </w:pPr>
      <w:r>
        <w:rPr>
          <w:rFonts w:ascii="Verdana" w:cs="Verdana" w:eastAsia="Verdana" w:hAnsi="Verdana"/>
        </w:rPr>
        <w:t xml:space="preserve">The brought forward LTCL of Rs. 50,000 can be set off only against LTCG. Against section 198 gains: Rs. 3,00,000 less 50,000 = Rs. 2,50,000; taxable after the Rs. 1,25,000 exemption = </w:t>
      </w:r>
      <w:r>
        <w:rPr>
          <w:rFonts w:ascii="Verdana" w:cs="Verdana" w:eastAsia="Verdana" w:hAnsi="Verdana"/>
          <w:b/>
          <w:bCs/>
        </w:rPr>
        <w:t xml:space="preserve">Rs. 1,25,000</w:t>
      </w:r>
      <w:r>
        <w:rPr>
          <w:rFonts w:ascii="Verdana" w:cs="Verdana" w:eastAsia="Verdana" w:hAnsi="Verdana"/>
        </w:rPr>
        <w:t xml:space="preserve">.</w:t>
      </w:r>
    </w:p>
    <w:p>
      <w:pPr>
        <w:pStyle w:val="ListParagraph"/>
        <w:numPr>
          <w:ilvl w:val="0"/>
          <w:numId w:val="2"/>
        </w:numPr>
        <w:spacing w:after="60" w:line="264"/>
      </w:pPr>
      <w:r>
        <w:rPr>
          <w:rFonts w:ascii="Verdana" w:cs="Verdana" w:eastAsia="Verdana" w:hAnsi="Verdana"/>
        </w:rPr>
        <w:t xml:space="preserve">Jewellery LTCG of </w:t>
      </w:r>
      <w:r>
        <w:rPr>
          <w:rFonts w:ascii="Verdana" w:cs="Verdana" w:eastAsia="Verdana" w:hAnsi="Verdana"/>
          <w:b/>
          <w:bCs/>
        </w:rPr>
        <w:t xml:space="preserve">Rs. 9,00,000</w:t>
      </w:r>
      <w:r>
        <w:rPr>
          <w:rFonts w:ascii="Verdana" w:cs="Verdana" w:eastAsia="Verdana" w:hAnsi="Verdana"/>
        </w:rPr>
        <w:t xml:space="preserve"> at 12.5% (indexation is available only for land and building).</w:t>
      </w:r>
    </w:p>
    <w:p>
      <w:pPr>
        <w:pStyle w:val="Heading2"/>
        <w:keepNext/>
        <w:spacing w:after="120" w:before="240"/>
      </w:pPr>
      <w:r>
        <w:rPr>
          <w:rFonts w:ascii="Verdana" w:cs="Verdana" w:eastAsia="Verdana" w:hAnsi="Verdana"/>
        </w:rPr>
        <w:t xml:space="preserve">61.2 Step 2: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less standard deduction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19,25,000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slab rate STCG</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Income at slab rates</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20,85,000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at slab rates: 2,00,000 up to Rs. 20 lakh plus 25% of 85,000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2,21,250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under section 198: 1,25,000 x 12.5%</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15,625</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jewellery: 9,00,000 x 12.5%</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1,12,500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before cess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3,49,375</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 4%</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13,975</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3,63,350</w:t>
            </w:r>
          </w:p>
        </w:tc>
      </w:tr>
    </w:tbl>
    <w:p>
      <w:pPr>
        <w:spacing w:after="60"/>
      </w:pPr>
    </w:p>
    <w:p>
      <w:pPr>
        <w:spacing w:after="120" w:line="276"/>
        <w:jc w:val="both"/>
      </w:pPr>
      <w:r>
        <w:rPr>
          <w:rFonts w:ascii="Verdana" w:cs="Verdana" w:eastAsia="Verdana" w:hAnsi="Verdana"/>
          <w:b/>
          <w:bCs/>
        </w:rPr>
        <w:t xml:space="preserve">Lesson.</w:t>
      </w:r>
      <w:r>
        <w:rPr>
          <w:rFonts w:ascii="Verdana" w:cs="Verdana" w:eastAsia="Verdana" w:hAnsi="Verdana"/>
        </w:rPr>
        <w:t xml:space="preserve"> The order of set off is chosen in the return. Using the short-term loss against slab rate gains saved her 25% of Rs. 1,20,000 rather than 12.5% or 20%. She could also have saved tax on the jewellery gain by investing the net sale proceeds in a residential house under section 86.</w:t>
      </w:r>
    </w:p>
    <w:p>
      <w:pPr>
        <w:pStyle w:val="Heading1"/>
        <w:pageBreakBefore/>
        <w:spacing w:after="200" w:before="0"/>
      </w:pPr>
      <w:r>
        <w:rPr>
          <w:rFonts w:ascii="Verdana" w:cs="Verdana" w:eastAsia="Verdana" w:hAnsi="Verdana"/>
        </w:rPr>
        <w:t xml:space="preserve">62. Case Study 15: Returning NRI and the RNOR Window</w:t>
      </w:r>
    </w:p>
    <w:p>
      <w:pPr>
        <w:spacing w:after="120" w:line="276"/>
        <w:jc w:val="both"/>
      </w:pPr>
      <w:r>
        <w:rPr>
          <w:rFonts w:ascii="Verdana" w:cs="Verdana" w:eastAsia="Verdana" w:hAnsi="Verdana"/>
          <w:b/>
          <w:bCs/>
        </w:rPr>
        <w:t xml:space="preserve">Facts.</w:t>
      </w:r>
      <w:r>
        <w:rPr>
          <w:rFonts w:ascii="Verdana" w:cs="Verdana" w:eastAsia="Verdana" w:hAnsi="Verdana"/>
        </w:rPr>
        <w:t xml:space="preserve"> Vikram returns to India on 15 May 2026 after 12 years in the US. He will be RNOR for Tax Years 2026-27 and 2027-28 (non-resident in 9 of the 10 preceding years), and ordinarily resident from Tax Year 2028-29. His foreign assets: US listed shares with an unrealised gain of Rs. 40 lakh; a US rental flat earning Rs. 15 lakh a year; a US bank account earning Rs. 2 lakh a year; a US retirement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3600"/>
        <w:gridCol w:w="3600"/>
      </w:tblGrid>
      <w:tr>
        <w:trPr>
          <w:cantSplit/>
          <w:tblHeader/>
        </w:trPr>
        <w:tc>
          <w:tcPr>
            <w:tcW w:type="dxa" w:w="2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While RNOR (2026-27, 2027-28)</w:t>
            </w:r>
          </w:p>
        </w:tc>
        <w:tc>
          <w:tcPr>
            <w:tcW w:type="dxa" w:w="3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Once ROR (2028-29 onwards)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of US shares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Gain not taxable in India if received outside India</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in India; credit for any US tax</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 rental income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taxable in India (foreign income, not from a business controlled in India)</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in India with foreign tax credit</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 bank interest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taxable in India if not received in India</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in India</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 retirement account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Accumulation not taxed in India</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retirement account relief under section 158 may allow deferral to withdrawal</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Schedule FA reporting</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required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Required for all foreign assets</w:t>
            </w:r>
          </w:p>
        </w:tc>
      </w:tr>
      <w:tr>
        <w:trPr>
          <w:cantSplit/>
        </w:trPr>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Indian NRE deposits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Must be redesignated as resident or RFC accounts on return; interest becomes taxable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r>
    </w:tbl>
    <w:p>
      <w:pPr>
        <w:spacing w:after="60"/>
      </w:pPr>
    </w:p>
    <w:p>
      <w:pPr>
        <w:spacing w:after="120" w:line="276"/>
        <w:jc w:val="both"/>
      </w:pPr>
      <w:r>
        <w:rPr>
          <w:rFonts w:ascii="Verdana" w:cs="Verdana" w:eastAsia="Verdana" w:hAnsi="Verdana"/>
          <w:b/>
          <w:bCs/>
        </w:rPr>
        <w:t xml:space="preserve">Plan.</w:t>
      </w:r>
      <w:r>
        <w:rPr>
          <w:rFonts w:ascii="Verdana" w:cs="Verdana" w:eastAsia="Verdana" w:hAnsi="Verdana"/>
        </w:rPr>
        <w:t xml:space="preserve"> Vikram should consider selling the US shares during his RNOR years, keeping proceeds abroad or bringing them in as capital, so that the Rs. 40 lakh gain is not taxed in India (the US generally does not tax capital gains of non-resident aliens on listed shares, but confirm US rules). He should document the date of return (passport stamps) to prove RNOR status, and plan the rental property's future before he becomes ordinarily resident. From Tax Year 2028-29, he must report all foreign assets in Schedule FA.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RNOR status depends on facts in earlier years. Compute it carefully for each year; a mistake can expose foreign income to Indian tax or cause failure to report foreign assets.</w:t>
            </w:r>
          </w:p>
        </w:tc>
      </w:tr>
    </w:tbl>
    <w:p>
      <w:pPr>
        <w:pStyle w:val="Heading1"/>
        <w:pageBreakBefore/>
        <w:spacing w:after="200" w:before="0"/>
      </w:pPr>
      <w:r>
        <w:rPr>
          <w:rFonts w:ascii="Verdana" w:cs="Verdana" w:eastAsia="Verdana" w:hAnsi="Verdana"/>
        </w:rPr>
        <w:t xml:space="preserve">63. Case Study 16: Partition of an HUF</w:t>
      </w:r>
    </w:p>
    <w:p>
      <w:pPr>
        <w:spacing w:after="120" w:line="276"/>
        <w:jc w:val="both"/>
      </w:pPr>
      <w:r>
        <w:rPr>
          <w:rFonts w:ascii="Verdana" w:cs="Verdana" w:eastAsia="Verdana" w:hAnsi="Verdana"/>
          <w:b/>
          <w:bCs/>
        </w:rPr>
        <w:t xml:space="preserve">Facts.</w:t>
      </w:r>
      <w:r>
        <w:rPr>
          <w:rFonts w:ascii="Verdana" w:cs="Verdana" w:eastAsia="Verdana" w:hAnsi="Verdana"/>
        </w:rPr>
        <w:t xml:space="preserve"> The Sharma HUF, with karta Ramesh, his wife and two adult sons as members, owns commercial property and investments yielding total income of Rs. 18 lakh a year (after house property deductions). In Tax Year 2026-27 the family effects a </w:t>
      </w:r>
      <w:r>
        <w:rPr>
          <w:rFonts w:ascii="Verdana" w:cs="Verdana" w:eastAsia="Verdana" w:hAnsi="Verdana"/>
          <w:b/>
          <w:bCs/>
        </w:rPr>
        <w:t xml:space="preserve">total partition</w:t>
      </w:r>
      <w:r>
        <w:rPr>
          <w:rFonts w:ascii="Verdana" w:cs="Verdana" w:eastAsia="Verdana" w:hAnsi="Verdana"/>
        </w:rPr>
        <w:t xml:space="preserve">, dividing the assets equally among the four members.</w:t>
      </w:r>
    </w:p>
    <w:p>
      <w:pPr>
        <w:pStyle w:val="Heading2"/>
        <w:keepNext/>
        <w:spacing w:after="120" w:before="240"/>
      </w:pPr>
      <w:r>
        <w:rPr>
          <w:rFonts w:ascii="Verdana" w:cs="Verdana" w:eastAsia="Verdana" w:hAnsi="Verdana"/>
        </w:rPr>
        <w:t xml:space="preserve">63.1 Tax before partition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HUF total income (new regime)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20,000 + 40,000 + 60,000 + 20% of 2,00,000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6,400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Annual tax of the HUF</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1,66,400</w:t>
            </w:r>
          </w:p>
        </w:tc>
      </w:tr>
    </w:tbl>
    <w:p>
      <w:pPr>
        <w:spacing w:after="60"/>
      </w:pPr>
    </w:p>
    <w:p>
      <w:pPr>
        <w:pStyle w:val="Heading2"/>
        <w:keepNext/>
        <w:spacing w:after="120" w:before="240"/>
      </w:pPr>
      <w:r>
        <w:rPr>
          <w:rFonts w:ascii="Verdana" w:cs="Verdana" w:eastAsia="Verdana" w:hAnsi="Verdana"/>
        </w:rPr>
        <w:t xml:space="preserve">63.2 Tax after partition</w:t>
      </w:r>
    </w:p>
    <w:p>
      <w:pPr>
        <w:spacing w:after="120" w:line="276"/>
        <w:jc w:val="both"/>
      </w:pPr>
      <w:r>
        <w:rPr>
          <w:rFonts w:ascii="Verdana" w:cs="Verdana" w:eastAsia="Verdana" w:hAnsi="Verdana"/>
        </w:rPr>
        <w:t xml:space="preserve">Each member receives assets yielding about Rs. 4.5 lakh a year. As resident individuals in the new regime, each member's tax on Rs. 4.5 lakh (Rs. 2,500) is covered by the section 156 rebate, provided they have no other income taking them above Rs. 12 lakh. Total tax falls from </w:t>
      </w:r>
      <w:r>
        <w:rPr>
          <w:rFonts w:ascii="Verdana" w:cs="Verdana" w:eastAsia="Verdana" w:hAnsi="Verdana"/>
          <w:b/>
          <w:bCs/>
        </w:rPr>
        <w:t xml:space="preserve">Rs. 1,66,400 to nil</w:t>
      </w:r>
      <w:r>
        <w:rPr>
          <w:rFonts w:ascii="Verdana" w:cs="Verdana" w:eastAsia="Verdana" w:hAnsi="Verdana"/>
        </w:rPr>
        <w:t xml:space="preserve">, assuming each member's other income is modest.</w:t>
      </w:r>
    </w:p>
    <w:p>
      <w:pPr>
        <w:pStyle w:val="Heading2"/>
        <w:keepNext/>
        <w:spacing w:after="120" w:before="240"/>
      </w:pPr>
      <w:r>
        <w:rPr>
          <w:rFonts w:ascii="Verdana" w:cs="Verdana" w:eastAsia="Verdana" w:hAnsi="Verdana"/>
        </w:rPr>
        <w:t xml:space="preserve">63.3 Points to check</w:t>
      </w:r>
    </w:p>
    <w:p>
      <w:pPr>
        <w:pStyle w:val="ListParagraph"/>
        <w:numPr>
          <w:ilvl w:val="0"/>
          <w:numId w:val="2"/>
        </w:numPr>
        <w:spacing w:after="60" w:line="264"/>
      </w:pPr>
      <w:r>
        <w:rPr>
          <w:rFonts w:ascii="Verdana" w:cs="Verdana" w:eastAsia="Verdana" w:hAnsi="Verdana"/>
        </w:rPr>
        <w:t xml:space="preserve">The partition must be a </w:t>
      </w:r>
      <w:r>
        <w:rPr>
          <w:rFonts w:ascii="Verdana" w:cs="Verdana" w:eastAsia="Verdana" w:hAnsi="Verdana"/>
          <w:b/>
          <w:bCs/>
        </w:rPr>
        <w:t xml:space="preserve">total</w:t>
      </w:r>
      <w:r>
        <w:rPr>
          <w:rFonts w:ascii="Verdana" w:cs="Verdana" w:eastAsia="Verdana" w:hAnsi="Verdana"/>
        </w:rPr>
        <w:t xml:space="preserve"> partition, recognised by the Assessing Officer after inquiry; partial partitions are ignored for tax.</w:t>
      </w:r>
    </w:p>
    <w:p>
      <w:pPr>
        <w:pStyle w:val="ListParagraph"/>
        <w:numPr>
          <w:ilvl w:val="0"/>
          <w:numId w:val="2"/>
        </w:numPr>
        <w:spacing w:after="60" w:line="264"/>
      </w:pPr>
      <w:r>
        <w:rPr>
          <w:rFonts w:ascii="Verdana" w:cs="Verdana" w:eastAsia="Verdana" w:hAnsi="Verdana"/>
        </w:rPr>
        <w:t xml:space="preserve">Distribution of assets on total partition is not a transfer, so no capital gains arise; each member takes the HUF's cost and holding period.</w:t>
      </w:r>
    </w:p>
    <w:p>
      <w:pPr>
        <w:pStyle w:val="ListParagraph"/>
        <w:numPr>
          <w:ilvl w:val="0"/>
          <w:numId w:val="2"/>
        </w:numPr>
        <w:spacing w:after="60" w:line="264"/>
      </w:pPr>
      <w:r>
        <w:rPr>
          <w:rFonts w:ascii="Verdana" w:cs="Verdana" w:eastAsia="Verdana" w:hAnsi="Verdana"/>
        </w:rPr>
        <w:t xml:space="preserve">Income from the wife's share is her own income; clubbing does not apply because she received it on partition as a member, not by transfer from her husband (unless the property was originally converted by her husband into HUF property).</w:t>
      </w:r>
    </w:p>
    <w:p>
      <w:pPr>
        <w:pStyle w:val="ListParagraph"/>
        <w:numPr>
          <w:ilvl w:val="0"/>
          <w:numId w:val="2"/>
        </w:numPr>
        <w:spacing w:after="60" w:line="264"/>
      </w:pPr>
      <w:r>
        <w:rPr>
          <w:rFonts w:ascii="Verdana" w:cs="Verdana" w:eastAsia="Verdana" w:hAnsi="Verdana"/>
        </w:rPr>
        <w:t xml:space="preserve">Stamp duty and registration on a partition deed are governed by state law.</w:t>
      </w:r>
    </w:p>
    <w:p>
      <w:pPr>
        <w:pStyle w:val="ListParagraph"/>
        <w:numPr>
          <w:ilvl w:val="0"/>
          <w:numId w:val="2"/>
        </w:numPr>
        <w:spacing w:after="60" w:line="264"/>
      </w:pPr>
      <w:r>
        <w:rPr>
          <w:rFonts w:ascii="Verdana" w:cs="Verdana" w:eastAsia="Verdana" w:hAnsi="Verdana"/>
        </w:rPr>
        <w:t xml:space="preserve">After partition, the HUF's PAN is not used; the final return of the HUF covers income up to the date of partition.</w:t>
      </w:r>
    </w:p>
    <w:p>
      <w:pPr>
        <w:pStyle w:val="TocPart"/>
        <w:pageBreakBefore/>
        <w:shd w:fill="92400E" w:color="auto" w:val="clear"/>
        <w:spacing w:after="0" w:before="0"/>
        <w:ind w:left="0"/>
      </w:pPr>
      <w:r>
        <w:rPr>
          <w:rFonts w:ascii="Verdana" w:cs="Verdana" w:eastAsia="Verdana" w:hAnsi="Verdana"/>
          <w:b/>
          <w:bCs/>
          <w:color w:val="FFFFFF"/>
          <w:sz w:val="26"/>
          <w:szCs w:val="26"/>
        </w:rPr>
        <w:t xml:space="preserve">  APPENDICES</w:t>
      </w:r>
    </w:p>
    <w:p>
      <w:pPr>
        <w:shd w:fill="F6E8D2" w:color="auto" w:val="clear"/>
        <w:spacing w:after="200"/>
      </w:pPr>
      <w:r>
        <w:rPr>
          <w:rFonts w:ascii="Verdana" w:cs="Verdana" w:eastAsia="Verdana" w:hAnsi="Verdana"/>
          <w:i/>
          <w:iCs/>
          <w:color w:val="92400E"/>
          <w:sz w:val="20"/>
          <w:szCs w:val="20"/>
        </w:rPr>
        <w:t xml:space="preserve">  Quick reference tables, calendar, practice questions, checklist and glossary</w:t>
      </w:r>
    </w:p>
    <w:p>
      <w:pPr>
        <w:spacing w:after="240" w:line="276"/>
        <w:jc w:val="both"/>
      </w:pPr>
      <w:r>
        <w:rPr>
          <w:rFonts w:ascii="Verdana" w:cs="Verdana" w:eastAsia="Verdana" w:hAnsi="Verdana"/>
          <w:i/>
          <w:iCs/>
          <w:color w:val="404040"/>
          <w:sz w:val="21"/>
          <w:szCs w:val="21"/>
        </w:rPr>
        <w:t xml:space="preserve">The appendices are for quick reference: section mapping, calendar, practice questions, checklists, landmark rulings, glossary, rates at a glance, specimen formats and a section index.</w:t>
      </w:r>
    </w:p>
    <w:p>
      <w:pPr>
        <w:pStyle w:val="Heading1"/>
        <w:spacing w:after="200" w:before="120"/>
      </w:pPr>
      <w:r>
        <w:rPr>
          <w:rFonts w:ascii="Verdana" w:cs="Verdana" w:eastAsia="Verdana" w:hAnsi="Verdana"/>
        </w:rPr>
        <w:t xml:space="preserve">Appendix A: Section Mapping, 1961 Act to 2025 Act</w:t>
      </w:r>
    </w:p>
    <w:p>
      <w:pPr>
        <w:spacing w:after="120" w:line="276"/>
        <w:jc w:val="both"/>
      </w:pPr>
      <w:r>
        <w:rPr>
          <w:rFonts w:ascii="Verdana" w:cs="Verdana" w:eastAsia="Verdana" w:hAnsi="Verdana"/>
        </w:rPr>
        <w:t xml:space="preserve">The sections used most often in practice. For any section not listed, use the mapping utility on the Income Tax Department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2800"/>
        <w:gridCol w:w="2600"/>
      </w:tblGrid>
      <w:tr>
        <w:trPr>
          <w:cantSplit/>
          <w:tblHeader/>
        </w:trPr>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Topic</w:t>
            </w:r>
          </w:p>
        </w:tc>
        <w:tc>
          <w:tcPr>
            <w:tcW w:type="dxa" w:w="2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(1961)</w:t>
            </w:r>
          </w:p>
        </w:tc>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(2025)</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Definitions / Tax Year / Charge / Scope / Residence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 / 3 / 4 / 5 / 6</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 / 3 / 4 / 5 / 6</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accrual in India</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 with Schedule I</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income / Expense for exempt income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 14A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 with Schedules II to VII / 14</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 Perquisites / Deductions from salary</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17 / 17(2) / 16, 10(10) etc.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16 / 17 / 19</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 charge / annual value / deductions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 / 23 / 24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 21 / 22</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 / Depreciation / General deduction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 / 32 / 37</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 / 33 / 34</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Employee welfare / Bad debts / Other deductions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 (various)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 / 31 / 32</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Disallowances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 / 40A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 / 36</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basis / Deemed profits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43B / 41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 / 38</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Preliminary expenses / Scientific research / Specified business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35D / 35 / 35AD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 / 45 / 46</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Amalgamation and VRS expenses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35DD / 35DDA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52</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Stock-in-trade sold below stamp value / Construction contracts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43CA / 43CB</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53 / 57</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residents / non-residents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44AD, 44ADA, 44AE / 44B, 44BB etc.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58 / 61</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and FTS of non-residents / Head office expenses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44DA / 44C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59 / 60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Books / Tax audit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44AA / 44AB</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62 / 63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charge / Not transfer / Computation / Cost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 / 47 / 48 / 49</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67 / 70 / 72 / 73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Depreciable assets / Slump sale / Stamp value / Unquoted shares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 50B / 50C / 50CA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74 / 77 / 78 / 79</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Exemptions 54 / 54B / 54EC / 54F</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54 / 54B / 54EC / 54F</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82 / 83 / 85 / 86</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sources / Deductions / Not deductible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56 / 57 / 58</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 / 93 / 94</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Clubbing</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Unexplained credits / investments / assets / expenditure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68 / 69 / 69A / 69C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102 / 103 / 104 / 105</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off same head / other heads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70 / 71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108 / 109</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Carry forward: house property / business / capital loss / speculation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71B / 72 / 74 / 73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110 / 112 / 111 / 113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Losses in amalgamation / Closely held companies / Loss return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72A / 79 / 80</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116 / 119 / 121</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80C / 80CCD / 80D / 80E / 80G</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80C / 80CCD / 80D / 80E / 80G</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123 / 124 / 126 / 129 / 133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80-IAC / 80JJAA / 80LA / 80M</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80-IAC / 80JJAA / 80LA / 80M</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140 / 146 / 147 / 148</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80GG / 80TTA and 80TTB / 80U</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80GG / 80TTA, 80TTB / 80U</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134 / 153 / 154</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Rebate / Relief for arrears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87A / 89</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156 / 157</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DTAA relief / Unilateral relief</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90, 90A / 91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159 / 160</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 to 92F</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161 to 173</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to non-residents / Bond washing / NJA / Thin cap</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93 / 94 / 94A / 94B</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174 / 175 / 176 / 177</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GAAR</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95 to 102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Chapter on GAAR (consequences in 181)</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equity / LTCG / LTCG equity</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111A / 112 / 112A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196 / 197 / 198</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Company regimes: manufacturing / concessional / new manufacturing</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115BA / 115BAA / 115BAB</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199 / 200 / 201</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tax regime (individuals etc.)</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115BAC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 AMT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115JB / 115JC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206(1) / 206(2)</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 rates on dividend, interest, royalty, FTS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115A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207</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PAN / Return / Self assessment / Updated return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139A / 139 / 140A / 140B</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262 / 263 / 266 / 267</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Inquiry / Assessment / Best judgment / Faceless / DRP</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142(1) / 143 / 144 / 144B / 144C</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268 / 270 / 271 / 273 / 275</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Reassessment / Notice / Procedure / Time limit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147 / 148 / 148A / 149</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279 / 280 / 281 / 282</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salary / other TDS / TCS / Lower deduction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192 / 193 to 195 / 206C / 197</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392 / 393 / 394 / 395</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234A / 234B / 234C / 234D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234A / 234B / 234C / 234D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423 / 424 / 425 / 426</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Fees 234E / 234F / Interest on refund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234E / 234F / 244A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427 / 428 / 437</w:t>
            </w:r>
          </w:p>
        </w:tc>
      </w:tr>
      <w:tr>
        <w:trPr>
          <w:cantSplit/>
        </w:trP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for under-reporting / Repeal and savings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270A / 297</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439 / 536</w:t>
            </w:r>
          </w:p>
        </w:tc>
      </w:tr>
    </w:tbl>
    <w:p>
      <w:pPr>
        <w:pStyle w:val="Heading1"/>
        <w:pageBreakBefore/>
        <w:spacing w:after="200" w:before="0"/>
      </w:pPr>
      <w:r>
        <w:rPr>
          <w:rFonts w:ascii="Verdana" w:cs="Verdana" w:eastAsia="Verdana" w:hAnsi="Verdana"/>
        </w:rPr>
        <w:t xml:space="preserve">Appendix B: Compliance Calendar for Tax Year 2026-27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Date</w:t>
            </w:r>
          </w:p>
        </w:tc>
        <w:tc>
          <w:tcPr>
            <w:tcW w:type="dxa" w:w="6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Compliance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7th of every month</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Deposit TDS and TCS for the previous month</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June 2026</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First advance tax instalment (15%)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July 2026</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and TCS statements for April to June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September 2026</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Second advance tax instalment (45%)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October 2026</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and TCS statements for July to September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December 2026</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Third advance tax instalment (75%)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January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and TCS statements for October to December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March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 advance tax (100%); presumptive cases pay in full</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March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Tax-saving investments (old regime); MSME payments within MSMED time limits; year-end TP benchmarking review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April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Deposit TDS for March 2027</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May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and TCS statements for January to March; statement of financial transactions (Form 165)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June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Issue Form 130 to employees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July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individuals without business income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August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non-audit business and profession cases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September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audit report (Form 26); last date for dividend distribution to claim section 148</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October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audit cases and companies; TP report (Form 48)</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November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transfer pricing cases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December 2027</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Belated return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March 2028</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Revised return; CbCR (Form 59) where applicable</w:t>
            </w:r>
          </w:p>
        </w:tc>
      </w:tr>
    </w:tbl>
    <w:p>
      <w:pPr>
        <w:spacing w:after="60"/>
      </w:pPr>
    </w:p>
    <w:p>
      <w:pPr>
        <w:spacing w:after="120" w:line="276"/>
        <w:jc w:val="both"/>
      </w:pPr>
      <w:r>
        <w:rPr>
          <w:rFonts w:ascii="Verdana" w:cs="Verdana" w:eastAsia="Verdana" w:hAnsi="Verdana"/>
          <w:i/>
          <w:iCs/>
          <w:sz w:val="20"/>
          <w:szCs w:val="20"/>
        </w:rPr>
        <w:t xml:space="preserve">The CBDT often extends due dates by notification. Check the portal before each deadline.</w:t>
      </w:r>
    </w:p>
    <w:p>
      <w:pPr>
        <w:pStyle w:val="Heading1"/>
        <w:pageBreakBefore/>
        <w:spacing w:after="200" w:before="0"/>
      </w:pPr>
      <w:r>
        <w:rPr>
          <w:rFonts w:ascii="Verdana" w:cs="Verdana" w:eastAsia="Verdana" w:hAnsi="Verdana"/>
        </w:rPr>
        <w:t xml:space="preserve">Appendix C: Practice Questions with Answers</w:t>
      </w:r>
    </w:p>
    <w:p>
      <w:pPr>
        <w:keepNext/>
        <w:spacing w:after="50" w:before="140"/>
      </w:pPr>
      <w:r>
        <w:rPr>
          <w:rFonts w:ascii="Verdana" w:cs="Verdana" w:eastAsia="Verdana" w:hAnsi="Verdana"/>
          <w:b/>
          <w:bCs/>
        </w:rPr>
        <w:t xml:space="preserve">Q1.</w:t>
      </w:r>
      <w:r>
        <w:rPr>
          <w:rFonts w:ascii="Verdana" w:cs="Verdana" w:eastAsia="Verdana" w:hAnsi="Verdana"/>
        </w:rPr>
        <w:t xml:space="preserve"> A company pays Rs. 45,000 as professional fees to a lawyer in one bill. Is TDS required?</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The threshold is Rs. 50,000 in the year. If another bill of Rs. 10,000 comes later, the total becomes Rs. 55,000 and TDS at 10% applies on the full Rs. 55,000.</w:t>
      </w:r>
    </w:p>
    <w:p>
      <w:pPr>
        <w:keepNext/>
        <w:spacing w:after="50" w:before="140"/>
      </w:pPr>
      <w:r>
        <w:rPr>
          <w:rFonts w:ascii="Verdana" w:cs="Verdana" w:eastAsia="Verdana" w:hAnsi="Verdana"/>
          <w:b/>
          <w:bCs/>
        </w:rPr>
        <w:t xml:space="preserve">Q2.</w:t>
      </w:r>
      <w:r>
        <w:rPr>
          <w:rFonts w:ascii="Verdana" w:cs="Verdana" w:eastAsia="Verdana" w:hAnsi="Verdana"/>
        </w:rPr>
        <w:t xml:space="preserve"> What is the new section for old section 44AB, and which form replaces Form 3CD?</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Section 63. The audit report is Form 26.</w:t>
      </w:r>
    </w:p>
    <w:p>
      <w:pPr>
        <w:keepNext/>
        <w:spacing w:after="50" w:before="140"/>
      </w:pPr>
      <w:r>
        <w:rPr>
          <w:rFonts w:ascii="Verdana" w:cs="Verdana" w:eastAsia="Verdana" w:hAnsi="Verdana"/>
          <w:b/>
          <w:bCs/>
        </w:rPr>
        <w:t xml:space="preserve">Q3.</w:t>
      </w:r>
      <w:r>
        <w:rPr>
          <w:rFonts w:ascii="Verdana" w:cs="Verdana" w:eastAsia="Verdana" w:hAnsi="Verdana"/>
        </w:rPr>
        <w:t xml:space="preserve"> Salary of Rs. 12,70,000 and no other income, new regime. Tax?</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Nil. After the Rs. 75,000 standard deduction, income is Rs. 11,95,000, below Rs. 12 lakh, so the section 156 rebate covers the tax.</w:t>
      </w:r>
    </w:p>
    <w:p>
      <w:pPr>
        <w:keepNext/>
        <w:spacing w:after="50" w:before="140"/>
      </w:pPr>
      <w:r>
        <w:rPr>
          <w:rFonts w:ascii="Verdana" w:cs="Verdana" w:eastAsia="Verdana" w:hAnsi="Verdana"/>
          <w:b/>
          <w:bCs/>
        </w:rPr>
        <w:t xml:space="preserve">Q4.</w:t>
      </w:r>
      <w:r>
        <w:rPr>
          <w:rFonts w:ascii="Verdana" w:cs="Verdana" w:eastAsia="Verdana" w:hAnsi="Verdana"/>
        </w:rPr>
        <w:t xml:space="preserve"> Total income of Rs. 12,30,000 in the new regime. Tax?</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Normal tax is Rs. 64,500. Income above Rs. 12 lakh is Rs. 30,000, so marginal relief limits tax to Rs. 30,000 plus cess = Rs. 31,200.</w:t>
      </w:r>
    </w:p>
    <w:p>
      <w:pPr>
        <w:keepNext/>
        <w:spacing w:after="50" w:before="140"/>
      </w:pPr>
      <w:r>
        <w:rPr>
          <w:rFonts w:ascii="Verdana" w:cs="Verdana" w:eastAsia="Verdana" w:hAnsi="Verdana"/>
          <w:b/>
          <w:bCs/>
        </w:rPr>
        <w:t xml:space="preserve">Q5.</w:t>
      </w:r>
      <w:r>
        <w:rPr>
          <w:rFonts w:ascii="Verdana" w:cs="Verdana" w:eastAsia="Verdana" w:hAnsi="Verdana"/>
        </w:rPr>
        <w:t xml:space="preserve"> House property loss of Rs. 1,50,000 and salary of Rs. 18 lakh in the new regime. Set off?</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In the new regime house property loss cannot be set off against any other head.</w:t>
      </w:r>
    </w:p>
    <w:p>
      <w:pPr>
        <w:keepNext/>
        <w:spacing w:after="50" w:before="140"/>
      </w:pPr>
      <w:r>
        <w:rPr>
          <w:rFonts w:ascii="Verdana" w:cs="Verdana" w:eastAsia="Verdana" w:hAnsi="Verdana"/>
          <w:b/>
          <w:bCs/>
        </w:rPr>
        <w:t xml:space="preserve">Q6.</w:t>
      </w:r>
      <w:r>
        <w:rPr>
          <w:rFonts w:ascii="Verdana" w:cs="Verdana" w:eastAsia="Verdana" w:hAnsi="Verdana"/>
        </w:rPr>
        <w:t xml:space="preserve"> A firm starts business on 1 January 2027. First tax year?</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1 January 2027 to 31 March 2027 (Tax Year 2026-27).</w:t>
      </w:r>
    </w:p>
    <w:p>
      <w:pPr>
        <w:keepNext/>
        <w:spacing w:after="50" w:before="140"/>
      </w:pPr>
      <w:r>
        <w:rPr>
          <w:rFonts w:ascii="Verdana" w:cs="Verdana" w:eastAsia="Verdana" w:hAnsi="Verdana"/>
          <w:b/>
          <w:bCs/>
        </w:rPr>
        <w:t xml:space="preserve">Q7.</w:t>
      </w:r>
      <w:r>
        <w:rPr>
          <w:rFonts w:ascii="Verdana" w:cs="Verdana" w:eastAsia="Verdana" w:hAnsi="Verdana"/>
        </w:rPr>
        <w:t xml:space="preserve"> Stamp duty value Rs. 88 lakh, sale price Rs. 78 lakh. Which value?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88 is 112.8% of 78, above 110%, so Rs. 88 lakh is taken (section 78).</w:t>
      </w:r>
    </w:p>
    <w:p>
      <w:pPr>
        <w:keepNext/>
        <w:spacing w:after="50" w:before="140"/>
      </w:pPr>
      <w:r>
        <w:rPr>
          <w:rFonts w:ascii="Verdana" w:cs="Verdana" w:eastAsia="Verdana" w:hAnsi="Verdana"/>
          <w:b/>
          <w:bCs/>
        </w:rPr>
        <w:t xml:space="preserve">Q8.</w:t>
      </w:r>
      <w:r>
        <w:rPr>
          <w:rFonts w:ascii="Verdana" w:cs="Verdana" w:eastAsia="Verdana" w:hAnsi="Verdana"/>
        </w:rPr>
        <w:t xml:space="preserve"> Friends gift Rs. 49,000 and Rs. 5,000. Taxable amount?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Rs. 54,000, since the aggregate exceeds Rs. 50,000 (section 92).</w:t>
      </w:r>
    </w:p>
    <w:p>
      <w:pPr>
        <w:keepNext/>
        <w:spacing w:after="50" w:before="140"/>
      </w:pPr>
      <w:r>
        <w:rPr>
          <w:rFonts w:ascii="Verdana" w:cs="Verdana" w:eastAsia="Verdana" w:hAnsi="Verdana"/>
          <w:b/>
          <w:bCs/>
        </w:rPr>
        <w:t xml:space="preserve">Q9.</w:t>
      </w:r>
      <w:r>
        <w:rPr>
          <w:rFonts w:ascii="Verdana" w:cs="Verdana" w:eastAsia="Verdana" w:hAnsi="Verdana"/>
        </w:rPr>
        <w:t xml:space="preserve"> Business loss for Tax Year 2026-27 in a return filed on 15 January 2028. Carry forward?</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Section 121 requires the return by the due date.</w:t>
      </w:r>
    </w:p>
    <w:p>
      <w:pPr>
        <w:keepNext/>
        <w:spacing w:after="50" w:before="140"/>
      </w:pPr>
      <w:r>
        <w:rPr>
          <w:rFonts w:ascii="Verdana" w:cs="Verdana" w:eastAsia="Verdana" w:hAnsi="Verdana"/>
          <w:b/>
          <w:bCs/>
        </w:rPr>
        <w:t xml:space="preserve">Q10.</w:t>
      </w:r>
      <w:r>
        <w:rPr>
          <w:rFonts w:ascii="Verdana" w:cs="Verdana" w:eastAsia="Verdana" w:hAnsi="Verdana"/>
        </w:rPr>
        <w:t xml:space="preserve"> Form for TDS on purchase of a flat in October 2026?</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Form 141 (old 26QB); certificate in Form 132.</w:t>
      </w:r>
    </w:p>
    <w:p>
      <w:pPr>
        <w:keepNext/>
        <w:spacing w:after="50" w:before="140"/>
      </w:pPr>
      <w:r>
        <w:rPr>
          <w:rFonts w:ascii="Verdana" w:cs="Verdana" w:eastAsia="Verdana" w:hAnsi="Verdana"/>
          <w:b/>
          <w:bCs/>
        </w:rPr>
        <w:t xml:space="preserve">Q11.</w:t>
      </w:r>
      <w:r>
        <w:rPr>
          <w:rFonts w:ascii="Verdana" w:cs="Verdana" w:eastAsia="Verdana" w:hAnsi="Verdana"/>
        </w:rPr>
        <w:t xml:space="preserve"> LTCG on listed shares Rs. 1,00,000 and STCG Rs. 50,000; other income Rs. 9 lakh (new regime). Tax on gains?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LTCG is within Rs. 1,25,000, so nil. STCG at 20% = Rs. 10,000 plus cess. No section 156 rebate against it.</w:t>
      </w:r>
    </w:p>
    <w:p>
      <w:pPr>
        <w:keepNext/>
        <w:spacing w:after="50" w:before="140"/>
      </w:pPr>
      <w:r>
        <w:rPr>
          <w:rFonts w:ascii="Verdana" w:cs="Verdana" w:eastAsia="Verdana" w:hAnsi="Verdana"/>
          <w:b/>
          <w:bCs/>
        </w:rPr>
        <w:t xml:space="preserve">Q12.</w:t>
      </w:r>
      <w:r>
        <w:rPr>
          <w:rFonts w:ascii="Verdana" w:cs="Verdana" w:eastAsia="Verdana" w:hAnsi="Verdana"/>
        </w:rPr>
        <w:t xml:space="preserve"> TDS of Rs. 20,000 due in July 2026 deducted in October 2026. Interest?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1% a month for 4 months = Rs. 800.</w:t>
      </w:r>
    </w:p>
    <w:p>
      <w:pPr>
        <w:keepNext/>
        <w:spacing w:after="50" w:before="140"/>
      </w:pPr>
      <w:r>
        <w:rPr>
          <w:rFonts w:ascii="Verdana" w:cs="Verdana" w:eastAsia="Verdana" w:hAnsi="Verdana"/>
          <w:b/>
          <w:bCs/>
        </w:rPr>
        <w:t xml:space="preserve">Q13.</w:t>
      </w:r>
      <w:r>
        <w:rPr>
          <w:rFonts w:ascii="Verdana" w:cs="Verdana" w:eastAsia="Verdana" w:hAnsi="Verdana"/>
        </w:rPr>
        <w:t xml:space="preserve"> A company in the normal regime has normal tax of Rs. 2 crore and MAT of Rs. 2.5 crore for Tax Year 2026-27. What does it pay and what credit arises?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It pays Rs. 2.5 crore. From Tax Year 2026-27, MAT is a final tax, so no new credit arises.</w:t>
      </w:r>
    </w:p>
    <w:p>
      <w:pPr>
        <w:keepNext/>
        <w:spacing w:after="50" w:before="140"/>
      </w:pPr>
      <w:r>
        <w:rPr>
          <w:rFonts w:ascii="Verdana" w:cs="Verdana" w:eastAsia="Verdana" w:hAnsi="Verdana"/>
          <w:b/>
          <w:bCs/>
        </w:rPr>
        <w:t xml:space="preserve">Q14.</w:t>
      </w:r>
      <w:r>
        <w:rPr>
          <w:rFonts w:ascii="Verdana" w:cs="Verdana" w:eastAsia="Verdana" w:hAnsi="Verdana"/>
        </w:rPr>
        <w:t xml:space="preserve"> A closely held company has brought forward losses. 45% of its shares change hands. Can it set off the losses?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Yes. 55% of voting power is still held by the same persons, which meets the 51% test in section 119.</w:t>
      </w:r>
    </w:p>
    <w:p>
      <w:pPr>
        <w:keepNext/>
        <w:spacing w:after="50" w:before="140"/>
      </w:pPr>
      <w:r>
        <w:rPr>
          <w:rFonts w:ascii="Verdana" w:cs="Verdana" w:eastAsia="Verdana" w:hAnsi="Verdana"/>
          <w:b/>
          <w:bCs/>
        </w:rPr>
        <w:t xml:space="preserve">Q15.</w:t>
      </w:r>
      <w:r>
        <w:rPr>
          <w:rFonts w:ascii="Verdana" w:cs="Verdana" w:eastAsia="Verdana" w:hAnsi="Verdana"/>
        </w:rPr>
        <w:t xml:space="preserve"> Interest of Rs. 2 crore paid to a non-resident parent; EBITDA Rs. 5 crore. Deduction?</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Allowed 30% of EBITDA = Rs. 1.5 crore. Rs. 50 lakh is disallowed and carried forward for 8 years (section 177).</w:t>
      </w:r>
    </w:p>
    <w:p>
      <w:pPr>
        <w:keepNext/>
        <w:spacing w:after="50" w:before="140"/>
      </w:pPr>
      <w:r>
        <w:rPr>
          <w:rFonts w:ascii="Verdana" w:cs="Verdana" w:eastAsia="Verdana" w:hAnsi="Verdana"/>
          <w:b/>
          <w:bCs/>
        </w:rPr>
        <w:t xml:space="preserve">Q16.</w:t>
      </w:r>
      <w:r>
        <w:rPr>
          <w:rFonts w:ascii="Verdana" w:cs="Verdana" w:eastAsia="Verdana" w:hAnsi="Verdana"/>
        </w:rPr>
        <w:t xml:space="preserve"> Cost Rs. 100, price charged to AE Rs. 110. Four comparables give an arithmetic mean price of Rs. 112. Adjustment?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The difference is Rs. 2, which is 1.8% of Rs. 110, within the 3% tolerance, so no adjustment.</w:t>
      </w:r>
    </w:p>
    <w:p>
      <w:pPr>
        <w:keepNext/>
        <w:spacing w:after="50" w:before="140"/>
      </w:pPr>
      <w:r>
        <w:rPr>
          <w:rFonts w:ascii="Verdana" w:cs="Verdana" w:eastAsia="Verdana" w:hAnsi="Verdana"/>
          <w:b/>
          <w:bCs/>
        </w:rPr>
        <w:t xml:space="preserve">Q17.</w:t>
      </w:r>
      <w:r>
        <w:rPr>
          <w:rFonts w:ascii="Verdana" w:cs="Verdana" w:eastAsia="Verdana" w:hAnsi="Verdana"/>
        </w:rPr>
        <w:t xml:space="preserve"> Royalty to a foreign company: domestic rate 20% plus surcharge and cess, treaty rate 10%. TRC available. Withholding rate?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10%, the more beneficial treaty rate, with TRC and Form 41.</w:t>
      </w:r>
    </w:p>
    <w:p>
      <w:pPr>
        <w:keepNext/>
        <w:spacing w:after="50" w:before="140"/>
      </w:pPr>
      <w:r>
        <w:rPr>
          <w:rFonts w:ascii="Verdana" w:cs="Verdana" w:eastAsia="Verdana" w:hAnsi="Verdana"/>
          <w:b/>
          <w:bCs/>
        </w:rPr>
        <w:t xml:space="preserve">Q18.</w:t>
      </w:r>
      <w:r>
        <w:rPr>
          <w:rFonts w:ascii="Verdana" w:cs="Verdana" w:eastAsia="Verdana" w:hAnsi="Verdana"/>
        </w:rPr>
        <w:t xml:space="preserve"> Shares of a demerged company cost Rs. 8 lakh. The transferred undertaking is 25% of net worth. Cost of resulting company shares?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Rs. 2 lakh; the demerged company shares carry a cost of Rs. 6 lakh.</w:t>
      </w:r>
    </w:p>
    <w:p>
      <w:pPr>
        <w:keepNext/>
        <w:spacing w:after="50" w:before="140"/>
      </w:pPr>
      <w:r>
        <w:rPr>
          <w:rFonts w:ascii="Verdana" w:cs="Verdana" w:eastAsia="Verdana" w:hAnsi="Verdana"/>
          <w:b/>
          <w:bCs/>
        </w:rPr>
        <w:t xml:space="preserve">Q19.</w:t>
      </w:r>
      <w:r>
        <w:rPr>
          <w:rFonts w:ascii="Verdana" w:cs="Verdana" w:eastAsia="Verdana" w:hAnsi="Verdana"/>
        </w:rPr>
        <w:t xml:space="preserve"> An undertaking held for 30 months is sold by slump sale. Nature of gain?</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Short-term, because slump sale requires more than 36 months for long-term. Taxed at normal rates.</w:t>
      </w:r>
    </w:p>
    <w:p>
      <w:pPr>
        <w:keepNext/>
        <w:spacing w:after="50" w:before="140"/>
      </w:pPr>
      <w:r>
        <w:rPr>
          <w:rFonts w:ascii="Verdana" w:cs="Verdana" w:eastAsia="Verdana" w:hAnsi="Verdana"/>
          <w:b/>
          <w:bCs/>
        </w:rPr>
        <w:t xml:space="preserve">Q20.</w:t>
      </w:r>
      <w:r>
        <w:rPr>
          <w:rFonts w:ascii="Verdana" w:cs="Verdana" w:eastAsia="Verdana" w:hAnsi="Verdana"/>
        </w:rPr>
        <w:t xml:space="preserve"> A loss of Tax Year 2019-20 comes to the amalgamated company in a merger effective 1 April 2026. Last year for set off?</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Tax Year 2027-28, eight years after 2019-20.</w:t>
      </w:r>
    </w:p>
    <w:p>
      <w:pPr>
        <w:keepNext/>
        <w:spacing w:after="50" w:before="140"/>
      </w:pPr>
      <w:r>
        <w:rPr>
          <w:rFonts w:ascii="Verdana" w:cs="Verdana" w:eastAsia="Verdana" w:hAnsi="Verdana"/>
          <w:b/>
          <w:bCs/>
        </w:rPr>
        <w:t xml:space="preserve">Q21.</w:t>
      </w:r>
      <w:r>
        <w:rPr>
          <w:rFonts w:ascii="Verdana" w:cs="Verdana" w:eastAsia="Verdana" w:hAnsi="Verdana"/>
        </w:rPr>
        <w:t xml:space="preserve"> Book profit of a firm is Rs. 4,00,000. Maximum partner remuneration?</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Higher of Rs. 3,00,000 or 90% of Rs. 4,00,000 (Rs. 3,60,000) = Rs. 3,60,000.</w:t>
      </w:r>
    </w:p>
    <w:p>
      <w:pPr>
        <w:keepNext/>
        <w:spacing w:after="50" w:before="140"/>
      </w:pPr>
      <w:r>
        <w:rPr>
          <w:rFonts w:ascii="Verdana" w:cs="Verdana" w:eastAsia="Verdana" w:hAnsi="Verdana"/>
          <w:b/>
          <w:bCs/>
        </w:rPr>
        <w:t xml:space="preserve">Q22.</w:t>
      </w:r>
      <w:r>
        <w:rPr>
          <w:rFonts w:ascii="Verdana" w:cs="Verdana" w:eastAsia="Verdana" w:hAnsi="Verdana"/>
        </w:rPr>
        <w:t xml:space="preserve"> A foreign consultant is paid Rs. 5 lakh net of tax; combined rate 20.8%. Gross amount and TDS?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Gross = 5,00,000 / 0.792 = Rs. 6,31,313; TDS = Rs. 1,31,313.</w:t>
      </w:r>
    </w:p>
    <w:p>
      <w:pPr>
        <w:keepNext/>
        <w:spacing w:after="50" w:before="140"/>
      </w:pPr>
      <w:r>
        <w:rPr>
          <w:rFonts w:ascii="Verdana" w:cs="Verdana" w:eastAsia="Verdana" w:hAnsi="Verdana"/>
          <w:b/>
          <w:bCs/>
        </w:rPr>
        <w:t xml:space="preserve">Q23.</w:t>
      </w:r>
      <w:r>
        <w:rPr>
          <w:rFonts w:ascii="Verdana" w:cs="Verdana" w:eastAsia="Verdana" w:hAnsi="Verdana"/>
        </w:rPr>
        <w:t xml:space="preserve"> Anita works in Ahmedabad. Is her HRA exemption computed at 40% or 50% of salary from Tax Year 2026-27?</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50%. The Rules, 2026 added Ahmedabad, Bengaluru, Hyderabad and Pune to the 50% list.</w:t>
      </w:r>
    </w:p>
    <w:p>
      <w:pPr>
        <w:keepNext/>
        <w:spacing w:after="50" w:before="140"/>
      </w:pPr>
      <w:r>
        <w:rPr>
          <w:rFonts w:ascii="Verdana" w:cs="Verdana" w:eastAsia="Verdana" w:hAnsi="Verdana"/>
          <w:b/>
          <w:bCs/>
        </w:rPr>
        <w:t xml:space="preserve">Q24.</w:t>
      </w:r>
      <w:r>
        <w:rPr>
          <w:rFonts w:ascii="Verdana" w:cs="Verdana" w:eastAsia="Verdana" w:hAnsi="Verdana"/>
        </w:rPr>
        <w:t xml:space="preserve"> An employee receives gift vouchers worth Rs. 18,000 in the year. Taxable perquisite?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Rs. 18,000. The exemption applies only if the total is within Rs. 15,000; above that, the whole amount is taxable.</w:t>
      </w:r>
    </w:p>
    <w:p>
      <w:pPr>
        <w:keepNext/>
        <w:spacing w:after="50" w:before="140"/>
      </w:pPr>
      <w:r>
        <w:rPr>
          <w:rFonts w:ascii="Verdana" w:cs="Verdana" w:eastAsia="Verdana" w:hAnsi="Verdana"/>
          <w:b/>
          <w:bCs/>
        </w:rPr>
        <w:t xml:space="preserve">Q25.</w:t>
      </w:r>
      <w:r>
        <w:rPr>
          <w:rFonts w:ascii="Verdana" w:cs="Verdana" w:eastAsia="Verdana" w:hAnsi="Verdana"/>
        </w:rPr>
        <w:t xml:space="preserve"> Gratuity of Rs. 25 lakh to a private sector employee covered by the Gratuity Act, formula amount Rs. 22 lakh. Exempt amount?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Rs. 20 lakh, the statutory cap, as it is the least of 25, 22 and 20 lakh.</w:t>
      </w:r>
    </w:p>
    <w:p>
      <w:pPr>
        <w:keepNext/>
        <w:spacing w:after="50" w:before="140"/>
      </w:pPr>
      <w:r>
        <w:rPr>
          <w:rFonts w:ascii="Verdana" w:cs="Verdana" w:eastAsia="Verdana" w:hAnsi="Verdana"/>
          <w:b/>
          <w:bCs/>
        </w:rPr>
        <w:t xml:space="preserve">Q26.</w:t>
      </w:r>
      <w:r>
        <w:rPr>
          <w:rFonts w:ascii="Verdana" w:cs="Verdana" w:eastAsia="Verdana" w:hAnsi="Verdana"/>
        </w:rPr>
        <w:t xml:space="preserve"> Interest of Rs. 30 lakh on a loan taken to expand business, for the period before the new unit is put to use. Treatment?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Capitalise it as part of the cost of the asset (section 32); it is recovered through depreciation.</w:t>
      </w:r>
    </w:p>
    <w:p>
      <w:pPr>
        <w:keepNext/>
        <w:spacing w:after="50" w:before="140"/>
      </w:pPr>
      <w:r>
        <w:rPr>
          <w:rFonts w:ascii="Verdana" w:cs="Verdana" w:eastAsia="Verdana" w:hAnsi="Verdana"/>
          <w:b/>
          <w:bCs/>
        </w:rPr>
        <w:t xml:space="preserve">Q27.</w:t>
      </w:r>
      <w:r>
        <w:rPr>
          <w:rFonts w:ascii="Verdana" w:cs="Verdana" w:eastAsia="Verdana" w:hAnsi="Verdana"/>
        </w:rPr>
        <w:t xml:space="preserve"> A company's employees' PF contribution of March 2027 is deposited on 25 April 2027, after the PF due date of 15 April. Allowed?</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Employees' contribution deposited after the due date under the PF law is disallowed permanently (Checkmate Services).</w:t>
      </w:r>
    </w:p>
    <w:p>
      <w:pPr>
        <w:keepNext/>
        <w:spacing w:after="50" w:before="140"/>
      </w:pPr>
      <w:r>
        <w:rPr>
          <w:rFonts w:ascii="Verdana" w:cs="Verdana" w:eastAsia="Verdana" w:hAnsi="Verdana"/>
          <w:b/>
          <w:bCs/>
        </w:rPr>
        <w:t xml:space="preserve">Q28.</w:t>
      </w:r>
      <w:r>
        <w:rPr>
          <w:rFonts w:ascii="Verdana" w:cs="Verdana" w:eastAsia="Verdana" w:hAnsi="Verdana"/>
        </w:rPr>
        <w:t xml:space="preserve"> Book profit Rs. 20.5 crore, normal tax Rs. 2.8 crore (company in normal regime, turnover Rs. 250 crore). Which tax applies?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MAT at 14% with 12% surcharge and cess is Rs. 3.34 crore, which is higher, so MAT is payable, with no credit from Tax Year 2026-27.</w:t>
      </w:r>
    </w:p>
    <w:p>
      <w:pPr>
        <w:keepNext/>
        <w:spacing w:after="50" w:before="140"/>
      </w:pPr>
      <w:r>
        <w:rPr>
          <w:rFonts w:ascii="Verdana" w:cs="Verdana" w:eastAsia="Verdana" w:hAnsi="Verdana"/>
          <w:b/>
          <w:bCs/>
        </w:rPr>
        <w:t xml:space="preserve">Q29.</w:t>
      </w:r>
      <w:r>
        <w:rPr>
          <w:rFonts w:ascii="Verdana" w:cs="Verdana" w:eastAsia="Verdana" w:hAnsi="Verdana"/>
        </w:rPr>
        <w:t xml:space="preserve"> Eight comparables; the 3rd value is 12% and the 6th is 17%. Taxpayer margin 16%. Adjustment?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None. 16% lies within the 35th to 65th percentile range of 12% to 17%.</w:t>
      </w:r>
    </w:p>
    <w:p>
      <w:pPr>
        <w:keepNext/>
        <w:spacing w:after="50" w:before="140"/>
      </w:pPr>
      <w:r>
        <w:rPr>
          <w:rFonts w:ascii="Verdana" w:cs="Verdana" w:eastAsia="Verdana" w:hAnsi="Verdana"/>
          <w:b/>
          <w:bCs/>
        </w:rPr>
        <w:t xml:space="preserve">Q30.</w:t>
      </w:r>
      <w:r>
        <w:rPr>
          <w:rFonts w:ascii="Verdana" w:cs="Verdana" w:eastAsia="Verdana" w:hAnsi="Verdana"/>
        </w:rPr>
        <w:t xml:space="preserve"> An NRI sells a flat for Rs. 90 lakh. Can the buyer deduct 1% TDS?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For a non-resident seller, TDS is under section 393(2) at the capital gains rate with surcharge and cess, unless a lower deduction certificate is obtained.</w:t>
      </w:r>
    </w:p>
    <w:p>
      <w:pPr>
        <w:keepNext/>
        <w:spacing w:after="50" w:before="140"/>
      </w:pPr>
      <w:r>
        <w:rPr>
          <w:rFonts w:ascii="Verdana" w:cs="Verdana" w:eastAsia="Verdana" w:hAnsi="Verdana"/>
          <w:b/>
          <w:bCs/>
        </w:rPr>
        <w:t xml:space="preserve">Q31.</w:t>
      </w:r>
      <w:r>
        <w:rPr>
          <w:rFonts w:ascii="Verdana" w:cs="Verdana" w:eastAsia="Verdana" w:hAnsi="Verdana"/>
        </w:rPr>
        <w:t xml:space="preserve"> A US company provides a market research report to an Indian company. Is it FTS under the India-US treaty?</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Generally no, if no technical knowledge or skill is made available. It is business profit, taxable only if there is a PE.</w:t>
      </w:r>
    </w:p>
    <w:p>
      <w:pPr>
        <w:keepNext/>
        <w:spacing w:after="50" w:before="140"/>
      </w:pPr>
      <w:r>
        <w:rPr>
          <w:rFonts w:ascii="Verdana" w:cs="Verdana" w:eastAsia="Verdana" w:hAnsi="Verdana"/>
          <w:b/>
          <w:bCs/>
        </w:rPr>
        <w:t xml:space="preserve">Q32.</w:t>
      </w:r>
      <w:r>
        <w:rPr>
          <w:rFonts w:ascii="Verdana" w:cs="Verdana" w:eastAsia="Verdana" w:hAnsi="Verdana"/>
        </w:rPr>
        <w:t xml:space="preserve"> What is the block period in a search initiated on 10 January 2027?</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Six tax years before the year of search (2020-21 to 2025-26) and 1 April 2026 to the date of the last authorisation.</w:t>
      </w:r>
    </w:p>
    <w:p>
      <w:pPr>
        <w:keepNext/>
        <w:spacing w:after="50" w:before="140"/>
      </w:pPr>
      <w:r>
        <w:rPr>
          <w:rFonts w:ascii="Verdana" w:cs="Verdana" w:eastAsia="Verdana" w:hAnsi="Verdana"/>
          <w:b/>
          <w:bCs/>
        </w:rPr>
        <w:t xml:space="preserve">Q33.</w:t>
      </w:r>
      <w:r>
        <w:rPr>
          <w:rFonts w:ascii="Verdana" w:cs="Verdana" w:eastAsia="Verdana" w:hAnsi="Verdana"/>
        </w:rPr>
        <w:t xml:space="preserve"> What deposit is generally required for a stay of demand pending first appeal?</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20% of the disputed demand, as per CBDT instructions, with scope for a lower amount in suitable cases.</w:t>
      </w:r>
    </w:p>
    <w:p>
      <w:pPr>
        <w:keepNext/>
        <w:spacing w:after="50" w:before="140"/>
      </w:pPr>
      <w:r>
        <w:rPr>
          <w:rFonts w:ascii="Verdana" w:cs="Verdana" w:eastAsia="Verdana" w:hAnsi="Verdana"/>
          <w:b/>
          <w:bCs/>
        </w:rPr>
        <w:t xml:space="preserve">Q34.</w:t>
      </w:r>
      <w:r>
        <w:rPr>
          <w:rFonts w:ascii="Verdana" w:cs="Verdana" w:eastAsia="Verdana" w:hAnsi="Verdana"/>
        </w:rPr>
        <w:t xml:space="preserve"> A trust applies 80% of its income and does not file an accumulation form. Consequence?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The shortfall of 5% (to reach 85%) is taxable at 30%.</w:t>
      </w:r>
    </w:p>
    <w:p>
      <w:pPr>
        <w:keepNext/>
        <w:spacing w:after="50" w:before="140"/>
      </w:pPr>
      <w:r>
        <w:rPr>
          <w:rFonts w:ascii="Verdana" w:cs="Verdana" w:eastAsia="Verdana" w:hAnsi="Verdana"/>
          <w:b/>
          <w:bCs/>
        </w:rPr>
        <w:t xml:space="preserve">Q35.</w:t>
      </w:r>
      <w:r>
        <w:rPr>
          <w:rFonts w:ascii="Verdana" w:cs="Verdana" w:eastAsia="Verdana" w:hAnsi="Verdana"/>
        </w:rPr>
        <w:t xml:space="preserve"> A partner retires and receives Rs. 50 lakh; his capital account is Rs. 35 lakh. Who is taxed on Rs. 15 lakh?</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The firm, as capital gains, under the provision corresponding to old section 45(4).</w:t>
      </w:r>
    </w:p>
    <w:p>
      <w:pPr>
        <w:keepNext/>
        <w:spacing w:after="50" w:before="140"/>
      </w:pPr>
      <w:r>
        <w:rPr>
          <w:rFonts w:ascii="Verdana" w:cs="Verdana" w:eastAsia="Verdana" w:hAnsi="Verdana"/>
          <w:b/>
          <w:bCs/>
        </w:rPr>
        <w:t xml:space="preserve">Q36.</w:t>
      </w:r>
      <w:r>
        <w:rPr>
          <w:rFonts w:ascii="Verdana" w:cs="Verdana" w:eastAsia="Verdana" w:hAnsi="Verdana"/>
        </w:rPr>
        <w:t xml:space="preserve"> A resident has only Rs. 1,00,000 of other income and STCG on listed shares of Rs. 4,00,000 (new regime). Tax?</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Unused exemption is Rs. 3,00,000, so taxable STCG is Rs. 1,00,000 at 20% = Rs. 20,000 plus cess.</w:t>
      </w:r>
    </w:p>
    <w:p>
      <w:pPr>
        <w:keepNext/>
        <w:spacing w:after="50" w:before="140"/>
      </w:pPr>
      <w:r>
        <w:rPr>
          <w:rFonts w:ascii="Verdana" w:cs="Verdana" w:eastAsia="Verdana" w:hAnsi="Verdana"/>
          <w:b/>
          <w:bCs/>
        </w:rPr>
        <w:t xml:space="preserve">Q37.</w:t>
      </w:r>
      <w:r>
        <w:rPr>
          <w:rFonts w:ascii="Verdana" w:cs="Verdana" w:eastAsia="Verdana" w:hAnsi="Verdana"/>
        </w:rPr>
        <w:t xml:space="preserve"> A buyer pays a flat price of Rs. 48 lakh; stamp duty value is Rs. 52 lakh. TDS?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Yes. TDS applies on the higher of consideration and stamp value when the stamp value is Rs. 50 lakh or more: 1% of Rs. 52 lakh = Rs. 52,000.</w:t>
      </w:r>
    </w:p>
    <w:p>
      <w:pPr>
        <w:keepNext/>
        <w:spacing w:after="50" w:before="140"/>
      </w:pPr>
      <w:r>
        <w:rPr>
          <w:rFonts w:ascii="Verdana" w:cs="Verdana" w:eastAsia="Verdana" w:hAnsi="Verdana"/>
          <w:b/>
          <w:bCs/>
        </w:rPr>
        <w:t xml:space="preserve">Q38.</w:t>
      </w:r>
      <w:r>
        <w:rPr>
          <w:rFonts w:ascii="Verdana" w:cs="Verdana" w:eastAsia="Verdana" w:hAnsi="Verdana"/>
        </w:rPr>
        <w:t xml:space="preserve"> A credit co-operative society earns interest from a scheduled bank on surplus funds. Is it deductible under section 149?</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Generally no. Only interest from investments in other co-operative societies is covered; interest from commercial banks has been held taxable.</w:t>
      </w:r>
    </w:p>
    <w:p>
      <w:pPr>
        <w:keepNext/>
        <w:spacing w:after="50" w:before="140"/>
      </w:pPr>
      <w:r>
        <w:rPr>
          <w:rFonts w:ascii="Verdana" w:cs="Verdana" w:eastAsia="Verdana" w:hAnsi="Verdana"/>
          <w:b/>
          <w:bCs/>
        </w:rPr>
        <w:t xml:space="preserve">Q39.</w:t>
      </w:r>
      <w:r>
        <w:rPr>
          <w:rFonts w:ascii="Verdana" w:cs="Verdana" w:eastAsia="Verdana" w:hAnsi="Verdana"/>
        </w:rPr>
        <w:t xml:space="preserve"> A company claims ITC on GST paid on new machinery. What is the cost for depreciation?</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Cost excluding the GST for which ITC is claimed.</w:t>
      </w:r>
    </w:p>
    <w:p>
      <w:pPr>
        <w:keepNext/>
        <w:spacing w:after="50" w:before="140"/>
      </w:pPr>
      <w:r>
        <w:rPr>
          <w:rFonts w:ascii="Verdana" w:cs="Verdana" w:eastAsia="Verdana" w:hAnsi="Verdana"/>
          <w:b/>
          <w:bCs/>
        </w:rPr>
        <w:t xml:space="preserve">Q40.</w:t>
      </w:r>
      <w:r>
        <w:rPr>
          <w:rFonts w:ascii="Verdana" w:cs="Verdana" w:eastAsia="Verdana" w:hAnsi="Verdana"/>
        </w:rPr>
        <w:t xml:space="preserve"> Under Ind AS 116 a lessee books ROU depreciation and interest. What is deductible for tax?</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The lease rent paid; the ROU depreciation and interest are added back.</w:t>
      </w:r>
    </w:p>
    <w:p>
      <w:pPr>
        <w:keepNext/>
        <w:spacing w:after="50" w:before="140"/>
      </w:pPr>
      <w:r>
        <w:rPr>
          <w:rFonts w:ascii="Verdana" w:cs="Verdana" w:eastAsia="Verdana" w:hAnsi="Verdana"/>
          <w:b/>
          <w:bCs/>
        </w:rPr>
        <w:t xml:space="preserve">Q41.</w:t>
      </w:r>
      <w:r>
        <w:rPr>
          <w:rFonts w:ascii="Verdana" w:cs="Verdana" w:eastAsia="Verdana" w:hAnsi="Verdana"/>
        </w:rPr>
        <w:t xml:space="preserve"> Are freebies given by a pharmaceutical company to doctors deductible?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(Apex Laboratories, Supreme Court, 2022), since they are prohibited by the medical council regulations.</w:t>
      </w:r>
    </w:p>
    <w:p>
      <w:pPr>
        <w:keepNext/>
        <w:spacing w:after="50" w:before="140"/>
      </w:pPr>
      <w:r>
        <w:rPr>
          <w:rFonts w:ascii="Verdana" w:cs="Verdana" w:eastAsia="Verdana" w:hAnsi="Verdana"/>
          <w:b/>
          <w:bCs/>
        </w:rPr>
        <w:t xml:space="preserve">Q42.</w:t>
      </w:r>
      <w:r>
        <w:rPr>
          <w:rFonts w:ascii="Verdana" w:cs="Verdana" w:eastAsia="Verdana" w:hAnsi="Verdana"/>
        </w:rPr>
        <w:t xml:space="preserve"> Payments by a reverse mortgage bank to a senior citizen: taxable?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They are loan disbursements, and the mortgage is not a transfer.</w:t>
      </w:r>
    </w:p>
    <w:p>
      <w:pPr>
        <w:keepNext/>
        <w:spacing w:after="50" w:before="140"/>
      </w:pPr>
      <w:r>
        <w:rPr>
          <w:rFonts w:ascii="Verdana" w:cs="Verdana" w:eastAsia="Verdana" w:hAnsi="Verdana"/>
          <w:b/>
          <w:bCs/>
        </w:rPr>
        <w:t xml:space="preserve">Q43.</w:t>
      </w:r>
      <w:r>
        <w:rPr>
          <w:rFonts w:ascii="Verdana" w:cs="Verdana" w:eastAsia="Verdana" w:hAnsi="Verdana"/>
        </w:rPr>
        <w:t xml:space="preserve"> A discretionary family trust earns Rs. 10 lakh. Rate?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Maximum marginal rate, unless an exception applies (for example, trusts created by will for dependants).</w:t>
      </w:r>
    </w:p>
    <w:p>
      <w:pPr>
        <w:keepNext/>
        <w:spacing w:after="50" w:before="140"/>
      </w:pPr>
      <w:r>
        <w:rPr>
          <w:rFonts w:ascii="Verdana" w:cs="Verdana" w:eastAsia="Verdana" w:hAnsi="Verdana"/>
          <w:b/>
          <w:bCs/>
        </w:rPr>
        <w:t xml:space="preserve">Q44.</w:t>
      </w:r>
      <w:r>
        <w:rPr>
          <w:rFonts w:ascii="Verdana" w:cs="Verdana" w:eastAsia="Verdana" w:hAnsi="Verdana"/>
        </w:rPr>
        <w:t xml:space="preserve"> A school trust receives anonymous donations of Rs. 3 lakh out of total donations of Rs. 1 crore. Taxable at 30%?</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The limit is the higher of Rs. 1 lakh and 5% of Rs. 1 crore (Rs. 5 lakh). Rs. 3 lakh is within the limit.</w:t>
      </w:r>
    </w:p>
    <w:p>
      <w:pPr>
        <w:keepNext/>
        <w:spacing w:after="50" w:before="140"/>
      </w:pPr>
      <w:r>
        <w:rPr>
          <w:rFonts w:ascii="Verdana" w:cs="Verdana" w:eastAsia="Verdana" w:hAnsi="Verdana"/>
          <w:b/>
          <w:bCs/>
        </w:rPr>
        <w:t xml:space="preserve">Q45.</w:t>
      </w:r>
      <w:r>
        <w:rPr>
          <w:rFonts w:ascii="Verdana" w:cs="Verdana" w:eastAsia="Verdana" w:hAnsi="Verdana"/>
        </w:rPr>
        <w:t xml:space="preserve"> A primary adjustment of Rs. 80 lakh is made. Does a secondary adjustment apply?</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Secondary adjustment applies only where the primary adjustment exceeds Rs. 1 crore.</w:t>
      </w:r>
    </w:p>
    <w:p>
      <w:pPr>
        <w:keepNext/>
        <w:spacing w:after="50" w:before="140"/>
      </w:pPr>
      <w:r>
        <w:rPr>
          <w:rFonts w:ascii="Verdana" w:cs="Verdana" w:eastAsia="Verdana" w:hAnsi="Verdana"/>
          <w:b/>
          <w:bCs/>
        </w:rPr>
        <w:t xml:space="preserve">Q46.</w:t>
      </w:r>
      <w:r>
        <w:rPr>
          <w:rFonts w:ascii="Verdana" w:cs="Verdana" w:eastAsia="Verdana" w:hAnsi="Verdana"/>
        </w:rPr>
        <w:t xml:space="preserve"> A company's income under the old regime is lower due to a deduction ending next year. When should it opt for section 200?</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From the year the deduction ends, if a multi-year model shows section 200 is cheaper thereafter; the option is irreversible.</w:t>
      </w:r>
    </w:p>
    <w:p>
      <w:pPr>
        <w:keepNext/>
        <w:spacing w:after="50" w:before="140"/>
      </w:pPr>
      <w:r>
        <w:rPr>
          <w:rFonts w:ascii="Verdana" w:cs="Verdana" w:eastAsia="Verdana" w:hAnsi="Verdana"/>
          <w:b/>
          <w:bCs/>
        </w:rPr>
        <w:t xml:space="preserve">Q47.</w:t>
      </w:r>
      <w:r>
        <w:rPr>
          <w:rFonts w:ascii="Verdana" w:cs="Verdana" w:eastAsia="Verdana" w:hAnsi="Verdana"/>
        </w:rPr>
        <w:t xml:space="preserve"> Profit of a Singapore business controlled from Singapore is received in India by an NRI. Taxable?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Yes. Income received in India is taxable for every person regardless of residence.</w:t>
      </w:r>
    </w:p>
    <w:p>
      <w:pPr>
        <w:keepNext/>
        <w:spacing w:after="50" w:before="140"/>
      </w:pPr>
      <w:r>
        <w:rPr>
          <w:rFonts w:ascii="Verdana" w:cs="Verdana" w:eastAsia="Verdana" w:hAnsi="Verdana"/>
          <w:b/>
          <w:bCs/>
        </w:rPr>
        <w:t xml:space="preserve">Q48.</w:t>
      </w:r>
      <w:r>
        <w:rPr>
          <w:rFonts w:ascii="Verdana" w:cs="Verdana" w:eastAsia="Verdana" w:hAnsi="Verdana"/>
        </w:rPr>
        <w:t xml:space="preserve"> Foreign income of earlier years brought into India by a resident. Taxable?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Remittance of income already earned and taxed or not taxable earlier is not fresh income.</w:t>
      </w:r>
    </w:p>
    <w:p>
      <w:pPr>
        <w:keepNext/>
        <w:spacing w:after="50" w:before="140"/>
      </w:pPr>
      <w:r>
        <w:rPr>
          <w:rFonts w:ascii="Verdana" w:cs="Verdana" w:eastAsia="Verdana" w:hAnsi="Verdana"/>
          <w:b/>
          <w:bCs/>
        </w:rPr>
        <w:t xml:space="preserve">Q49.</w:t>
      </w:r>
      <w:r>
        <w:rPr>
          <w:rFonts w:ascii="Verdana" w:cs="Verdana" w:eastAsia="Verdana" w:hAnsi="Verdana"/>
        </w:rPr>
        <w:t xml:space="preserve"> RSUs of a US parent vest when the price is USD 100, rate 85, for 100 units. Perquisite?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Rs. 8,50,000, subject to TDS by the Indian employer.</w:t>
      </w:r>
    </w:p>
    <w:p>
      <w:pPr>
        <w:keepNext/>
        <w:spacing w:after="50" w:before="140"/>
      </w:pPr>
      <w:r>
        <w:rPr>
          <w:rFonts w:ascii="Verdana" w:cs="Verdana" w:eastAsia="Verdana" w:hAnsi="Verdana"/>
          <w:b/>
          <w:bCs/>
        </w:rPr>
        <w:t xml:space="preserve">Q50.</w:t>
      </w:r>
      <w:r>
        <w:rPr>
          <w:rFonts w:ascii="Verdana" w:cs="Verdana" w:eastAsia="Verdana" w:hAnsi="Verdana"/>
        </w:rPr>
        <w:t xml:space="preserve"> Debt fund units bought in 2024 are sold after 3 years. Long-term?</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Specified debt funds bought on or after 1 April 2023 are always short-term, taxed at slab rates.</w:t>
      </w:r>
    </w:p>
    <w:p>
      <w:pPr>
        <w:keepNext/>
        <w:spacing w:after="50" w:before="140"/>
      </w:pPr>
      <w:r>
        <w:rPr>
          <w:rFonts w:ascii="Verdana" w:cs="Verdana" w:eastAsia="Verdana" w:hAnsi="Verdana"/>
          <w:b/>
          <w:bCs/>
        </w:rPr>
        <w:t xml:space="preserve">Q51.</w:t>
      </w:r>
      <w:r>
        <w:rPr>
          <w:rFonts w:ascii="Verdana" w:cs="Verdana" w:eastAsia="Verdana" w:hAnsi="Verdana"/>
        </w:rPr>
        <w:t xml:space="preserve"> A firm pays interest to partners at 18% on capital. Allowed?</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Only up to 12% simple; the excess is disallowed in the firm and not taxed in the partners' hands.</w:t>
      </w:r>
    </w:p>
    <w:p>
      <w:pPr>
        <w:keepNext/>
        <w:spacing w:after="50" w:before="140"/>
      </w:pPr>
      <w:r>
        <w:rPr>
          <w:rFonts w:ascii="Verdana" w:cs="Verdana" w:eastAsia="Verdana" w:hAnsi="Verdana"/>
          <w:b/>
          <w:bCs/>
        </w:rPr>
        <w:t xml:space="preserve">Q52.</w:t>
      </w:r>
      <w:r>
        <w:rPr>
          <w:rFonts w:ascii="Verdana" w:cs="Verdana" w:eastAsia="Verdana" w:hAnsi="Verdana"/>
        </w:rPr>
        <w:t xml:space="preserve"> Can an F&amp;O loss be set off against salary?</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Business loss cannot be set off against salary; it can be set off against other heads (except salary) and carried forward for 8 years.</w:t>
      </w:r>
    </w:p>
    <w:p>
      <w:pPr>
        <w:keepNext/>
        <w:spacing w:after="50" w:before="140"/>
      </w:pPr>
      <w:r>
        <w:rPr>
          <w:rFonts w:ascii="Verdana" w:cs="Verdana" w:eastAsia="Verdana" w:hAnsi="Verdana"/>
          <w:b/>
          <w:bCs/>
        </w:rPr>
        <w:t xml:space="preserve">Q53.</w:t>
      </w:r>
      <w:r>
        <w:rPr>
          <w:rFonts w:ascii="Verdana" w:cs="Verdana" w:eastAsia="Verdana" w:hAnsi="Verdana"/>
        </w:rPr>
        <w:t xml:space="preserve"> Is switching from the regular plan to the direct plan of the same mutual fund scheme a transfer?</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Yes. It is treated as redemption of the regular plan units and purchase of direct plan units, so capital gains arise.</w:t>
      </w:r>
    </w:p>
    <w:p>
      <w:pPr>
        <w:keepNext/>
        <w:spacing w:after="50" w:before="140"/>
      </w:pPr>
      <w:r>
        <w:rPr>
          <w:rFonts w:ascii="Verdana" w:cs="Verdana" w:eastAsia="Verdana" w:hAnsi="Verdana"/>
          <w:b/>
          <w:bCs/>
        </w:rPr>
        <w:t xml:space="preserve">Q54.</w:t>
      </w:r>
      <w:r>
        <w:rPr>
          <w:rFonts w:ascii="Verdana" w:cs="Verdana" w:eastAsia="Verdana" w:hAnsi="Verdana"/>
        </w:rPr>
        <w:t xml:space="preserve"> An investor pays annual life insurance premium of Rs. 6 lakh on a non-ULIP policy issued in 2024. Is the maturity amount exempt?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As the aggregate premium exceeds Rs. 5 lakh, the excess of maturity proceeds over premiums is taxable as income from other sources.</w:t>
      </w:r>
    </w:p>
    <w:p>
      <w:pPr>
        <w:keepNext/>
        <w:spacing w:after="50" w:before="140"/>
      </w:pPr>
      <w:r>
        <w:rPr>
          <w:rFonts w:ascii="Verdana" w:cs="Verdana" w:eastAsia="Verdana" w:hAnsi="Verdana"/>
          <w:b/>
          <w:bCs/>
        </w:rPr>
        <w:t xml:space="preserve">Q55.</w:t>
      </w:r>
      <w:r>
        <w:rPr>
          <w:rFonts w:ascii="Verdana" w:cs="Verdana" w:eastAsia="Verdana" w:hAnsi="Verdana"/>
        </w:rPr>
        <w:t xml:space="preserve"> Which Act governs a scrutiny notice issued in 2026 for FY 2023-24?</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The 1961 Act, as saved by section 536.</w:t>
      </w:r>
    </w:p>
    <w:p>
      <w:pPr>
        <w:keepNext/>
        <w:spacing w:after="50" w:before="140"/>
      </w:pPr>
      <w:r>
        <w:rPr>
          <w:rFonts w:ascii="Verdana" w:cs="Verdana" w:eastAsia="Verdana" w:hAnsi="Verdana"/>
          <w:b/>
          <w:bCs/>
        </w:rPr>
        <w:t xml:space="preserve">Q56.</w:t>
      </w:r>
      <w:r>
        <w:rPr>
          <w:rFonts w:ascii="Verdana" w:cs="Verdana" w:eastAsia="Verdana" w:hAnsi="Verdana"/>
        </w:rPr>
        <w:t xml:space="preserve"> Where are the exemptions of old section 10 found in the 2025 Act?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In Schedules II to VII read with section 11.</w:t>
      </w:r>
    </w:p>
    <w:p>
      <w:pPr>
        <w:keepNext/>
        <w:spacing w:after="50" w:before="140"/>
      </w:pPr>
      <w:r>
        <w:rPr>
          <w:rFonts w:ascii="Verdana" w:cs="Verdana" w:eastAsia="Verdana" w:hAnsi="Verdana"/>
          <w:b/>
          <w:bCs/>
        </w:rPr>
        <w:t xml:space="preserve">Q57.</w:t>
      </w:r>
      <w:r>
        <w:rPr>
          <w:rFonts w:ascii="Verdana" w:cs="Verdana" w:eastAsia="Verdana" w:hAnsi="Verdana"/>
        </w:rPr>
        <w:t xml:space="preserve"> What is the TDS payment code series used for section 393 entries?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Payment codes in the 1001 to 1067 range, one for each nature of payment.</w:t>
      </w:r>
    </w:p>
    <w:p>
      <w:pPr>
        <w:keepNext/>
        <w:spacing w:after="50" w:before="140"/>
      </w:pPr>
      <w:r>
        <w:rPr>
          <w:rFonts w:ascii="Verdana" w:cs="Verdana" w:eastAsia="Verdana" w:hAnsi="Verdana"/>
          <w:b/>
          <w:bCs/>
        </w:rPr>
        <w:t xml:space="preserve">Q58.</w:t>
      </w:r>
      <w:r>
        <w:rPr>
          <w:rFonts w:ascii="Verdana" w:cs="Verdana" w:eastAsia="Verdana" w:hAnsi="Verdana"/>
        </w:rPr>
        <w:t xml:space="preserve"> A return is filed on 31 July but not e-verified until 15 September. Status?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It is treated as filed on the date of verification (and may be belated), since verification was beyond 30 days.</w:t>
      </w:r>
    </w:p>
    <w:p>
      <w:pPr>
        <w:keepNext/>
        <w:spacing w:after="50" w:before="140"/>
      </w:pPr>
      <w:r>
        <w:rPr>
          <w:rFonts w:ascii="Verdana" w:cs="Verdana" w:eastAsia="Verdana" w:hAnsi="Verdana"/>
          <w:b/>
          <w:bCs/>
        </w:rPr>
        <w:t xml:space="preserve">Q59.</w:t>
      </w:r>
      <w:r>
        <w:rPr>
          <w:rFonts w:ascii="Verdana" w:cs="Verdana" w:eastAsia="Verdana" w:hAnsi="Verdana"/>
        </w:rPr>
        <w:t xml:space="preserve"> What is POEM and when does it matter?</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Place of effective management; a foreign company with POEM in India is resident and taxed on global income.</w:t>
      </w:r>
    </w:p>
    <w:p>
      <w:pPr>
        <w:keepNext/>
        <w:spacing w:after="50" w:before="140"/>
      </w:pPr>
      <w:r>
        <w:rPr>
          <w:rFonts w:ascii="Verdana" w:cs="Verdana" w:eastAsia="Verdana" w:hAnsi="Verdana"/>
          <w:b/>
          <w:bCs/>
        </w:rPr>
        <w:t xml:space="preserve">Q60.</w:t>
      </w:r>
      <w:r>
        <w:rPr>
          <w:rFonts w:ascii="Verdana" w:cs="Verdana" w:eastAsia="Verdana" w:hAnsi="Verdana"/>
        </w:rPr>
        <w:t xml:space="preserve"> Can an HUF claim the section 156 rebate?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The rebate is only for resident individuals.</w:t>
      </w:r>
    </w:p>
    <w:p>
      <w:pPr>
        <w:keepNext/>
        <w:spacing w:after="50" w:before="140"/>
      </w:pPr>
      <w:r>
        <w:rPr>
          <w:rFonts w:ascii="Verdana" w:cs="Verdana" w:eastAsia="Verdana" w:hAnsi="Verdana"/>
          <w:b/>
          <w:bCs/>
        </w:rPr>
        <w:t xml:space="preserve">Q61.</w:t>
      </w:r>
      <w:r>
        <w:rPr>
          <w:rFonts w:ascii="Verdana" w:cs="Verdana" w:eastAsia="Verdana" w:hAnsi="Verdana"/>
        </w:rPr>
        <w:t xml:space="preserve"> Which form replaces Form 12BB for employee declarations?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Form 124.</w:t>
      </w:r>
    </w:p>
    <w:p>
      <w:pPr>
        <w:keepNext/>
        <w:spacing w:after="50" w:before="140"/>
      </w:pPr>
      <w:r>
        <w:rPr>
          <w:rFonts w:ascii="Verdana" w:cs="Verdana" w:eastAsia="Verdana" w:hAnsi="Verdana"/>
          <w:b/>
          <w:bCs/>
        </w:rPr>
        <w:t xml:space="preserve">Q62.</w:t>
      </w:r>
      <w:r>
        <w:rPr>
          <w:rFonts w:ascii="Verdana" w:cs="Verdana" w:eastAsia="Verdana" w:hAnsi="Verdana"/>
        </w:rPr>
        <w:t xml:space="preserve"> A company's Form 26 shows a disallowance under section 37 that is not added in the return. What can CPC do?</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Make the adjustment during processing under section 270 after an intimation.</w:t>
      </w:r>
    </w:p>
    <w:p>
      <w:pPr>
        <w:keepNext/>
        <w:spacing w:after="50" w:before="140"/>
      </w:pPr>
      <w:r>
        <w:rPr>
          <w:rFonts w:ascii="Verdana" w:cs="Verdana" w:eastAsia="Verdana" w:hAnsi="Verdana"/>
          <w:b/>
          <w:bCs/>
        </w:rPr>
        <w:t xml:space="preserve">Q63.</w:t>
      </w:r>
      <w:r>
        <w:rPr>
          <w:rFonts w:ascii="Verdana" w:cs="Verdana" w:eastAsia="Verdana" w:hAnsi="Verdana"/>
        </w:rPr>
        <w:t xml:space="preserve"> What is the maximum exemption under section 82?</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Rs. 10 crore.</w:t>
      </w:r>
    </w:p>
    <w:p>
      <w:pPr>
        <w:keepNext/>
        <w:spacing w:after="50" w:before="140"/>
      </w:pPr>
      <w:r>
        <w:rPr>
          <w:rFonts w:ascii="Verdana" w:cs="Verdana" w:eastAsia="Verdana" w:hAnsi="Verdana"/>
          <w:b/>
          <w:bCs/>
        </w:rPr>
        <w:t xml:space="preserve">Q64.</w:t>
      </w:r>
      <w:r>
        <w:rPr>
          <w:rFonts w:ascii="Verdana" w:cs="Verdana" w:eastAsia="Verdana" w:hAnsi="Verdana"/>
        </w:rPr>
        <w:t xml:space="preserve"> Name two differences between GAAR and the treaty PPT.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GAAR needs a tax benefit above Rs. 3 crore and Approving Panel approval and applies where the main purpose is tax; the PPT applies if one of the principal purposes is a treaty benefit, with no monetary threshold.</w:t>
      </w:r>
    </w:p>
    <w:p>
      <w:pPr>
        <w:keepNext/>
        <w:spacing w:after="50" w:before="140"/>
      </w:pPr>
      <w:r>
        <w:rPr>
          <w:rFonts w:ascii="Verdana" w:cs="Verdana" w:eastAsia="Verdana" w:hAnsi="Verdana"/>
          <w:b/>
          <w:bCs/>
        </w:rPr>
        <w:t xml:space="preserve">Q65.</w:t>
      </w:r>
      <w:r>
        <w:rPr>
          <w:rFonts w:ascii="Verdana" w:cs="Verdana" w:eastAsia="Verdana" w:hAnsi="Verdana"/>
        </w:rPr>
        <w:t xml:space="preserve"> What happens if new house property bought for section 82 is sold within 3 years?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The exemption is withdrawn by reducing the cost of the new house by the exempted gain, increasing the gain on its sale.</w:t>
      </w:r>
    </w:p>
    <w:p>
      <w:pPr>
        <w:keepNext/>
        <w:spacing w:after="50" w:before="140"/>
      </w:pPr>
      <w:r>
        <w:rPr>
          <w:rFonts w:ascii="Verdana" w:cs="Verdana" w:eastAsia="Verdana" w:hAnsi="Verdana"/>
          <w:b/>
          <w:bCs/>
        </w:rPr>
        <w:t xml:space="preserve">Q66.</w:t>
      </w:r>
      <w:r>
        <w:rPr>
          <w:rFonts w:ascii="Verdana" w:cs="Verdana" w:eastAsia="Verdana" w:hAnsi="Verdana"/>
        </w:rPr>
        <w:t xml:space="preserve"> Is interest on income tax refund taxable?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Yes, as income from other sources in the year of receipt.</w:t>
      </w:r>
    </w:p>
    <w:p>
      <w:pPr>
        <w:keepNext/>
        <w:spacing w:after="50" w:before="140"/>
      </w:pPr>
      <w:r>
        <w:rPr>
          <w:rFonts w:ascii="Verdana" w:cs="Verdana" w:eastAsia="Verdana" w:hAnsi="Verdana"/>
          <w:b/>
          <w:bCs/>
        </w:rPr>
        <w:t xml:space="preserve">Q67.</w:t>
      </w:r>
      <w:r>
        <w:rPr>
          <w:rFonts w:ascii="Verdana" w:cs="Verdana" w:eastAsia="Verdana" w:hAnsi="Verdana"/>
        </w:rPr>
        <w:t xml:space="preserve"> What is the time limit for filing Form 26 (tax audit)?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One month before the return due date, generally 30 September.</w:t>
      </w:r>
    </w:p>
    <w:p>
      <w:pPr>
        <w:keepNext/>
        <w:spacing w:after="50" w:before="140"/>
      </w:pPr>
      <w:r>
        <w:rPr>
          <w:rFonts w:ascii="Verdana" w:cs="Verdana" w:eastAsia="Verdana" w:hAnsi="Verdana"/>
          <w:b/>
          <w:bCs/>
        </w:rPr>
        <w:t xml:space="preserve">Q68.</w:t>
      </w:r>
      <w:r>
        <w:rPr>
          <w:rFonts w:ascii="Verdana" w:cs="Verdana" w:eastAsia="Verdana" w:hAnsi="Verdana"/>
        </w:rPr>
        <w:t xml:space="preserve"> Can a foreign company with a PE in India use the section 200 rate?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Section 200 is for domestic companies only; foreign companies are taxed at 35% plus surcharge and cess.</w:t>
      </w:r>
    </w:p>
    <w:p>
      <w:pPr>
        <w:keepNext/>
        <w:spacing w:after="50" w:before="140"/>
      </w:pPr>
      <w:r>
        <w:rPr>
          <w:rFonts w:ascii="Verdana" w:cs="Verdana" w:eastAsia="Verdana" w:hAnsi="Verdana"/>
          <w:b/>
          <w:bCs/>
        </w:rPr>
        <w:t xml:space="preserve">Q69.</w:t>
      </w:r>
      <w:r>
        <w:rPr>
          <w:rFonts w:ascii="Verdana" w:cs="Verdana" w:eastAsia="Verdana" w:hAnsi="Verdana"/>
        </w:rPr>
        <w:t xml:space="preserve"> What does a SWP withdrawal of Rs. 60,000 with a cost component of Rs. 40,000 give?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A capital gain of Rs. 20,000; only the gain part is taxed.</w:t>
      </w:r>
    </w:p>
    <w:p>
      <w:pPr>
        <w:keepNext/>
        <w:spacing w:after="50" w:before="140"/>
      </w:pPr>
      <w:r>
        <w:rPr>
          <w:rFonts w:ascii="Verdana" w:cs="Verdana" w:eastAsia="Verdana" w:hAnsi="Verdana"/>
          <w:b/>
          <w:bCs/>
        </w:rPr>
        <w:t xml:space="preserve">Q70.</w:t>
      </w:r>
      <w:r>
        <w:rPr>
          <w:rFonts w:ascii="Verdana" w:cs="Verdana" w:eastAsia="Verdana" w:hAnsi="Verdana"/>
        </w:rPr>
        <w:t xml:space="preserve"> What rate applies to undisclosed income determined in a block assessment?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60% plus surcharge and cess.</w:t>
      </w:r>
    </w:p>
    <w:p>
      <w:pPr>
        <w:keepNext/>
        <w:spacing w:after="50" w:before="140"/>
      </w:pPr>
      <w:r>
        <w:rPr>
          <w:rFonts w:ascii="Verdana" w:cs="Verdana" w:eastAsia="Verdana" w:hAnsi="Verdana"/>
          <w:b/>
          <w:bCs/>
        </w:rPr>
        <w:t xml:space="preserve">Q71.</w:t>
      </w:r>
      <w:r>
        <w:rPr>
          <w:rFonts w:ascii="Verdana" w:cs="Verdana" w:eastAsia="Verdana" w:hAnsi="Verdana"/>
        </w:rPr>
        <w:t xml:space="preserve"> A demand of Rs. 5 lakh is disputed in appeal. How much is usually required for stay?</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About 20%, that is Rs. 1 lakh, subject to the officer's discretion.</w:t>
      </w:r>
    </w:p>
    <w:p>
      <w:pPr>
        <w:keepNext/>
        <w:spacing w:after="50" w:before="140"/>
      </w:pPr>
      <w:r>
        <w:rPr>
          <w:rFonts w:ascii="Verdana" w:cs="Verdana" w:eastAsia="Verdana" w:hAnsi="Verdana"/>
          <w:b/>
          <w:bCs/>
        </w:rPr>
        <w:t xml:space="preserve">Q72.</w:t>
      </w:r>
      <w:r>
        <w:rPr>
          <w:rFonts w:ascii="Verdana" w:cs="Verdana" w:eastAsia="Verdana" w:hAnsi="Verdana"/>
        </w:rPr>
        <w:t xml:space="preserve"> What is the refund interest rate?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0.5% a month, if the refund is at least 10% of the tax determined.</w:t>
      </w:r>
    </w:p>
    <w:p>
      <w:pPr>
        <w:keepNext/>
        <w:spacing w:after="50" w:before="140"/>
      </w:pPr>
      <w:r>
        <w:rPr>
          <w:rFonts w:ascii="Verdana" w:cs="Verdana" w:eastAsia="Verdana" w:hAnsi="Verdana"/>
          <w:b/>
          <w:bCs/>
        </w:rPr>
        <w:t xml:space="preserve">Q73.</w:t>
      </w:r>
      <w:r>
        <w:rPr>
          <w:rFonts w:ascii="Verdana" w:cs="Verdana" w:eastAsia="Verdana" w:hAnsi="Verdana"/>
        </w:rPr>
        <w:t xml:space="preserve"> What is the depreciation rate on computers and software?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40%.</w:t>
      </w:r>
    </w:p>
    <w:p>
      <w:pPr>
        <w:keepNext/>
        <w:spacing w:after="50" w:before="140"/>
      </w:pPr>
      <w:r>
        <w:rPr>
          <w:rFonts w:ascii="Verdana" w:cs="Verdana" w:eastAsia="Verdana" w:hAnsi="Verdana"/>
          <w:b/>
          <w:bCs/>
        </w:rPr>
        <w:t xml:space="preserve">Q74.</w:t>
      </w:r>
      <w:r>
        <w:rPr>
          <w:rFonts w:ascii="Verdana" w:cs="Verdana" w:eastAsia="Verdana" w:hAnsi="Verdana"/>
        </w:rPr>
        <w:t xml:space="preserve"> A car used 60% for business costs Rs. 10 lakh. Depreciation in a full year?</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15% of Rs. 10 lakh = Rs. 1,50,000, of which 60% (Rs. 90,000) is allowed.</w:t>
      </w:r>
    </w:p>
    <w:p>
      <w:pPr>
        <w:keepNext/>
        <w:spacing w:after="50" w:before="140"/>
      </w:pPr>
      <w:r>
        <w:rPr>
          <w:rFonts w:ascii="Verdana" w:cs="Verdana" w:eastAsia="Verdana" w:hAnsi="Verdana"/>
          <w:b/>
          <w:bCs/>
        </w:rPr>
        <w:t xml:space="preserve">Q75.</w:t>
      </w:r>
      <w:r>
        <w:rPr>
          <w:rFonts w:ascii="Verdana" w:cs="Verdana" w:eastAsia="Verdana" w:hAnsi="Verdana"/>
        </w:rPr>
        <w:t xml:space="preserve"> What is the CII for 2001-02 and why does it matter?</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100. It is the base year; assets acquired before 1 April 2001 can use FMV on that date as cost.</w:t>
      </w:r>
    </w:p>
    <w:p>
      <w:pPr>
        <w:keepNext/>
        <w:spacing w:after="50" w:before="140"/>
      </w:pPr>
      <w:r>
        <w:rPr>
          <w:rFonts w:ascii="Verdana" w:cs="Verdana" w:eastAsia="Verdana" w:hAnsi="Verdana"/>
          <w:b/>
          <w:bCs/>
        </w:rPr>
        <w:t xml:space="preserve">Q76.</w:t>
      </w:r>
      <w:r>
        <w:rPr>
          <w:rFonts w:ascii="Verdana" w:cs="Verdana" w:eastAsia="Verdana" w:hAnsi="Verdana"/>
        </w:rPr>
        <w:t xml:space="preserve"> Can indexation be used for gold jewellery sold in 2026?</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The indexation option is only for land and building of resident individuals and HUFs acquired before 23 July 2024.</w:t>
      </w:r>
    </w:p>
    <w:p>
      <w:pPr>
        <w:keepNext/>
        <w:spacing w:after="50" w:before="140"/>
      </w:pPr>
      <w:r>
        <w:rPr>
          <w:rFonts w:ascii="Verdana" w:cs="Verdana" w:eastAsia="Verdana" w:hAnsi="Verdana"/>
          <w:b/>
          <w:bCs/>
        </w:rPr>
        <w:t xml:space="preserve">Q77.</w:t>
      </w:r>
      <w:r>
        <w:rPr>
          <w:rFonts w:ascii="Verdana" w:cs="Verdana" w:eastAsia="Verdana" w:hAnsi="Verdana"/>
        </w:rPr>
        <w:t xml:space="preserve"> A short-term capital loss and slab rate STCG exist together. Where should the loss be set off?</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Against the gains taxed at the highest rate, usually slab rate STCG, since the taxpayer can choose the order in the return.</w:t>
      </w:r>
    </w:p>
    <w:p>
      <w:pPr>
        <w:keepNext/>
        <w:spacing w:after="50" w:before="140"/>
      </w:pPr>
      <w:r>
        <w:rPr>
          <w:rFonts w:ascii="Verdana" w:cs="Verdana" w:eastAsia="Verdana" w:hAnsi="Verdana"/>
          <w:b/>
          <w:bCs/>
        </w:rPr>
        <w:t xml:space="preserve">Q78.</w:t>
      </w:r>
      <w:r>
        <w:rPr>
          <w:rFonts w:ascii="Verdana" w:cs="Verdana" w:eastAsia="Verdana" w:hAnsi="Verdana"/>
        </w:rPr>
        <w:t xml:space="preserve"> Is a returning NRI's foreign rental income taxable in the RNOR years?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if it is foreign income not received in India and not from a business controlled in India.</w:t>
      </w:r>
    </w:p>
    <w:p>
      <w:pPr>
        <w:keepNext/>
        <w:spacing w:after="50" w:before="140"/>
      </w:pPr>
      <w:r>
        <w:rPr>
          <w:rFonts w:ascii="Verdana" w:cs="Verdana" w:eastAsia="Verdana" w:hAnsi="Verdana"/>
          <w:b/>
          <w:bCs/>
        </w:rPr>
        <w:t xml:space="preserve">Q79.</w:t>
      </w:r>
      <w:r>
        <w:rPr>
          <w:rFonts w:ascii="Verdana" w:cs="Verdana" w:eastAsia="Verdana" w:hAnsi="Verdana"/>
        </w:rPr>
        <w:t xml:space="preserve"> On a total partition of an HUF, are capital gains taxable?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Distribution of assets on total partition is not a transfer.</w:t>
      </w:r>
    </w:p>
    <w:p>
      <w:pPr>
        <w:keepNext/>
        <w:spacing w:after="50" w:before="140"/>
      </w:pPr>
      <w:r>
        <w:rPr>
          <w:rFonts w:ascii="Verdana" w:cs="Verdana" w:eastAsia="Verdana" w:hAnsi="Verdana"/>
          <w:b/>
          <w:bCs/>
        </w:rPr>
        <w:t xml:space="preserve">Q80.</w:t>
      </w:r>
      <w:r>
        <w:rPr>
          <w:rFonts w:ascii="Verdana" w:cs="Verdana" w:eastAsia="Verdana" w:hAnsi="Verdana"/>
        </w:rPr>
        <w:t xml:space="preserve"> Which appendix gives the list of sections by subject matter?</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Appendix J.</w:t>
      </w:r>
    </w:p>
    <w:p>
      <w:pPr>
        <w:keepNext/>
        <w:spacing w:after="50" w:before="140"/>
      </w:pPr>
      <w:r>
        <w:rPr>
          <w:rFonts w:ascii="Verdana" w:cs="Verdana" w:eastAsia="Verdana" w:hAnsi="Verdana"/>
          <w:b/>
          <w:bCs/>
        </w:rPr>
        <w:t xml:space="preserve">Q81.</w:t>
      </w:r>
      <w:r>
        <w:rPr>
          <w:rFonts w:ascii="Verdana" w:cs="Verdana" w:eastAsia="Verdana" w:hAnsi="Verdana"/>
        </w:rPr>
        <w:t xml:space="preserve"> A company pays TDS it failed to deduct before the return due date. Is the expense disallowed?</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The section 35 disallowance applies only if TDS is not paid by the return due date.</w:t>
      </w:r>
    </w:p>
    <w:p>
      <w:pPr>
        <w:keepNext/>
        <w:spacing w:after="50" w:before="140"/>
      </w:pPr>
      <w:r>
        <w:rPr>
          <w:rFonts w:ascii="Verdana" w:cs="Verdana" w:eastAsia="Verdana" w:hAnsi="Verdana"/>
          <w:b/>
          <w:bCs/>
        </w:rPr>
        <w:t xml:space="preserve">Q82.</w:t>
      </w:r>
      <w:r>
        <w:rPr>
          <w:rFonts w:ascii="Verdana" w:cs="Verdana" w:eastAsia="Verdana" w:hAnsi="Verdana"/>
        </w:rPr>
        <w:t xml:space="preserve"> What rate of interest applies for failure to deduct TDS?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1% a month from the date it was deductible to the date of deduction.</w:t>
      </w:r>
    </w:p>
    <w:p>
      <w:pPr>
        <w:keepNext/>
        <w:spacing w:after="50" w:before="140"/>
      </w:pPr>
      <w:r>
        <w:rPr>
          <w:rFonts w:ascii="Verdana" w:cs="Verdana" w:eastAsia="Verdana" w:hAnsi="Verdana"/>
          <w:b/>
          <w:bCs/>
        </w:rPr>
        <w:t xml:space="preserve">Q83.</w:t>
      </w:r>
      <w:r>
        <w:rPr>
          <w:rFonts w:ascii="Verdana" w:cs="Verdana" w:eastAsia="Verdana" w:hAnsi="Verdana"/>
        </w:rPr>
        <w:t xml:space="preserve"> A seafarer on a foreign ship is non-resident. Is his salary credited to his NRE account taxable?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as clarified for non-resident seafarers for services outside India.</w:t>
      </w:r>
    </w:p>
    <w:p>
      <w:pPr>
        <w:keepNext/>
        <w:spacing w:after="50" w:before="140"/>
      </w:pPr>
      <w:r>
        <w:rPr>
          <w:rFonts w:ascii="Verdana" w:cs="Verdana" w:eastAsia="Verdana" w:hAnsi="Verdana"/>
          <w:b/>
          <w:bCs/>
        </w:rPr>
        <w:t xml:space="preserve">Q84.</w:t>
      </w:r>
      <w:r>
        <w:rPr>
          <w:rFonts w:ascii="Verdana" w:cs="Verdana" w:eastAsia="Verdana" w:hAnsi="Verdana"/>
        </w:rPr>
        <w:t xml:space="preserve"> How is a small trader's cash receipt percentage relevant to section 58?</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If cash receipts are 5% or less, the turnover limit rises from Rs. 2 crore to Rs. 3 crore.</w:t>
      </w:r>
    </w:p>
    <w:p>
      <w:pPr>
        <w:keepNext/>
        <w:spacing w:after="50" w:before="140"/>
      </w:pPr>
      <w:r>
        <w:rPr>
          <w:rFonts w:ascii="Verdana" w:cs="Verdana" w:eastAsia="Verdana" w:hAnsi="Verdana"/>
          <w:b/>
          <w:bCs/>
        </w:rPr>
        <w:t xml:space="preserve">Q85.</w:t>
      </w:r>
      <w:r>
        <w:rPr>
          <w:rFonts w:ascii="Verdana" w:cs="Verdana" w:eastAsia="Verdana" w:hAnsi="Verdana"/>
        </w:rPr>
        <w:t xml:space="preserve"> Which ITR form can a small trader use if he also has LTCG of Rs. 60,000 on equity funds?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ITR-4, since it now allows section 198 LTCG up to Rs. 1,25,000.</w:t>
      </w:r>
    </w:p>
    <w:p>
      <w:pPr>
        <w:keepNext/>
        <w:spacing w:after="50" w:before="140"/>
      </w:pPr>
      <w:r>
        <w:rPr>
          <w:rFonts w:ascii="Verdana" w:cs="Verdana" w:eastAsia="Verdana" w:hAnsi="Verdana"/>
          <w:b/>
          <w:bCs/>
        </w:rPr>
        <w:t xml:space="preserve">Q86.</w:t>
      </w:r>
      <w:r>
        <w:rPr>
          <w:rFonts w:ascii="Verdana" w:cs="Verdana" w:eastAsia="Verdana" w:hAnsi="Verdana"/>
        </w:rPr>
        <w:t xml:space="preserve"> A senior citizen with nil tax did not give Form 121. What happens to TDS?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The bank deducts TDS, which can be recovered only by filing a return and claiming a refund.</w:t>
      </w:r>
    </w:p>
    <w:p>
      <w:pPr>
        <w:keepNext/>
        <w:spacing w:after="50" w:before="140"/>
      </w:pPr>
      <w:r>
        <w:rPr>
          <w:rFonts w:ascii="Verdana" w:cs="Verdana" w:eastAsia="Verdana" w:hAnsi="Verdana"/>
          <w:b/>
          <w:bCs/>
        </w:rPr>
        <w:t xml:space="preserve">Q87.</w:t>
      </w:r>
      <w:r>
        <w:rPr>
          <w:rFonts w:ascii="Verdana" w:cs="Verdana" w:eastAsia="Verdana" w:hAnsi="Verdana"/>
        </w:rPr>
        <w:t xml:space="preserve"> Is interest on a savings bank account deductible under the new regime?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Section 153 deductions are available only in the old regime.</w:t>
      </w:r>
    </w:p>
    <w:p>
      <w:pPr>
        <w:keepNext/>
        <w:spacing w:after="50" w:before="140"/>
      </w:pPr>
      <w:r>
        <w:rPr>
          <w:rFonts w:ascii="Verdana" w:cs="Verdana" w:eastAsia="Verdana" w:hAnsi="Verdana"/>
          <w:b/>
          <w:bCs/>
        </w:rPr>
        <w:t xml:space="preserve">Q88.</w:t>
      </w:r>
      <w:r>
        <w:rPr>
          <w:rFonts w:ascii="Verdana" w:cs="Verdana" w:eastAsia="Verdana" w:hAnsi="Verdana"/>
        </w:rPr>
        <w:t xml:space="preserve"> What is the minimum stay test for an Indian citizen leaving India for employment?</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182 days in the tax year; the 60-day alternative does not apply.</w:t>
      </w:r>
    </w:p>
    <w:p>
      <w:pPr>
        <w:keepNext/>
        <w:spacing w:after="50" w:before="140"/>
      </w:pPr>
      <w:r>
        <w:rPr>
          <w:rFonts w:ascii="Verdana" w:cs="Verdana" w:eastAsia="Verdana" w:hAnsi="Verdana"/>
          <w:b/>
          <w:bCs/>
        </w:rPr>
        <w:t xml:space="preserve">Q89.</w:t>
      </w:r>
      <w:r>
        <w:rPr>
          <w:rFonts w:ascii="Verdana" w:cs="Verdana" w:eastAsia="Verdana" w:hAnsi="Verdana"/>
        </w:rPr>
        <w:t xml:space="preserve"> What is a "specified domestic transaction" threshold?</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Rs. 20 crore of aggregate transactions in the year.</w:t>
      </w:r>
    </w:p>
    <w:p>
      <w:pPr>
        <w:keepNext/>
        <w:spacing w:after="50" w:before="140"/>
      </w:pPr>
      <w:r>
        <w:rPr>
          <w:rFonts w:ascii="Verdana" w:cs="Verdana" w:eastAsia="Verdana" w:hAnsi="Verdana"/>
          <w:b/>
          <w:bCs/>
        </w:rPr>
        <w:t xml:space="preserve">Q90.</w:t>
      </w:r>
      <w:r>
        <w:rPr>
          <w:rFonts w:ascii="Verdana" w:cs="Verdana" w:eastAsia="Verdana" w:hAnsi="Verdana"/>
        </w:rPr>
        <w:t xml:space="preserve"> What is the time limit to invest in section 85 bonds?</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Within 6 months from the date of transfer.</w:t>
      </w:r>
    </w:p>
    <w:p>
      <w:pPr>
        <w:keepNext/>
        <w:spacing w:after="50" w:before="140"/>
      </w:pPr>
      <w:r>
        <w:rPr>
          <w:rFonts w:ascii="Verdana" w:cs="Verdana" w:eastAsia="Verdana" w:hAnsi="Verdana"/>
          <w:b/>
          <w:bCs/>
        </w:rPr>
        <w:t xml:space="preserve">Q91.</w:t>
      </w:r>
      <w:r>
        <w:rPr>
          <w:rFonts w:ascii="Verdana" w:cs="Verdana" w:eastAsia="Verdana" w:hAnsi="Verdana"/>
        </w:rPr>
        <w:t xml:space="preserve"> Can a company that opted for section 200 go back to the normal regime?</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No. The option once exercised cannot be withdrawn.</w:t>
      </w:r>
    </w:p>
    <w:p>
      <w:pPr>
        <w:keepNext/>
        <w:spacing w:after="50" w:before="140"/>
      </w:pPr>
      <w:r>
        <w:rPr>
          <w:rFonts w:ascii="Verdana" w:cs="Verdana" w:eastAsia="Verdana" w:hAnsi="Verdana"/>
          <w:b/>
          <w:bCs/>
        </w:rPr>
        <w:t xml:space="preserve">Q92.</w:t>
      </w:r>
      <w:r>
        <w:rPr>
          <w:rFonts w:ascii="Verdana" w:cs="Verdana" w:eastAsia="Verdana" w:hAnsi="Verdana"/>
        </w:rPr>
        <w:t xml:space="preserve"> Who files the return of a person who died during the year?</w:t>
      </w:r>
    </w:p>
    <w:p>
      <w:pPr>
        <w:spacing w:after="100"/>
        <w:ind w:left="360"/>
      </w:pPr>
      <w:r>
        <w:rPr>
          <w:rFonts w:ascii="Verdana" w:cs="Verdana" w:eastAsia="Verdana" w:hAnsi="Verdana"/>
          <w:b/>
          <w:bCs/>
          <w:color w:val="1F4E79"/>
        </w:rPr>
        <w:t xml:space="preserve">Answer:</w:t>
      </w:r>
      <w:r>
        <w:rPr>
          <w:rFonts w:ascii="Verdana" w:cs="Verdana" w:eastAsia="Verdana" w:hAnsi="Verdana"/>
          <w:color w:val="1F4E79"/>
        </w:rPr>
        <w:t xml:space="preserve"> The legal heir, as representative, after registering on the portal.</w:t>
      </w:r>
    </w:p>
    <w:p>
      <w:pPr>
        <w:pStyle w:val="Heading1"/>
        <w:pageBreakBefore/>
        <w:spacing w:after="200" w:before="0"/>
      </w:pPr>
      <w:r>
        <w:rPr>
          <w:rFonts w:ascii="Verdana" w:cs="Verdana" w:eastAsia="Verdana" w:hAnsi="Verdana"/>
        </w:rPr>
        <w:t xml:space="preserve">Appendix D: Common Mistakes Checklist</w:t>
      </w:r>
    </w:p>
    <w:p>
      <w:pPr>
        <w:pStyle w:val="ListParagraph"/>
        <w:numPr>
          <w:ilvl w:val="0"/>
          <w:numId w:val="2"/>
        </w:numPr>
        <w:spacing w:after="60" w:line="264"/>
      </w:pPr>
      <w:r>
        <w:rPr>
          <w:rFonts w:ascii="Verdana" w:cs="Verdana" w:eastAsia="Verdana" w:hAnsi="Verdana"/>
        </w:rPr>
        <w:t xml:space="preserve">Quoting 1961 Act sections for Tax Year 2026-27 matters, or 2025 Act sections for FY 2025-26 returns.</w:t>
      </w:r>
    </w:p>
    <w:p>
      <w:pPr>
        <w:pStyle w:val="ListParagraph"/>
        <w:numPr>
          <w:ilvl w:val="0"/>
          <w:numId w:val="2"/>
        </w:numPr>
        <w:spacing w:after="60" w:line="264"/>
      </w:pPr>
      <w:r>
        <w:rPr>
          <w:rFonts w:ascii="Verdana" w:cs="Verdana" w:eastAsia="Verdana" w:hAnsi="Verdana"/>
        </w:rPr>
        <w:t xml:space="preserve">Using old section codes (194C, 194J) in challans for payments after 31 March 2026.</w:t>
      </w:r>
    </w:p>
    <w:p>
      <w:pPr>
        <w:pStyle w:val="ListParagraph"/>
        <w:numPr>
          <w:ilvl w:val="0"/>
          <w:numId w:val="2"/>
        </w:numPr>
        <w:spacing w:after="60" w:line="264"/>
      </w:pPr>
      <w:r>
        <w:rPr>
          <w:rFonts w:ascii="Verdana" w:cs="Verdana" w:eastAsia="Verdana" w:hAnsi="Verdana"/>
        </w:rPr>
        <w:t xml:space="preserve">Claiming HRA, 80C, 80D or self-occupied home loan interest in the new regime.</w:t>
      </w:r>
    </w:p>
    <w:p>
      <w:pPr>
        <w:pStyle w:val="ListParagraph"/>
        <w:numPr>
          <w:ilvl w:val="0"/>
          <w:numId w:val="2"/>
        </w:numPr>
        <w:spacing w:after="60" w:line="264"/>
      </w:pPr>
      <w:r>
        <w:rPr>
          <w:rFonts w:ascii="Verdana" w:cs="Verdana" w:eastAsia="Verdana" w:hAnsi="Verdana"/>
        </w:rPr>
        <w:t xml:space="preserve">Setting off house property loss against salary in the new regime.</w:t>
      </w:r>
    </w:p>
    <w:p>
      <w:pPr>
        <w:pStyle w:val="ListParagraph"/>
        <w:numPr>
          <w:ilvl w:val="0"/>
          <w:numId w:val="2"/>
        </w:numPr>
        <w:spacing w:after="60" w:line="264"/>
      </w:pPr>
      <w:r>
        <w:rPr>
          <w:rFonts w:ascii="Verdana" w:cs="Verdana" w:eastAsia="Verdana" w:hAnsi="Verdana"/>
        </w:rPr>
        <w:t xml:space="preserve">Missing the section 37 rule for micro and small enterprise dues.</w:t>
      </w:r>
    </w:p>
    <w:p>
      <w:pPr>
        <w:pStyle w:val="ListParagraph"/>
        <w:numPr>
          <w:ilvl w:val="0"/>
          <w:numId w:val="2"/>
        </w:numPr>
        <w:spacing w:after="60" w:line="264"/>
      </w:pPr>
      <w:r>
        <w:rPr>
          <w:rFonts w:ascii="Verdana" w:cs="Verdana" w:eastAsia="Verdana" w:hAnsi="Verdana"/>
        </w:rPr>
        <w:t xml:space="preserve">Missing the stamp value checks under sections 53 and 78, and the buyer side tax under section 92.</w:t>
      </w:r>
    </w:p>
    <w:p>
      <w:pPr>
        <w:pStyle w:val="ListParagraph"/>
        <w:numPr>
          <w:ilvl w:val="0"/>
          <w:numId w:val="2"/>
        </w:numPr>
        <w:spacing w:after="60" w:line="264"/>
      </w:pPr>
      <w:r>
        <w:rPr>
          <w:rFonts w:ascii="Verdana" w:cs="Verdana" w:eastAsia="Verdana" w:hAnsi="Verdana"/>
        </w:rPr>
        <w:t xml:space="preserve">Applying the section 156 rebate to tax on special rate capital gains.</w:t>
      </w:r>
    </w:p>
    <w:p>
      <w:pPr>
        <w:pStyle w:val="ListParagraph"/>
        <w:numPr>
          <w:ilvl w:val="0"/>
          <w:numId w:val="2"/>
        </w:numPr>
        <w:spacing w:after="60" w:line="264"/>
      </w:pPr>
      <w:r>
        <w:rPr>
          <w:rFonts w:ascii="Verdana" w:cs="Verdana" w:eastAsia="Verdana" w:hAnsi="Verdana"/>
        </w:rPr>
        <w:t xml:space="preserve">Filing a loss return late and losing the carry forward.</w:t>
      </w:r>
    </w:p>
    <w:p>
      <w:pPr>
        <w:pStyle w:val="ListParagraph"/>
        <w:numPr>
          <w:ilvl w:val="0"/>
          <w:numId w:val="2"/>
        </w:numPr>
        <w:spacing w:after="60" w:line="264"/>
      </w:pPr>
      <w:r>
        <w:rPr>
          <w:rFonts w:ascii="Verdana" w:cs="Verdana" w:eastAsia="Verdana" w:hAnsi="Verdana"/>
        </w:rPr>
        <w:t xml:space="preserve">Not deducting TDS on partner remuneration and interest above Rs. 20,000.</w:t>
      </w:r>
    </w:p>
    <w:p>
      <w:pPr>
        <w:pStyle w:val="ListParagraph"/>
        <w:numPr>
          <w:ilvl w:val="0"/>
          <w:numId w:val="2"/>
        </w:numPr>
        <w:spacing w:after="60" w:line="264"/>
      </w:pPr>
      <w:r>
        <w:rPr>
          <w:rFonts w:ascii="Verdana" w:cs="Verdana" w:eastAsia="Verdana" w:hAnsi="Verdana"/>
        </w:rPr>
        <w:t xml:space="preserve">Not reconciling TDS with Form 168 and AIS before filing.</w:t>
      </w:r>
    </w:p>
    <w:p>
      <w:pPr>
        <w:pStyle w:val="ListParagraph"/>
        <w:numPr>
          <w:ilvl w:val="0"/>
          <w:numId w:val="2"/>
        </w:numPr>
        <w:spacing w:after="60" w:line="264"/>
      </w:pPr>
      <w:r>
        <w:rPr>
          <w:rFonts w:ascii="Verdana" w:cs="Verdana" w:eastAsia="Verdana" w:hAnsi="Verdana"/>
        </w:rPr>
        <w:t xml:space="preserve">Treating a buyback in Tax Year 2026-27 as dividend; it is now capital gains.</w:t>
      </w:r>
    </w:p>
    <w:p>
      <w:pPr>
        <w:pStyle w:val="ListParagraph"/>
        <w:numPr>
          <w:ilvl w:val="0"/>
          <w:numId w:val="2"/>
        </w:numPr>
        <w:spacing w:after="60" w:line="264"/>
      </w:pPr>
      <w:r>
        <w:rPr>
          <w:rFonts w:ascii="Verdana" w:cs="Verdana" w:eastAsia="Verdana" w:hAnsi="Verdana"/>
        </w:rPr>
        <w:t xml:space="preserve">Staying in the normal company regime to build MAT credit; MAT is a final tax from Tax Year 2026-27.</w:t>
      </w:r>
    </w:p>
    <w:p>
      <w:pPr>
        <w:pStyle w:val="ListParagraph"/>
        <w:numPr>
          <w:ilvl w:val="0"/>
          <w:numId w:val="2"/>
        </w:numPr>
        <w:spacing w:after="60" w:line="264"/>
      </w:pPr>
      <w:r>
        <w:rPr>
          <w:rFonts w:ascii="Verdana" w:cs="Verdana" w:eastAsia="Verdana" w:hAnsi="Verdana"/>
        </w:rPr>
        <w:t xml:space="preserve">Ignoring the 51% continuity test in section 119 during share deals.</w:t>
      </w:r>
    </w:p>
    <w:p>
      <w:pPr>
        <w:pStyle w:val="ListParagraph"/>
        <w:numPr>
          <w:ilvl w:val="0"/>
          <w:numId w:val="2"/>
        </w:numPr>
        <w:spacing w:after="60" w:line="264"/>
      </w:pPr>
      <w:r>
        <w:rPr>
          <w:rFonts w:ascii="Verdana" w:cs="Verdana" w:eastAsia="Verdana" w:hAnsi="Verdana"/>
        </w:rPr>
        <w:t xml:space="preserve">Assuming a merger carries forward losses for 8 fresh years; only the remaining period is available.</w:t>
      </w:r>
    </w:p>
    <w:p>
      <w:pPr>
        <w:pStyle w:val="ListParagraph"/>
        <w:numPr>
          <w:ilvl w:val="0"/>
          <w:numId w:val="2"/>
        </w:numPr>
        <w:spacing w:after="60" w:line="264"/>
      </w:pPr>
      <w:r>
        <w:rPr>
          <w:rFonts w:ascii="Verdana" w:cs="Verdana" w:eastAsia="Verdana" w:hAnsi="Verdana"/>
        </w:rPr>
        <w:t xml:space="preserve">Claiming treaty rates without a TRC, Form 41 or beneficial ownership.</w:t>
      </w:r>
    </w:p>
    <w:p>
      <w:pPr>
        <w:pStyle w:val="ListParagraph"/>
        <w:numPr>
          <w:ilvl w:val="0"/>
          <w:numId w:val="2"/>
        </w:numPr>
        <w:spacing w:after="60" w:line="264"/>
      </w:pPr>
      <w:r>
        <w:rPr>
          <w:rFonts w:ascii="Verdana" w:cs="Verdana" w:eastAsia="Verdana" w:hAnsi="Verdana"/>
        </w:rPr>
        <w:t xml:space="preserve">Not grossing up where the Indian payer bears the tax on a foreign payment.</w:t>
      </w:r>
    </w:p>
    <w:p>
      <w:pPr>
        <w:pStyle w:val="ListParagraph"/>
        <w:numPr>
          <w:ilvl w:val="0"/>
          <w:numId w:val="2"/>
        </w:numPr>
        <w:spacing w:after="60" w:line="264"/>
      </w:pPr>
      <w:r>
        <w:rPr>
          <w:rFonts w:ascii="Verdana" w:cs="Verdana" w:eastAsia="Verdana" w:hAnsi="Verdana"/>
        </w:rPr>
        <w:t xml:space="preserve">Filing Form 48 (TP report) without contemporaneous documentation and benchmarking.</w:t>
      </w:r>
    </w:p>
    <w:p>
      <w:pPr>
        <w:pStyle w:val="ListParagraph"/>
        <w:numPr>
          <w:ilvl w:val="0"/>
          <w:numId w:val="2"/>
        </w:numPr>
        <w:spacing w:after="60" w:line="264"/>
      </w:pPr>
      <w:r>
        <w:rPr>
          <w:rFonts w:ascii="Verdana" w:cs="Verdana" w:eastAsia="Verdana" w:hAnsi="Verdana"/>
        </w:rPr>
        <w:t xml:space="preserve">Overlooking the thin capitalisation cap for interest to foreign group companies.</w:t>
      </w:r>
    </w:p>
    <w:p>
      <w:pPr>
        <w:pStyle w:val="Heading1"/>
        <w:pageBreakBefore/>
        <w:spacing w:after="200" w:before="0"/>
      </w:pPr>
      <w:r>
        <w:rPr>
          <w:rFonts w:ascii="Verdana" w:cs="Verdana" w:eastAsia="Verdana" w:hAnsi="Verdana"/>
        </w:rPr>
        <w:t xml:space="preserve">Appendix E: Digest of Landmark Rulings</w:t>
      </w:r>
    </w:p>
    <w:p>
      <w:pPr>
        <w:spacing w:after="120" w:line="276"/>
        <w:jc w:val="both"/>
      </w:pPr>
      <w:r>
        <w:rPr>
          <w:rFonts w:ascii="Verdana" w:cs="Verdana" w:eastAsia="Verdana" w:hAnsi="Verdana"/>
        </w:rPr>
        <w:t xml:space="preserve">The table lists the rulings cited in this guide, with the topic to which each relates. The principles in these judgments were laid down under the 1961 Act (or other laws where stated), and continue to guide the interpretation of the corresponding provisions of the 2025 Act where the language and scheme are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300"/>
        <w:gridCol w:w="3700"/>
        <w:gridCol w:w="1400"/>
      </w:tblGrid>
      <w:tr>
        <w:trPr>
          <w:cantSplit/>
          <w:tblHeader/>
        </w:trPr>
        <w:tc>
          <w:tcPr>
            <w:tcW w:type="dxa" w:w="3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Case</w:t>
            </w:r>
          </w:p>
        </w:tc>
        <w:tc>
          <w:tcPr>
            <w:tcW w:type="dxa" w:w="1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Court and year</w:t>
            </w:r>
          </w:p>
        </w:tc>
        <w:tc>
          <w:tcPr>
            <w:tcW w:type="dxa" w:w="37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Principle</w:t>
            </w:r>
          </w:p>
        </w:tc>
        <w:tc>
          <w:tcPr>
            <w:tcW w:type="dxa" w:w="1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Relevant to</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McDowell and Co. Ltd. v. CTO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1985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Colourable devices are not legitimate tax planning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Anti-avoidance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Azadi Bachao Andolan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Treaty benefits available to genuine residents; tax planning within law permitted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Treaties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Vodafone International Holdings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Look at the transaction as a whole; offshore share transfer not taxable under law then in force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Indirect transfers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of Customs v. Dilip Kumar and Co.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Exemptions to be strictly construed at the threshold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Interpretation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Empire Jute Co.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1980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Enduring benefit test is not conclusive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vs revenue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Mahindra and Mahindra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Waiver of a loan for capital assets is not taxable as business benefit or remission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 Builders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borrowings used for interest-free advances to sister concerns allowed on commercial expediency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deduction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T.R.F.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Bad debt needs only to be written off in the books; no need to prove it is bad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Bad debts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Checkmate Services (P)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Employees' PF and ESI contributions must be deposited by the due date under those laws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basis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Maxopp Investment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Disallowance for exempt income applies even to shares held as stock-in-trade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14</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B.C. Srinivasa Setty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1981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capital gains where cost cannot be conceived; led to "cost nil" provisions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Sanjeev Lal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Agreement to sell with advance can be the relevant date for reinvestment time limits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82</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Madhur Housing and Development Co.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dividend taxed in the hands of the shareholder, not the borrowing concern (question referred to a larger bench in 2018)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dividend</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PCIT v. Maruti Suzuki India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Assessment on a company that ceased to exist on amalgamation is void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M&amp;A</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Engineering Analysis Centre of Excellence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Software licence payments to non-residents not royalty under treaties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International</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Formula One World Championship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circuit at the disposal of the foreign enterprise was a fixed place PE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DIT v. Morgan Stanley and Co. Inc.</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further attribution to a PE where the Indian entity is paid at arm's length for all functions and risks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 attribution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 India Technology Centre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payments to non-residents only on sums chargeable to tax</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Withholding</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Hindustan Coca Cola Beverage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cannot be recovered from deductor if payee has paid it; interest remains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Kelvinator of India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reopening on change of opinion; tangible material needed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Reassessment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GKN Driveshafts (India) Ltd. v. ITO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Reasons for reopening to be given and objections decided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Reassessment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Ashish Agarwal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procedure notices after 2021 treated as show cause under new procedure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Reassessment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Ace Builders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Bom HC, 2005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Deeming of depreciable asset gains as short-term is limited to computation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UCO Bank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1999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CBDT circulars bind tax authorities, including beneficial relaxations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Interpretation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CCE v. Ratan Melting and Wire Industries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Circulars cannot override the statute and do not bind courts or taxpayers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Interpretation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Ram Prashad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1972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Managing director may be an employee depending on control by the board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Salaries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Arun Kumar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Perquisite valuation Rules upheld; perquisite is a benefit given by the employer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Salaries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Eli Lilly and Co. (India)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salary includes the portion paid abroad for services in India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Salary TDS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Podar Cement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1997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Owner for house property is the person entitled to the income in his own right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Sultan Brothers (P)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1964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Inseparable letting of building with other assets is not house property income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Shambhu Investment (P)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from letting as primary object is house property income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Chennai Properties and Investments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can be business income where letting is the main business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Raj Dadarkar and Associates v. ACIT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 or business depends on facts of each case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Taparia Tools Ltd. v. JCIT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 follows the Act, not the spreading in books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Palam Gas Service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disallowance covers amounts paid as well as payable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Alom Extrusions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PF contribution paid by return due date allowed; curative amendment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basis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Smifs Securities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Goodwill depreciable under old law (reversed by Finance Act 2021)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Balbir Singh Maini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transfer where JDA not executed; part performance needs registered agreement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C.M. Kothari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1963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Cross gifts to spouses are clubbed as indirect transfers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Clubbing</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Lovely Exports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Share money from named investors not company's income (pre-2012 law)</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Unexplained credits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PCIT v. NRA Iron and Steel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Company must prove identity, creditworthiness and genuineness of investors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Unexplained credits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Raja Benoy Kumar Sahas Roy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1957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Agriculture requires basic operations on land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Agricultural income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Gowli Buddanna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1966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Joint family property remains so with a sole surviving coparcener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HUF</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Surjit Lal Chhabda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1975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HUF can exist with one male member, wife and unmarried daughters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HUF</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Mansukh Dyeing and Printing Mills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Revaluation credited to partners and withdrawn attracts capital gains in the firm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Firms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ACIT v. Ahmedabad Urban Development Authority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public utility entities lose exemption if business receipts exceed the limit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Non-profit organisations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Noble Educational Society v. CCIT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Educational institutions must exist solely for education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Non-profit organisations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Mavilayi Service Co-operative Bank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Exclusion of co-operative banks does not apply to credit societies lending to members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Co-operatives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Totgars Co-operative Sale Society Ltd. v. ITO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surplus funds in commercial banks is taxable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Co-operatives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Apollo Tyres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 profit for MAT cannot be recomputed beyond specified adjustments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Marshall Sons and Co. (India) Ltd. v. ITO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1997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Amalgamation takes effect from the appointed date in the scheme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M&amp;A</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AO v. Nestle SA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MFN clauses in treaties need a separate notification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International</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ADIT v. E-Funds IT Solution Inc.</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Back-office subsidiary not a PE of the foreign parent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International</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Kotak Securities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Standard facilities available to all are not technical services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Ishikawajima-Harima Heavy Industries Ltd. v. DIT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Territorial nexus for FTS; later overridden by amendment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International</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Sony Ericsson Mobile Communications India (P)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 HC, 2015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Bright line test for AMP rejected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Maruti Suzuki India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 HC, 2015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AMP not an international transaction without an arrangement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Glaxo SmithKline Asia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Suggested domestic transfer pricing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Vodafone India Services (P) Ltd.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Bom HC, 2014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Issue of shares to foreign parent does not give rise to income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Walfort Share and Stock Brokers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 stripping loss allowed before the specific rule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Anti-avoidance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Biocon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Kar HC, 2020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ESOP discount deductible as employee cost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Apex Laboratories (P) Ltd. v. DCIT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Freebies to doctors not deductible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income</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Rajeev Bansal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limits for reassessment notices during the TOLA period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Reassessment</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T.S. Balaram, ITO v. Volkart Brothers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1971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Mistake apparent must be obvious, not debatable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Rectification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Malabar Industrial Co. Ltd. v. 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Revision needs order both erroneous and prejudicial to revenue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Revision</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Pooran Mal v. Director of Inspection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1974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Seized material usable as evidence even if search irregular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Search</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PCIT v. Abhisar Buildwell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Completed assessments disturbed in search only on incriminating material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Search</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Kapurchand Shrimal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1981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Appellate powers co-terminous with the Assessing Officer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Collector, Land Acquisition v. Mst. Katiji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1987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Liberal approach to condonation of delay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PCIT v. LG Electronics India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deposit for stay is not a rigid rule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Chhabil Dass Agarwal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Writ not entertained where statutory appeal is available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Tata Chemicals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payable on refund of excess TDS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CIT v. Reliance Petroproducts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Unsustainable claim with full disclosure is not inaccurate particulars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Penalties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Dharmendra Textile Processors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Civil penalties do not need mens rea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Penalties</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Sasi Enterprises v. ACIT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Prosecution for non-filing can proceed despite pending assessment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Prosecution</w:t>
            </w:r>
          </w:p>
        </w:tc>
      </w:tr>
    </w:tbl>
    <w:p>
      <w:pPr>
        <w:pStyle w:val="Heading1"/>
        <w:pageBreakBefore/>
        <w:spacing w:after="200" w:before="0"/>
      </w:pPr>
      <w:r>
        <w:rPr>
          <w:rFonts w:ascii="Verdana" w:cs="Verdana" w:eastAsia="Verdana" w:hAnsi="Verdana"/>
        </w:rPr>
        <w:t xml:space="preserve">Appendix F: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Term</w:t>
            </w:r>
          </w:p>
        </w:tc>
        <w:tc>
          <w:tcPr>
            <w:tcW w:type="dxa" w:w="7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Meaning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Accreted income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FMV of assets of an NPO less liabilities, taxed on exit from the NPO regime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Adjusted gross total income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Base for the 10% donation cap under section 133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Associated enterprise, a related party under the transfer pricing rules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ALP</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Arm's length price: the price unrelated parties would agree in similar conditions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Alternate Minimum Tax for non-corporate taxpayers claiming certain deductions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APA</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Pricing Agreement fixing TP method or price for future years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Arm's length range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35th to 65th percentile of comparable results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Assessee in default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person who fails to deduct or pay tax as required, or to pay a demand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Block period</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Six years before the year of search plus the part of the year of search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 profit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Profit as per financial statements adjusted for MAT purposes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connection</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real and intimate relation between a non-resident's business and activity in India</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Accounts Scheme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 deposit scheme to park unutilised capital gains pending reinvestment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CbCR</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Country-by-country report for large multinational groups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Corpus donation</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Donation to an NPO with a specific direction to form part of its corpus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Inflation Index</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Index notified each year for indexation of cost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owner</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treated as owner of house property though not the legal owner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DIN</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Document Identification Number on every departmental communication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DTAA</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Double Taxation Avoidance Agreement, a tax treaty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EBITDA</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Earnings before interest, tax, depreciation and amortisation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FAR analysis</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Functions, assets and risks analysis in transfer pricing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 168</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tax statement (old Form 26AS)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FTS</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Fees for technical services: managerial, technical or consultancy services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GAAR</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Anti-Avoidance Rule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ICDS</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Computation and Disclosure Standards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tax credit under GST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Marginal relief</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Relief that limits tax increase to the income above a threshold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Minimum Alternate Tax on book profit of companies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MLI</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Multilateral Instrument that modifies tax treaties, including the Principal Purpose Test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worth (slump sale)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Aggregate value of assets of the undertaking less its liabilities, as defined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Partial integration</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Method of using exempt agricultural income to determine the rate on other income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Permanent establishment: a taxable presence of a foreign enterprise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POEM</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effective management of a company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taxation</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deemed at a fixed percentage of turnover or receipts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RNOR</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 but not ordinarily resident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SDT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domestic transaction under transfer pricing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Secondary adjustment</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Adjustment to align cash with the TP adjusted position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SEP</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Significant economic presence, a digital business connection test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Slump sale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an undertaking for a lump sum without values assigned to individual assets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person (clubbing and related party)</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Relatives, substantial interest holders and connected entities as defined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residency certificate</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Certificate from the home country confirming residence for treaty purposes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Year</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12 months from 1 April to 31 March in which income is earned (section 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TNMM</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Transactional Net Margin Method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TRC</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Residency Certificate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Unabsorbed depreciation</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 not set off due to insufficient profits, carried forward without limit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WDV</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Written down value of a block of assets</w:t>
            </w:r>
          </w:p>
        </w:tc>
      </w:tr>
    </w:tbl>
    <w:p>
      <w:pPr>
        <w:pStyle w:val="Heading1"/>
        <w:pageBreakBefore/>
        <w:spacing w:after="200" w:before="0"/>
      </w:pPr>
      <w:r>
        <w:rPr>
          <w:rFonts w:ascii="Verdana" w:cs="Verdana" w:eastAsia="Verdana" w:hAnsi="Verdana"/>
        </w:rPr>
        <w:t xml:space="preserve">Appendix G: Rates and Thresholds at a Glance (Tax Year 2026-27)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000"/>
      </w:tblGrid>
      <w:tr>
        <w:trPr>
          <w:cantSplit/>
          <w:tblHeader/>
        </w:trPr>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6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Figure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regime slabs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 up to 4 lakh; 5% to 8 lakh; 10% to 12 lakh; 15% to 16 lakh; 20% to 20 lakh; 25% to 24 lakh; 30% above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regime slabs (below 60)</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 up to 2.5 lakh; 5% to 5 lakh; 20% to 10 lakh; 30% above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Rebate (section 156)</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up to Rs. 60,000 if income up to Rs. 12 lakh; Old: up to Rs. 12,500 if income up to Rs. 5 lakh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Standard deduction (salary)</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Rs. 75,000; Old Rs. 50,000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Surcharge (individuals)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above 50 lakh; 15% above 1 crore; 25% above 2 crore; 37% above 5 crore (old regime only)</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Cess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listed equity (section 196)</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listed equity (section 198)</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above Rs. 1,25,000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other assets (section 197)</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 (20% with indexation option for pre-23 July 2024 land and building of resident individuals and HUFs)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Company rates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 or 30% (normal); 22% (section 200); 15% (section 201); foreign company 35%</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 of book profit; final tax from Tax Year 2026-27</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Firm and LLP</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surcharge 12% above Rs. 1 crore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business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 (6% digital); limit Rs. 2 crore (Rs. 3 crore)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profession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limit Rs. 50 lakh (Rs. 75 lakh)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audit</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Rs. 1 crore (Rs. 10 crore); profession Rs. 50 lakh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expense limit</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per person per day (Rs. 35,000 transporters)</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Gifts from non-relatives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if aggregate exceeds Rs. 50,000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tax</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 tax Rs. 10,000 or more; 15%, 45%, 75%, 100%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(sections 423 to 425)</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 month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Late return fee</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5,000 (Rs. 1,000 if income up to Rs. 5 lakh)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Updated return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48 months; additional tax 25%, 50%, 60%, 70%</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HRA 50% cities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Mumbai, Delhi, Kolkata, Chennai, Ahmedabad, Bengaluru, Hyderabad, Pune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Gratuity exemption cap</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 lakh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Leave encashment exemption cap</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25 lakh</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Employer retirement contribution cap</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7.5 lakh (PF, NPS, superannuation together)</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123 limit</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1.5 lakh; plus Rs. 50,000 own NPS under section 124</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Thin capitalisation</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above Rs. 1 crore to AEs capped at 30% of EBITDA</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TP documentation threshold</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International transactions above Rs. 1 crore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SDT threshold</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 crore</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Safe harbour for IT services</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Transactions up to Rs. 2,000 crore; margin 15.5%</w:t>
            </w:r>
          </w:p>
        </w:tc>
      </w:tr>
      <w:tr>
        <w:trPr>
          <w:cantSplit/>
        </w:trPr>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GAAR threshold</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benefit above Rs. 3 crore</w:t>
            </w:r>
          </w:p>
        </w:tc>
      </w:tr>
    </w:tbl>
    <w:p>
      <w:pPr>
        <w:pStyle w:val="Heading1"/>
        <w:pageBreakBefore/>
        <w:spacing w:after="200" w:before="0"/>
      </w:pPr>
      <w:r>
        <w:rPr>
          <w:rFonts w:ascii="Verdana" w:cs="Verdana" w:eastAsia="Verdana" w:hAnsi="Verdana"/>
        </w:rPr>
        <w:t xml:space="preserve">Appendix H: Year-end Tax Checklists</w:t>
      </w:r>
    </w:p>
    <w:p>
      <w:pPr>
        <w:pStyle w:val="Heading2"/>
        <w:keepNext/>
        <w:spacing w:after="120" w:before="240"/>
      </w:pPr>
      <w:r>
        <w:rPr>
          <w:rFonts w:ascii="Verdana" w:cs="Verdana" w:eastAsia="Verdana" w:hAnsi="Verdana"/>
        </w:rPr>
        <w:t xml:space="preserve">Individuals</w:t>
      </w:r>
    </w:p>
    <w:p>
      <w:pPr>
        <w:pStyle w:val="ListParagraph"/>
        <w:numPr>
          <w:ilvl w:val="0"/>
          <w:numId w:val="2"/>
        </w:numPr>
        <w:spacing w:after="60" w:line="264"/>
      </w:pPr>
      <w:r>
        <w:rPr>
          <w:rFonts w:ascii="Verdana" w:cs="Verdana" w:eastAsia="Verdana" w:hAnsi="Verdana"/>
        </w:rPr>
        <w:t xml:space="preserve">Decide the regime for the year and inform the employer.</w:t>
      </w:r>
    </w:p>
    <w:p>
      <w:pPr>
        <w:pStyle w:val="ListParagraph"/>
        <w:numPr>
          <w:ilvl w:val="0"/>
          <w:numId w:val="2"/>
        </w:numPr>
        <w:spacing w:after="60" w:line="264"/>
      </w:pPr>
      <w:r>
        <w:rPr>
          <w:rFonts w:ascii="Verdana" w:cs="Verdana" w:eastAsia="Verdana" w:hAnsi="Verdana"/>
        </w:rPr>
        <w:t xml:space="preserve">Complete investments under sections 123, 124 and 126 before 31 March (old regime).</w:t>
      </w:r>
    </w:p>
    <w:p>
      <w:pPr>
        <w:pStyle w:val="ListParagraph"/>
        <w:numPr>
          <w:ilvl w:val="0"/>
          <w:numId w:val="2"/>
        </w:numPr>
        <w:spacing w:after="60" w:line="264"/>
      </w:pPr>
      <w:r>
        <w:rPr>
          <w:rFonts w:ascii="Verdana" w:cs="Verdana" w:eastAsia="Verdana" w:hAnsi="Verdana"/>
        </w:rPr>
        <w:t xml:space="preserve">Review capital gains: harvest gains within Rs. 1.25 lakh, book losses to set off, plan reinvestments under sections 82, 85 and 86.</w:t>
      </w:r>
    </w:p>
    <w:p>
      <w:pPr>
        <w:pStyle w:val="ListParagraph"/>
        <w:numPr>
          <w:ilvl w:val="0"/>
          <w:numId w:val="2"/>
        </w:numPr>
        <w:spacing w:after="60" w:line="264"/>
      </w:pPr>
      <w:r>
        <w:rPr>
          <w:rFonts w:ascii="Verdana" w:cs="Verdana" w:eastAsia="Verdana" w:hAnsi="Verdana"/>
        </w:rPr>
        <w:t xml:space="preserve">Pay the final advance tax instalment by 15 March.</w:t>
      </w:r>
    </w:p>
    <w:p>
      <w:pPr>
        <w:pStyle w:val="ListParagraph"/>
        <w:numPr>
          <w:ilvl w:val="0"/>
          <w:numId w:val="2"/>
        </w:numPr>
        <w:spacing w:after="60" w:line="264"/>
      </w:pPr>
      <w:r>
        <w:rPr>
          <w:rFonts w:ascii="Verdana" w:cs="Verdana" w:eastAsia="Verdana" w:hAnsi="Verdana"/>
        </w:rPr>
        <w:t xml:space="preserve">Collect proofs: rent receipts, insurance premium, donation certificates (Form 114), home loan certificate.</w:t>
      </w:r>
    </w:p>
    <w:p>
      <w:pPr>
        <w:pStyle w:val="ListParagraph"/>
        <w:numPr>
          <w:ilvl w:val="0"/>
          <w:numId w:val="2"/>
        </w:numPr>
        <w:spacing w:after="60" w:line="264"/>
      </w:pPr>
      <w:r>
        <w:rPr>
          <w:rFonts w:ascii="Verdana" w:cs="Verdana" w:eastAsia="Verdana" w:hAnsi="Verdana"/>
        </w:rPr>
        <w:t xml:space="preserve">Check AIS and Form 168 for all income before filing; submit feedback on errors.</w:t>
      </w:r>
    </w:p>
    <w:p>
      <w:pPr>
        <w:pStyle w:val="ListParagraph"/>
        <w:numPr>
          <w:ilvl w:val="0"/>
          <w:numId w:val="2"/>
        </w:numPr>
        <w:spacing w:after="60" w:line="264"/>
      </w:pPr>
      <w:r>
        <w:rPr>
          <w:rFonts w:ascii="Verdana" w:cs="Verdana" w:eastAsia="Verdana" w:hAnsi="Verdana"/>
        </w:rPr>
        <w:t xml:space="preserve">Report foreign assets in Schedule FA if resident.</w:t>
      </w:r>
    </w:p>
    <w:p>
      <w:pPr>
        <w:pStyle w:val="Heading2"/>
        <w:keepNext/>
        <w:spacing w:after="120" w:before="240"/>
      </w:pPr>
      <w:r>
        <w:rPr>
          <w:rFonts w:ascii="Verdana" w:cs="Verdana" w:eastAsia="Verdana" w:hAnsi="Verdana"/>
        </w:rPr>
        <w:t xml:space="preserve">Businesses and professionals</w:t>
      </w:r>
    </w:p>
    <w:p>
      <w:pPr>
        <w:pStyle w:val="ListParagraph"/>
        <w:numPr>
          <w:ilvl w:val="0"/>
          <w:numId w:val="2"/>
        </w:numPr>
        <w:spacing w:after="60" w:line="264"/>
      </w:pPr>
      <w:r>
        <w:rPr>
          <w:rFonts w:ascii="Verdana" w:cs="Verdana" w:eastAsia="Verdana" w:hAnsi="Verdana"/>
        </w:rPr>
        <w:t xml:space="preserve">Deduct and deposit TDS on all expenses and year-end provisions.</w:t>
      </w:r>
    </w:p>
    <w:p>
      <w:pPr>
        <w:pStyle w:val="ListParagraph"/>
        <w:numPr>
          <w:ilvl w:val="0"/>
          <w:numId w:val="2"/>
        </w:numPr>
        <w:spacing w:after="60" w:line="264"/>
      </w:pPr>
      <w:r>
        <w:rPr>
          <w:rFonts w:ascii="Verdana" w:cs="Verdana" w:eastAsia="Verdana" w:hAnsi="Verdana"/>
        </w:rPr>
        <w:t xml:space="preserve">Pay MSME dues within MSMED time limits; pay statutory dues and bonus before the return due date.</w:t>
      </w:r>
    </w:p>
    <w:p>
      <w:pPr>
        <w:pStyle w:val="ListParagraph"/>
        <w:numPr>
          <w:ilvl w:val="0"/>
          <w:numId w:val="2"/>
        </w:numPr>
        <w:spacing w:after="60" w:line="264"/>
      </w:pPr>
      <w:r>
        <w:rPr>
          <w:rFonts w:ascii="Verdana" w:cs="Verdana" w:eastAsia="Verdana" w:hAnsi="Verdana"/>
        </w:rPr>
        <w:t xml:space="preserve">Avoid cash payments above Rs. 10,000 per person per day.</w:t>
      </w:r>
    </w:p>
    <w:p>
      <w:pPr>
        <w:pStyle w:val="ListParagraph"/>
        <w:numPr>
          <w:ilvl w:val="0"/>
          <w:numId w:val="2"/>
        </w:numPr>
        <w:spacing w:after="60" w:line="264"/>
      </w:pPr>
      <w:r>
        <w:rPr>
          <w:rFonts w:ascii="Verdana" w:cs="Verdana" w:eastAsia="Verdana" w:hAnsi="Verdana"/>
        </w:rPr>
        <w:t xml:space="preserve">Complete fixed asset additions before 1 October for full depreciation where possible.</w:t>
      </w:r>
    </w:p>
    <w:p>
      <w:pPr>
        <w:pStyle w:val="ListParagraph"/>
        <w:numPr>
          <w:ilvl w:val="0"/>
          <w:numId w:val="2"/>
        </w:numPr>
        <w:spacing w:after="60" w:line="264"/>
      </w:pPr>
      <w:r>
        <w:rPr>
          <w:rFonts w:ascii="Verdana" w:cs="Verdana" w:eastAsia="Verdana" w:hAnsi="Verdana"/>
        </w:rPr>
        <w:t xml:space="preserve">Reconcile GST turnover with books.</w:t>
      </w:r>
    </w:p>
    <w:p>
      <w:pPr>
        <w:pStyle w:val="ListParagraph"/>
        <w:numPr>
          <w:ilvl w:val="0"/>
          <w:numId w:val="2"/>
        </w:numPr>
        <w:spacing w:after="60" w:line="264"/>
      </w:pPr>
      <w:r>
        <w:rPr>
          <w:rFonts w:ascii="Verdana" w:cs="Verdana" w:eastAsia="Verdana" w:hAnsi="Verdana"/>
        </w:rPr>
        <w:t xml:space="preserve">Prepare for tax audit and Form 26 information.</w:t>
      </w:r>
    </w:p>
    <w:p>
      <w:pPr>
        <w:pStyle w:val="ListParagraph"/>
        <w:numPr>
          <w:ilvl w:val="0"/>
          <w:numId w:val="2"/>
        </w:numPr>
        <w:spacing w:after="60" w:line="264"/>
      </w:pPr>
      <w:r>
        <w:rPr>
          <w:rFonts w:ascii="Verdana" w:cs="Verdana" w:eastAsia="Verdana" w:hAnsi="Verdana"/>
        </w:rPr>
        <w:t xml:space="preserve">Review partner remuneration within limits and the deed authorisation (firms).</w:t>
      </w:r>
    </w:p>
    <w:p>
      <w:pPr>
        <w:pStyle w:val="Heading2"/>
        <w:keepNext/>
        <w:spacing w:after="120" w:before="240"/>
      </w:pPr>
      <w:r>
        <w:rPr>
          <w:rFonts w:ascii="Verdana" w:cs="Verdana" w:eastAsia="Verdana" w:hAnsi="Verdana"/>
        </w:rPr>
        <w:t xml:space="preserve">Companies</w:t>
      </w:r>
    </w:p>
    <w:p>
      <w:pPr>
        <w:pStyle w:val="ListParagraph"/>
        <w:numPr>
          <w:ilvl w:val="0"/>
          <w:numId w:val="2"/>
        </w:numPr>
        <w:spacing w:after="60" w:line="264"/>
      </w:pPr>
      <w:r>
        <w:rPr>
          <w:rFonts w:ascii="Verdana" w:cs="Verdana" w:eastAsia="Verdana" w:hAnsi="Verdana"/>
        </w:rPr>
        <w:t xml:space="preserve">Update tax and MAT estimates; true up advance tax.</w:t>
      </w:r>
    </w:p>
    <w:p>
      <w:pPr>
        <w:pStyle w:val="ListParagraph"/>
        <w:numPr>
          <w:ilvl w:val="0"/>
          <w:numId w:val="2"/>
        </w:numPr>
        <w:spacing w:after="60" w:line="264"/>
      </w:pPr>
      <w:r>
        <w:rPr>
          <w:rFonts w:ascii="Verdana" w:cs="Verdana" w:eastAsia="Verdana" w:hAnsi="Verdana"/>
        </w:rPr>
        <w:t xml:space="preserve">Transfer pricing: benchmark transactions and prepare documentation; plan Form 48.</w:t>
      </w:r>
    </w:p>
    <w:p>
      <w:pPr>
        <w:pStyle w:val="ListParagraph"/>
        <w:numPr>
          <w:ilvl w:val="0"/>
          <w:numId w:val="2"/>
        </w:numPr>
        <w:spacing w:after="60" w:line="264"/>
      </w:pPr>
      <w:r>
        <w:rPr>
          <w:rFonts w:ascii="Verdana" w:cs="Verdana" w:eastAsia="Verdana" w:hAnsi="Verdana"/>
        </w:rPr>
        <w:t xml:space="preserve">Review section 119 continuity if shares have changed hands.</w:t>
      </w:r>
    </w:p>
    <w:p>
      <w:pPr>
        <w:pStyle w:val="ListParagraph"/>
        <w:numPr>
          <w:ilvl w:val="0"/>
          <w:numId w:val="2"/>
        </w:numPr>
        <w:spacing w:after="60" w:line="264"/>
      </w:pPr>
      <w:r>
        <w:rPr>
          <w:rFonts w:ascii="Verdana" w:cs="Verdana" w:eastAsia="Verdana" w:hAnsi="Verdana"/>
        </w:rPr>
        <w:t xml:space="preserve">Plan dividends for section 148 before 30 September.</w:t>
      </w:r>
    </w:p>
    <w:p>
      <w:pPr>
        <w:pStyle w:val="ListParagraph"/>
        <w:numPr>
          <w:ilvl w:val="0"/>
          <w:numId w:val="2"/>
        </w:numPr>
        <w:spacing w:after="60" w:line="264"/>
      </w:pPr>
      <w:r>
        <w:rPr>
          <w:rFonts w:ascii="Verdana" w:cs="Verdana" w:eastAsia="Verdana" w:hAnsi="Verdana"/>
        </w:rPr>
        <w:t xml:space="preserve">Compute deferred tax and uncertain tax positions for the financial statements.</w:t>
      </w:r>
    </w:p>
    <w:p>
      <w:pPr>
        <w:pStyle w:val="ListParagraph"/>
        <w:numPr>
          <w:ilvl w:val="0"/>
          <w:numId w:val="2"/>
        </w:numPr>
        <w:spacing w:after="60" w:line="264"/>
      </w:pPr>
      <w:r>
        <w:rPr>
          <w:rFonts w:ascii="Verdana" w:cs="Verdana" w:eastAsia="Verdana" w:hAnsi="Verdana"/>
        </w:rPr>
        <w:t xml:space="preserve">Confirm eligibility and conditions for any deductions (sections 140, 146, 147).</w:t>
      </w:r>
    </w:p>
    <w:p>
      <w:pPr>
        <w:pStyle w:val="Heading1"/>
        <w:pageBreakBefore/>
        <w:spacing w:after="200" w:before="0"/>
      </w:pPr>
      <w:r>
        <w:rPr>
          <w:rFonts w:ascii="Verdana" w:cs="Verdana" w:eastAsia="Verdana" w:hAnsi="Verdana"/>
        </w:rPr>
        <w:t xml:space="preserve">Appendix I: Specimen Formats</w:t>
      </w:r>
    </w:p>
    <w:p>
      <w:pPr>
        <w:spacing w:after="120" w:line="276"/>
        <w:jc w:val="both"/>
      </w:pPr>
      <w:r>
        <w:rPr>
          <w:rFonts w:ascii="Verdana" w:cs="Verdana" w:eastAsia="Verdana" w:hAnsi="Verdana"/>
        </w:rPr>
        <w:t xml:space="preserve">The formats below are starting points. Adapt them to the facts, keep the tone factual, and attach indexed documents. Most submissions are now made through the e-filing portal, where the text can be pasted and attachments uploaded.</w:t>
      </w:r>
    </w:p>
    <w:p>
      <w:pPr>
        <w:pStyle w:val="Heading2"/>
        <w:keepNext/>
        <w:spacing w:after="120" w:before="240"/>
      </w:pPr>
      <w:r>
        <w:rPr>
          <w:rFonts w:ascii="Verdana" w:cs="Verdana" w:eastAsia="Verdana" w:hAnsi="Verdana"/>
        </w:rPr>
        <w:t xml:space="preserve">Reply to a notice for information or inquiry</w:t>
      </w:r>
    </w:p>
    <w:p>
      <w:pPr>
        <w:spacing w:after="80" w:line="264"/>
        <w:ind w:left="360"/>
      </w:pPr>
      <w:r>
        <w:rPr>
          <w:rFonts w:ascii="Verdana" w:cs="Verdana" w:eastAsia="Verdana" w:hAnsi="Verdana"/>
          <w:sz w:val="20"/>
          <w:szCs w:val="20"/>
        </w:rPr>
        <w:t xml:space="preserve">To: The Assessing Officer, [Ward or Circle], [City]</w:t>
      </w:r>
    </w:p>
    <w:p>
      <w:pPr>
        <w:spacing w:after="80" w:line="264"/>
        <w:ind w:left="360"/>
      </w:pPr>
      <w:r>
        <w:rPr>
          <w:rFonts w:ascii="Verdana" w:cs="Verdana" w:eastAsia="Verdana" w:hAnsi="Verdana"/>
          <w:sz w:val="20"/>
          <w:szCs w:val="20"/>
        </w:rPr>
        <w:t xml:space="preserve">Subject: Reply to notice dated [date] (DIN [number]) for Tax Year [year], PAN [number]</w:t>
      </w:r>
    </w:p>
    <w:p>
      <w:pPr>
        <w:spacing w:after="80" w:line="264"/>
        <w:ind w:left="360"/>
      </w:pPr>
      <w:r>
        <w:rPr>
          <w:rFonts w:ascii="Verdana" w:cs="Verdana" w:eastAsia="Verdana" w:hAnsi="Verdana"/>
          <w:sz w:val="20"/>
          <w:szCs w:val="20"/>
        </w:rPr>
        <w:t xml:space="preserve">Sir or Madam,</w:t>
      </w:r>
    </w:p>
    <w:p>
      <w:pPr>
        <w:spacing w:after="80" w:line="264"/>
        <w:ind w:left="360"/>
      </w:pPr>
      <w:r>
        <w:rPr>
          <w:rFonts w:ascii="Verdana" w:cs="Verdana" w:eastAsia="Verdana" w:hAnsi="Verdana"/>
          <w:sz w:val="20"/>
          <w:szCs w:val="20"/>
        </w:rPr>
        <w:t xml:space="preserve">1. This refers to the above notice asking for [brief description of the information sought].</w:t>
      </w:r>
    </w:p>
    <w:p>
      <w:pPr>
        <w:spacing w:after="80" w:line="264"/>
        <w:ind w:left="360"/>
      </w:pPr>
      <w:r>
        <w:rPr>
          <w:rFonts w:ascii="Verdana" w:cs="Verdana" w:eastAsia="Verdana" w:hAnsi="Verdana"/>
          <w:sz w:val="20"/>
          <w:szCs w:val="20"/>
        </w:rPr>
        <w:t xml:space="preserve">2. The information is furnished point-wise below, with supporting documents attached as Annexures 1 to [n].</w:t>
      </w:r>
    </w:p>
    <w:p>
      <w:pPr>
        <w:spacing w:after="80" w:line="264"/>
        <w:ind w:left="360"/>
      </w:pPr>
      <w:r>
        <w:rPr>
          <w:rFonts w:ascii="Verdana" w:cs="Verdana" w:eastAsia="Verdana" w:hAnsi="Verdana"/>
          <w:sz w:val="20"/>
          <w:szCs w:val="20"/>
        </w:rPr>
        <w:t xml:space="preserve">3. [Point 1 of the notice]: [Reply with facts, amounts and reference to annexure].</w:t>
      </w:r>
    </w:p>
    <w:p>
      <w:pPr>
        <w:spacing w:after="80" w:line="264"/>
        <w:ind w:left="360"/>
      </w:pPr>
      <w:r>
        <w:rPr>
          <w:rFonts w:ascii="Verdana" w:cs="Verdana" w:eastAsia="Verdana" w:hAnsi="Verdana"/>
          <w:sz w:val="20"/>
          <w:szCs w:val="20"/>
        </w:rPr>
        <w:t xml:space="preserve">4. [Point 2 of the notice]: [Reply].</w:t>
      </w:r>
    </w:p>
    <w:p>
      <w:pPr>
        <w:spacing w:after="80" w:line="264"/>
        <w:ind w:left="360"/>
      </w:pPr>
      <w:r>
        <w:rPr>
          <w:rFonts w:ascii="Verdana" w:cs="Verdana" w:eastAsia="Verdana" w:hAnsi="Verdana"/>
          <w:sz w:val="20"/>
          <w:szCs w:val="20"/>
        </w:rPr>
        <w:t xml:space="preserve">5. The assessee requests that the information be taken on record. Any further information required will be furnished promptly.</w:t>
      </w:r>
    </w:p>
    <w:p>
      <w:pPr>
        <w:spacing w:after="80" w:line="264"/>
        <w:ind w:left="360"/>
      </w:pPr>
      <w:r>
        <w:rPr>
          <w:rFonts w:ascii="Verdana" w:cs="Verdana" w:eastAsia="Verdana" w:hAnsi="Verdana"/>
          <w:sz w:val="20"/>
          <w:szCs w:val="20"/>
        </w:rPr>
        <w:t xml:space="preserve">Yours faithfully, [Name], [Designation or Authorised Representative], [Date]</w:t>
      </w:r>
    </w:p>
    <w:p>
      <w:pPr>
        <w:pStyle w:val="Heading2"/>
        <w:keepNext/>
        <w:spacing w:after="120" w:before="240"/>
      </w:pPr>
      <w:r>
        <w:rPr>
          <w:rFonts w:ascii="Verdana" w:cs="Verdana" w:eastAsia="Verdana" w:hAnsi="Verdana"/>
        </w:rPr>
        <w:t xml:space="preserve">Application for rectification of a mistake apparent from the record</w:t>
      </w:r>
    </w:p>
    <w:p>
      <w:pPr>
        <w:spacing w:after="80" w:line="264"/>
        <w:ind w:left="360"/>
      </w:pPr>
      <w:r>
        <w:rPr>
          <w:rFonts w:ascii="Verdana" w:cs="Verdana" w:eastAsia="Verdana" w:hAnsi="Verdana"/>
          <w:sz w:val="20"/>
          <w:szCs w:val="20"/>
        </w:rPr>
        <w:t xml:space="preserve">To: [Centralised Processing Centre or Assessing Officer]</w:t>
      </w:r>
    </w:p>
    <w:p>
      <w:pPr>
        <w:spacing w:after="80" w:line="264"/>
        <w:ind w:left="360"/>
      </w:pPr>
      <w:r>
        <w:rPr>
          <w:rFonts w:ascii="Verdana" w:cs="Verdana" w:eastAsia="Verdana" w:hAnsi="Verdana"/>
          <w:sz w:val="20"/>
          <w:szCs w:val="20"/>
        </w:rPr>
        <w:t xml:space="preserve">Subject: Application for rectification of intimation or order dated [date] for Tax Year [year], PAN [number]</w:t>
      </w:r>
    </w:p>
    <w:p>
      <w:pPr>
        <w:spacing w:after="80" w:line="264"/>
        <w:ind w:left="360"/>
      </w:pPr>
      <w:r>
        <w:rPr>
          <w:rFonts w:ascii="Verdana" w:cs="Verdana" w:eastAsia="Verdana" w:hAnsi="Verdana"/>
          <w:sz w:val="20"/>
          <w:szCs w:val="20"/>
        </w:rPr>
        <w:t xml:space="preserve">1. In the above intimation or order, [describe the mistake, for example, TDS credit of Rs. [amount] reflected in Form 168 has not been allowed].</w:t>
      </w:r>
    </w:p>
    <w:p>
      <w:pPr>
        <w:spacing w:after="80" w:line="264"/>
        <w:ind w:left="360"/>
      </w:pPr>
      <w:r>
        <w:rPr>
          <w:rFonts w:ascii="Verdana" w:cs="Verdana" w:eastAsia="Verdana" w:hAnsi="Verdana"/>
          <w:sz w:val="20"/>
          <w:szCs w:val="20"/>
        </w:rPr>
        <w:t xml:space="preserve">2. The mistake is apparent from the record because [reason, with reference to the return, Form 168 or the order itself].</w:t>
      </w:r>
    </w:p>
    <w:p>
      <w:pPr>
        <w:spacing w:after="80" w:line="264"/>
        <w:ind w:left="360"/>
      </w:pPr>
      <w:r>
        <w:rPr>
          <w:rFonts w:ascii="Verdana" w:cs="Verdana" w:eastAsia="Verdana" w:hAnsi="Verdana"/>
          <w:sz w:val="20"/>
          <w:szCs w:val="20"/>
        </w:rPr>
        <w:t xml:space="preserve">3. It is requested that the mistake be rectified and the demand of Rs. [amount] be reduced or the refund of Rs. [amount] be issued.</w:t>
      </w:r>
    </w:p>
    <w:p>
      <w:pPr>
        <w:spacing w:after="80" w:line="264"/>
        <w:ind w:left="360"/>
      </w:pPr>
      <w:r>
        <w:rPr>
          <w:rFonts w:ascii="Verdana" w:cs="Verdana" w:eastAsia="Verdana" w:hAnsi="Verdana"/>
          <w:sz w:val="20"/>
          <w:szCs w:val="20"/>
        </w:rPr>
        <w:t xml:space="preserve">Documents attached: [list].</w:t>
      </w:r>
    </w:p>
    <w:p>
      <w:pPr>
        <w:pStyle w:val="Heading2"/>
        <w:keepNext/>
        <w:spacing w:after="120" w:before="240"/>
      </w:pPr>
      <w:r>
        <w:rPr>
          <w:rFonts w:ascii="Verdana" w:cs="Verdana" w:eastAsia="Verdana" w:hAnsi="Verdana"/>
        </w:rPr>
        <w:t xml:space="preserve">Application for stay of demand</w:t>
      </w:r>
    </w:p>
    <w:p>
      <w:pPr>
        <w:spacing w:after="80" w:line="264"/>
        <w:ind w:left="360"/>
      </w:pPr>
      <w:r>
        <w:rPr>
          <w:rFonts w:ascii="Verdana" w:cs="Verdana" w:eastAsia="Verdana" w:hAnsi="Verdana"/>
          <w:sz w:val="20"/>
          <w:szCs w:val="20"/>
        </w:rPr>
        <w:t xml:space="preserve">To: The Assessing Officer, [Ward or Circle]</w:t>
      </w:r>
    </w:p>
    <w:p>
      <w:pPr>
        <w:spacing w:after="80" w:line="264"/>
        <w:ind w:left="360"/>
      </w:pPr>
      <w:r>
        <w:rPr>
          <w:rFonts w:ascii="Verdana" w:cs="Verdana" w:eastAsia="Verdana" w:hAnsi="Verdana"/>
          <w:sz w:val="20"/>
          <w:szCs w:val="20"/>
        </w:rPr>
        <w:t xml:space="preserve">Subject: Request for stay of demand of Rs. [amount] for Tax Year [year], PAN [number]</w:t>
      </w:r>
    </w:p>
    <w:p>
      <w:pPr>
        <w:spacing w:after="80" w:line="264"/>
        <w:ind w:left="360"/>
      </w:pPr>
      <w:r>
        <w:rPr>
          <w:rFonts w:ascii="Verdana" w:cs="Verdana" w:eastAsia="Verdana" w:hAnsi="Verdana"/>
          <w:sz w:val="20"/>
          <w:szCs w:val="20"/>
        </w:rPr>
        <w:t xml:space="preserve">1. An order dated [date] has created a demand of Rs. [amount].</w:t>
      </w:r>
    </w:p>
    <w:p>
      <w:pPr>
        <w:spacing w:after="80" w:line="264"/>
        <w:ind w:left="360"/>
      </w:pPr>
      <w:r>
        <w:rPr>
          <w:rFonts w:ascii="Verdana" w:cs="Verdana" w:eastAsia="Verdana" w:hAnsi="Verdana"/>
          <w:sz w:val="20"/>
          <w:szCs w:val="20"/>
        </w:rPr>
        <w:t xml:space="preserve">2. The assessee has filed an appeal before the Commissioner (Appeals) on [date] (acknowledgement attached).</w:t>
      </w:r>
    </w:p>
    <w:p>
      <w:pPr>
        <w:spacing w:after="80" w:line="264"/>
        <w:ind w:left="360"/>
      </w:pPr>
      <w:r>
        <w:rPr>
          <w:rFonts w:ascii="Verdana" w:cs="Verdana" w:eastAsia="Verdana" w:hAnsi="Verdana"/>
          <w:sz w:val="20"/>
          <w:szCs w:val="20"/>
        </w:rPr>
        <w:t xml:space="preserve">3. The additions are [briefly: covered in the assessee's favour by decisions of the jurisdictional High Court or Tribunal, or based on estimates without material].</w:t>
      </w:r>
    </w:p>
    <w:p>
      <w:pPr>
        <w:spacing w:after="80" w:line="264"/>
        <w:ind w:left="360"/>
      </w:pPr>
      <w:r>
        <w:rPr>
          <w:rFonts w:ascii="Verdana" w:cs="Verdana" w:eastAsia="Verdana" w:hAnsi="Verdana"/>
          <w:sz w:val="20"/>
          <w:szCs w:val="20"/>
        </w:rPr>
        <w:t xml:space="preserve">4. The assessee requests that the demand be stayed until disposal of the appeal. The assessee is willing to pay [20% or other amount] of the disputed demand, as per the applicable instructions.</w:t>
      </w:r>
    </w:p>
    <w:p>
      <w:pPr>
        <w:pStyle w:val="Heading2"/>
        <w:keepNext/>
        <w:spacing w:after="120" w:before="240"/>
      </w:pPr>
      <w:r>
        <w:rPr>
          <w:rFonts w:ascii="Verdana" w:cs="Verdana" w:eastAsia="Verdana" w:hAnsi="Verdana"/>
        </w:rPr>
        <w:t xml:space="preserve">Request for adjournment</w:t>
      </w:r>
    </w:p>
    <w:p>
      <w:pPr>
        <w:spacing w:after="80" w:line="264"/>
        <w:ind w:left="360"/>
      </w:pPr>
      <w:r>
        <w:rPr>
          <w:rFonts w:ascii="Verdana" w:cs="Verdana" w:eastAsia="Verdana" w:hAnsi="Verdana"/>
          <w:sz w:val="20"/>
          <w:szCs w:val="20"/>
        </w:rPr>
        <w:t xml:space="preserve">Subject: Request for adjournment of hearing fixed on [date] for Tax Year [year], PAN [number]</w:t>
      </w:r>
    </w:p>
    <w:p>
      <w:pPr>
        <w:spacing w:after="80" w:line="264"/>
        <w:ind w:left="360"/>
      </w:pPr>
      <w:r>
        <w:rPr>
          <w:rFonts w:ascii="Verdana" w:cs="Verdana" w:eastAsia="Verdana" w:hAnsi="Verdana"/>
          <w:sz w:val="20"/>
          <w:szCs w:val="20"/>
        </w:rPr>
        <w:t xml:space="preserve">1. The assessee is compiling the details sought in the notice dated [date], which involve [reason: information from third parties, voluminous records].</w:t>
      </w:r>
    </w:p>
    <w:p>
      <w:pPr>
        <w:spacing w:after="80" w:line="264"/>
        <w:ind w:left="360"/>
      </w:pPr>
      <w:r>
        <w:rPr>
          <w:rFonts w:ascii="Verdana" w:cs="Verdana" w:eastAsia="Verdana" w:hAnsi="Verdana"/>
          <w:sz w:val="20"/>
          <w:szCs w:val="20"/>
        </w:rPr>
        <w:t xml:space="preserve">2. It is requested that the hearing be adjourned by [number] days. The assessee will furnish the complete reply on or before [date].</w:t>
      </w:r>
    </w:p>
    <w:p>
      <w:pPr>
        <w:pStyle w:val="Heading2"/>
        <w:keepNext/>
        <w:spacing w:after="120" w:before="240"/>
      </w:pPr>
      <w:r>
        <w:rPr>
          <w:rFonts w:ascii="Verdana" w:cs="Verdana" w:eastAsia="Verdana" w:hAnsi="Verdana"/>
        </w:rPr>
        <w:t xml:space="preserve">Request for condonation of delay in filing an appeal</w:t>
      </w:r>
    </w:p>
    <w:p>
      <w:pPr>
        <w:spacing w:after="80" w:line="264"/>
        <w:ind w:left="360"/>
      </w:pPr>
      <w:r>
        <w:rPr>
          <w:rFonts w:ascii="Verdana" w:cs="Verdana" w:eastAsia="Verdana" w:hAnsi="Verdana"/>
          <w:sz w:val="20"/>
          <w:szCs w:val="20"/>
        </w:rPr>
        <w:t xml:space="preserve">Subject: Condonation of delay of [number] days in filing appeal against order dated [date]</w:t>
      </w:r>
    </w:p>
    <w:p>
      <w:pPr>
        <w:spacing w:after="80" w:line="264"/>
        <w:ind w:left="360"/>
      </w:pPr>
      <w:r>
        <w:rPr>
          <w:rFonts w:ascii="Verdana" w:cs="Verdana" w:eastAsia="Verdana" w:hAnsi="Verdana"/>
          <w:sz w:val="20"/>
          <w:szCs w:val="20"/>
        </w:rPr>
        <w:t xml:space="preserve">1. The order was received on [date] and the appeal was due on [date]. The appeal has been filed on [date].</w:t>
      </w:r>
    </w:p>
    <w:p>
      <w:pPr>
        <w:spacing w:after="80" w:line="264"/>
        <w:ind w:left="360"/>
      </w:pPr>
      <w:r>
        <w:rPr>
          <w:rFonts w:ascii="Verdana" w:cs="Verdana" w:eastAsia="Verdana" w:hAnsi="Verdana"/>
          <w:sz w:val="20"/>
          <w:szCs w:val="20"/>
        </w:rPr>
        <w:t xml:space="preserve">2. The delay was due to [reason: illness of the proprietor, supported by medical certificate; the order being received in an email that was not monitored].</w:t>
      </w:r>
    </w:p>
    <w:p>
      <w:pPr>
        <w:spacing w:after="80" w:line="264"/>
        <w:ind w:left="360"/>
      </w:pPr>
      <w:r>
        <w:rPr>
          <w:rFonts w:ascii="Verdana" w:cs="Verdana" w:eastAsia="Verdana" w:hAnsi="Verdana"/>
          <w:sz w:val="20"/>
          <w:szCs w:val="20"/>
        </w:rPr>
        <w:t xml:space="preserve">3. The delay was neither deliberate nor due to negligence. The assessee has a good case on merits. It is requested that the delay be condoned in the interests of justice.</w:t>
      </w:r>
    </w:p>
    <w:p>
      <w:pPr>
        <w:pStyle w:val="Heading1"/>
        <w:pageBreakBefore/>
        <w:spacing w:after="200" w:before="0"/>
      </w:pPr>
      <w:r>
        <w:rPr>
          <w:rFonts w:ascii="Verdana" w:cs="Verdana" w:eastAsia="Verdana" w:hAnsi="Verdana"/>
        </w:rPr>
        <w:t xml:space="preserve">Appendix J: Selected Sections of the Income-tax Act, 2025</w:t>
      </w:r>
    </w:p>
    <w:p>
      <w:pPr>
        <w:spacing w:after="120" w:line="276"/>
        <w:jc w:val="both"/>
      </w:pPr>
      <w:r>
        <w:rPr>
          <w:rFonts w:ascii="Verdana" w:cs="Verdana" w:eastAsia="Verdana" w:hAnsi="Verdana"/>
        </w:rPr>
        <w:t xml:space="preserve">The table lists the subject matter of frequently used sections and groups, with the old section in brackets where helpful. Descriptions are summaries, not the official headings; refer to the bare Act for exact wording.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7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Subject matter</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Short title, extent and commencement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Definitions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Definition of tax year</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Charge of income-tax</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Scope of total income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Residence in India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deemed to be received and dividend deemed to be income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on receipt of capital asset or stock-in-trade by specified person from specified entity (old 9B)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deemed to accrue or arise in India, read with Schedule I</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Apportionment of income between spouses governed by Portuguese Civil Code (old 5A)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Incomes not included in total income, read with Schedules II to VII (old 10)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Incomes of political parties and electoral trusts, read with Schedule VIII</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Heads of income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Expenditure in relation to income not forming part of total income (old 14A)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to 19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Salaries: charge, salary, perquisites, profits in lieu of salary, deductions from salary</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to 25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House property: charge, annual value, deductions, arrears and unrealised rent, co-owners, interpretation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under the head business or profession (old 28)</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Manner of computing business income (old 29)</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rates, taxes, repairs and insurance (old 30, 31, 38)</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Deductions related to employee welfare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 on certain premium</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Bad debts and provision for bad and doubtful debts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deductions (old 36)</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Depreciation (old 32)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conditions for allowable deductions (old 37)</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Amounts not deductible (old 40)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Expenses or payments not deductible (old 40A)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Deductions on actual payment only (old 43B)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profits (old 41)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39, 41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Actual cost; written down value (old 43)</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of certain assets (old 43C)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42, 43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exchange fluctuation (old 43A, 43AA)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Preliminary expenses (old 35D)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Scientific research, read with Schedule XIII (old 35)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expenditure of specified business (old 35AD)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Agricultural extension and skill development (old 35CCC, 35CCD)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48, 49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Tea, coffee, rubber development accounts; site restoration fund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Trade and professional associations (old 44A)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Prospecting of minerals (old 35E)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Amortisation: telecom, amalgamation, demerger, VRS (old 35ABA, 35ABB, 35DD, 35DDA)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Stamp value for assets other than capital assets (old 43CA)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Mineral oil business (old 42)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 business, read with Schedule XIV (old 44)</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income of specified financial institutions (old 43D)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Construction and service contracts (old 43CB)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taxation for residents (old 44AD, 44ADA, 44AE)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Royalty and FTS of non-residents (old 44DA)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Head office expenditure of non-residents (old 44C)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Presumptive taxation of non-residents (old 44B to 44BBD)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Books of account (old 44AA)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audit (old 44AB)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64, 65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Co-operative bank reorganisation (old 44DB)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Interpretation for business income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gains (old 45)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Distribution in liquidation (old 46)</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Buyback of own shares (old 46A)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Transactions not regarded as transfer (old 47)</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Withdrawal of exemption (old 47A)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Mode of computation (old 48)</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with reference to certain modes of acquisition (old 49)</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Depreciable assets (old 50)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of depreciable asset (old 50A)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Market-linked debentures and specified funds (old 50AA)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Slump sale (old 50B)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Stamp value for land and building (old 50C)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Unquoted shares (old 50CA)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FMV as consideration in certain cases (old 50D)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money received (old 51)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Residential house exemption (old 54)</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Agricultural land (old 54B)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Compulsory acquisition of industrial land and building (old 54D)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Investment in specified bonds (old 54EC)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Investment in residential house (old 54F)</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87, 88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Shifting of industrial undertakings (old 54G, 54GA)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Extension of time for acquiring new asset (old 54H)</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Meaning of adjusted cost, cost of improvement, cost of acquisition (old 55)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Reference to Valuation Officer (old 55A)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92 to 95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sources: charge, deductions, amounts not deductible, deemed profits (old 56 to 59)</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96 to 100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of other persons, clubbing (old 60 to 65)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Total income (old 66)</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102 to 106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Unexplained credits, investments, assets, expenditure, hundi borrowings (old 68 to 69D)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108 to 121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off and carry forward of losses (old 70 to 80)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Deductions: general (old 80A to 80B)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123 to 137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Deductions for certain payments (old 80C to 80GGC)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138 to 152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Deductions for certain incomes (old 80-IA to 80RRB, 10AA)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deposits (old 80TTA, 80TTB)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with disability (old 80U)</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155, 156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Rebate (old 87, 87A)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Relief for arrears or advance salary (old 89)</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Relief for retirement benefit accounts in notified countries (old 89A)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Double taxation relief under agreements (old 90, 90A)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Unilateral relief (old 91)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161 to 173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pricing (old 92 to 92F)</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Avoidance of income tax by transfer to non-residents (old 93)</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Bond washing and dividend stripping (old 94)</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Notified jurisdictional areas (old 94A)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Limitation of interest deduction (old 94B)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Consequences of impermissible avoidance arrangement (GAAR)</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 undisclosed income in block assessment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STCG on listed equity and similar assets (old 111A)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(old 112)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LTCG on listed equity and similar assets (old 112A)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Certain manufacturing domestic companies (old 115BA)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Concessional regime for domestic companies (old 115BAA)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manufacturing domestic companies (old 115BAB)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tax regime for individuals, HUFs and others (old 115BAC)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 and AMT (old 115JB, 115JC)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Dividends, interest, royalty, FTS of non-residents (old 115A)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226 to 234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Tonnage tax scheme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Permanent Account Number (old 139A, 139AA)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of income (old 139)</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return preparers (old 139B)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Verification of return (old 140)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Self assessment (old 140A)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Updated return (old 140B)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Inquiry before assessment (old 142)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Assessment (old 143)</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Best judgment assessment (old 144)</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Faceless assessment (old 144B)</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Dispute Resolution Panel (old 144C)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Income escaping assessment (old 147)</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Issue of notice (old 148)</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Procedure before notice (old 148A)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 for notices (old 149)</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 for completion of assessment (old 153)</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332 to 355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non-profit organisations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392</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salary (old 192)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393</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on other payments (old 193 to 196D)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394</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TCS (old 206C)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395</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Lower or nil deduction certificate (old 197)</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statements and certificates of TDS and TCS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403 to 411</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tax and default in payment (old 207 to 220)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413 to 420</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Recovery of tax</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423 to 426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for defaults (old 234A to 234D)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427, 428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Fees for late statements and returns (old 234E, 234F)</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437</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refunds (old 244A)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438</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off and withholding of refunds (old 245)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439</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for under-reporting and misreporting (old 270A)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536</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Repeal and savings</w:t>
            </w:r>
          </w:p>
        </w:tc>
      </w:tr>
    </w:tbl>
    <w:p>
      <w:pPr>
        <w:pStyle w:val="Heading1"/>
        <w:pageBreakBefore/>
        <w:spacing w:after="200" w:before="0"/>
      </w:pPr>
      <w:r>
        <w:rPr>
          <w:rFonts w:ascii="Verdana" w:cs="Verdana" w:eastAsia="Verdana" w:hAnsi="Verdana"/>
        </w:rPr>
        <w:t xml:space="preserve">Appendix K: Depreciation Rates (Written Down Value Method)</w:t>
      </w:r>
    </w:p>
    <w:p>
      <w:pPr>
        <w:spacing w:after="120" w:line="276"/>
        <w:jc w:val="both"/>
      </w:pPr>
      <w:r>
        <w:rPr>
          <w:rFonts w:ascii="Verdana" w:cs="Verdana" w:eastAsia="Verdana" w:hAnsi="Verdana"/>
        </w:rPr>
        <w:t xml:space="preserve">Rates as prescribed in the Rules for commonly used blocks. Half the rate applies where an asset is put to use for less than 180 days in the year of acquisition. Additional depreciation, where available, is separate.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cantSplit/>
          <w:tblHeader/>
        </w:trPr>
        <w:tc>
          <w:tcPr>
            <w:tcW w:type="dxa" w:w="7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Block of assets</w:t>
            </w:r>
          </w:p>
        </w:tc>
        <w:tc>
          <w:tcPr>
            <w:tcW w:type="dxa" w:w="2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Buildings used mainly for residential purposes (other than hotels and boarding houses)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Buildings other than residential (offices, factories, hotels)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Purely temporary erections such as wooden structures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Furniture and fittings, including electrical fittings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Plant and machinery (general rate)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Motor cars (other than those used in a business of hiring)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Motor buses, lorries and taxis used in a business of running them on hire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Aeroplanes and aero engines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Computers including computer software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Books owned by professionals (annual publications and others)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Energy saving devices, renewable energy devices, pollution control equipment (as specified)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Ocean going ships, vessels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Know-how, patents, copyrights, trademarks, licences, franchises and similar commercial rights (not goodwill)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Goodwill of a business or profession is not a depreciable asset. Where goodwill was part of a block earlier, the Rules prescribe how the block is adjusted.</w:t>
            </w:r>
          </w:p>
        </w:tc>
      </w:tr>
    </w:tbl>
    <w:p>
      <w:pPr>
        <w:pStyle w:val="Heading1"/>
        <w:pageBreakBefore/>
        <w:spacing w:after="200" w:before="0"/>
      </w:pPr>
      <w:r>
        <w:rPr>
          <w:rFonts w:ascii="Verdana" w:cs="Verdana" w:eastAsia="Verdana" w:hAnsi="Verdana"/>
        </w:rPr>
        <w:t xml:space="preserve">Appendix L: Cost Inflation Index</w:t>
      </w:r>
    </w:p>
    <w:p>
      <w:pPr>
        <w:spacing w:after="120" w:line="276"/>
        <w:jc w:val="both"/>
      </w:pPr>
      <w:r>
        <w:rPr>
          <w:rFonts w:ascii="Verdana" w:cs="Verdana" w:eastAsia="Verdana" w:hAnsi="Verdana"/>
        </w:rPr>
        <w:t xml:space="preserve">The Cost Inflation Index is used for the indexation option available to resident individuals and HUFs on land and buildings acquired before 23 July 2024, and for computing indexed cost of improvement. The base year is 2001-02. The index for 2026-27 is notified by the CBDT; use the notified figure. Illustrations in this guide assume 390 for 2026-27 only for demonstration.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trPr>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Financial year</w:t>
            </w:r>
          </w:p>
        </w:tc>
        <w:tc>
          <w:tcPr>
            <w:tcW w:type="dxa" w:w="24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Index</w:t>
            </w:r>
          </w:p>
        </w:tc>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Financial year</w:t>
            </w:r>
          </w:p>
        </w:tc>
        <w:tc>
          <w:tcPr>
            <w:tcW w:type="dxa" w:w="24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Index</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2001-02</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2014-15</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240</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2002-03</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2015-16</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254</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2003-04</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109</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2016-17</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264</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2004-05</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2017-18</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272</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2005-06</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117</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2018-19</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280</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2006-07</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2019-20</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289</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2007-08</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129</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2020-21</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301</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2008-09</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137</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2021-22</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2009-10</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148</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2022-23</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331</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2010-11</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167</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2023-24</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348</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2011-12</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2024-25</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2012-13</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2025-26</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376</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2013-14</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2026-27</w:t>
            </w:r>
          </w:p>
        </w:tc>
        <w:tc>
          <w:tcPr>
            <w:tcW w:type="dxa" w:w="24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notified</w:t>
            </w:r>
          </w:p>
        </w:tc>
      </w:tr>
    </w:tbl>
    <w:p>
      <w:pPr>
        <w:pStyle w:val="Heading1"/>
        <w:pageBreakBefore/>
        <w:spacing w:after="200" w:before="0"/>
      </w:pPr>
      <w:r>
        <w:rPr>
          <w:rFonts w:ascii="Verdana" w:cs="Verdana" w:eastAsia="Verdana" w:hAnsi="Verdana"/>
        </w:rPr>
        <w:t xml:space="preserve">References</w:t>
      </w:r>
    </w:p>
    <w:p>
      <w:pPr>
        <w:pStyle w:val="ListParagraph"/>
        <w:numPr>
          <w:ilvl w:val="0"/>
          <w:numId w:val="2"/>
        </w:numPr>
        <w:spacing w:after="60" w:line="264"/>
      </w:pPr>
      <w:r>
        <w:rPr>
          <w:rFonts w:ascii="Verdana" w:cs="Verdana" w:eastAsia="Verdana" w:hAnsi="Verdana"/>
        </w:rPr>
        <w:t xml:space="preserve">Income-tax Act, 2025 as amended by the Finance Act, 2026, and the Income-tax Rules, 2026 (Income Tax Department, incometaxindia.gov.in).</w:t>
      </w:r>
    </w:p>
    <w:p>
      <w:pPr>
        <w:pStyle w:val="ListParagraph"/>
        <w:numPr>
          <w:ilvl w:val="0"/>
          <w:numId w:val="2"/>
        </w:numPr>
        <w:spacing w:after="60" w:line="264"/>
      </w:pPr>
      <w:r>
        <w:rPr>
          <w:rFonts w:ascii="Verdana" w:cs="Verdana" w:eastAsia="Verdana" w:hAnsi="Verdana"/>
        </w:rPr>
        <w:t xml:space="preserve">Finance Act, 2026 and the Budget 2026-27 memorandum; PIB release on safe harbour for IT services.</w:t>
      </w:r>
    </w:p>
    <w:p>
      <w:pPr>
        <w:pStyle w:val="ListParagraph"/>
        <w:numPr>
          <w:ilvl w:val="0"/>
          <w:numId w:val="2"/>
        </w:numPr>
        <w:spacing w:after="60" w:line="264"/>
      </w:pPr>
      <w:r>
        <w:rPr>
          <w:rFonts w:ascii="Verdana" w:cs="Verdana" w:eastAsia="Verdana" w:hAnsi="Verdana"/>
        </w:rPr>
        <w:t xml:space="preserve">Section mapping and commentary published by ClearTax, TaxTMI, Taxguru, KDK Software, Taxonation and Taxsutra.</w:t>
      </w:r>
    </w:p>
    <w:p>
      <w:pPr>
        <w:pStyle w:val="ListParagraph"/>
        <w:numPr>
          <w:ilvl w:val="0"/>
          <w:numId w:val="2"/>
        </w:numPr>
        <w:spacing w:after="60" w:line="264"/>
      </w:pPr>
      <w:r>
        <w:rPr>
          <w:rFonts w:ascii="Verdana" w:cs="Verdana" w:eastAsia="Verdana" w:hAnsi="Verdana"/>
        </w:rPr>
        <w:t xml:space="preserve">Publications on Budget 2026 by Business Standard, BDO, KPMG and Khaitan &amp; Co. on corporate reorganisation.</w:t>
      </w:r>
    </w:p>
    <w:p>
      <w:pPr>
        <w:spacing w:after="120" w:line="276"/>
        <w:jc w:val="both"/>
      </w:pPr>
      <w:r>
        <w:rPr>
          <w:rFonts w:ascii="Verdana" w:cs="Verdana" w:eastAsia="Verdana" w:hAnsi="Verdana"/>
          <w:i/>
          <w:iCs/>
          <w:color w:val="595959"/>
          <w:sz w:val="20"/>
          <w:szCs w:val="20"/>
        </w:rPr>
        <w:t xml:space="preserve">This guide is for study and general reference only and is not legal advice. Rates, thresholds and dates can change by notification or amendment. Verify with the official text before relying on it for a client matter.</w:t>
      </w:r>
    </w:p>
    <w:p>
      <w:pPr>
        <w:pStyle w:val="Heading1"/>
        <w:pageBreakBefore/>
        <w:spacing w:after="200" w:before="0"/>
      </w:pPr>
      <w:r>
        <w:rPr>
          <w:rFonts w:ascii="Verdana" w:cs="Verdana" w:eastAsia="Verdana" w:hAnsi="Verdana"/>
        </w:rPr>
        <w:t xml:space="preserve">Table of Cases</w:t>
      </w:r>
    </w:p>
    <w:p>
      <w:pPr>
        <w:spacing w:after="120" w:line="276"/>
        <w:jc w:val="both"/>
      </w:pPr>
      <w:r>
        <w:rPr>
          <w:rFonts w:ascii="Verdana" w:cs="Verdana" w:eastAsia="Verdana" w:hAnsi="Verdana"/>
          <w:i/>
          <w:iCs/>
          <w:color w:val="404040"/>
          <w:sz w:val="19"/>
          <w:szCs w:val="19"/>
        </w:rPr>
        <w:t xml:space="preserve">Rulings are listed by the name of the taxpayer or the principal party. Page references point to the discussion of each ruling in the text and to its entry in the Digest of Landmark Rulings (Appendix E).</w:t>
      </w:r>
    </w:p>
    <w:p>
      <w:pPr>
        <w:keepNext/>
        <w:spacing w:after="40" w:before="160"/>
      </w:pPr>
      <w:r>
        <w:rPr>
          <w:rFonts w:ascii="Verdana" w:cs="Verdana" w:eastAsia="Verdana" w:hAnsi="Verdana"/>
          <w:b/>
          <w:bCs/>
          <w:color w:val="92400E"/>
          <w:sz w:val="22"/>
          <w:szCs w:val="22"/>
        </w:rPr>
        <w:t xml:space="preserve">A</w:t>
      </w:r>
    </w:p>
    <w:p>
      <w:pPr>
        <w:tabs>
          <w:tab w:val="right" w:pos="9638" w:leader="dot"/>
        </w:tabs>
        <w:spacing w:after="20"/>
        <w:ind w:left="200" w:right="0"/>
      </w:pPr>
      <w:r>
        <w:rPr>
          <w:rFonts w:ascii="Verdana" w:cs="Verdana" w:eastAsia="Verdana" w:hAnsi="Verdana"/>
          <w:sz w:val="19"/>
          <w:szCs w:val="19"/>
        </w:rPr>
        <w:t xml:space="preserve">PCIT v. Abhisar Buildwell (P) Ltd. (SC, 2023)</w:t>
      </w:r>
      <w:r>
        <w:rPr>
          <w:rFonts w:ascii="Verdana" w:cs="Verdana" w:eastAsia="Verdana" w:hAnsi="Verdana"/>
          <w:sz w:val="19"/>
          <w:szCs w:val="19"/>
        </w:rPr>
        <w:t xml:space="preserve">	170, 212</w:t>
      </w:r>
    </w:p>
    <w:p>
      <w:pPr>
        <w:tabs>
          <w:tab w:val="right" w:pos="9638" w:leader="dot"/>
        </w:tabs>
        <w:spacing w:after="20"/>
        <w:ind w:left="200" w:right="0"/>
      </w:pPr>
      <w:r>
        <w:rPr>
          <w:rFonts w:ascii="Verdana" w:cs="Verdana" w:eastAsia="Verdana" w:hAnsi="Verdana"/>
          <w:sz w:val="19"/>
          <w:szCs w:val="19"/>
        </w:rPr>
        <w:t xml:space="preserve">CIT v. Ace Builders (P) Ltd. (Bom HC, 2005)</w:t>
      </w:r>
      <w:r>
        <w:rPr>
          <w:rFonts w:ascii="Verdana" w:cs="Verdana" w:eastAsia="Verdana" w:hAnsi="Verdana"/>
          <w:sz w:val="19"/>
          <w:szCs w:val="19"/>
        </w:rPr>
        <w:t xml:space="preserve">	63, 210</w:t>
      </w:r>
    </w:p>
    <w:p>
      <w:pPr>
        <w:tabs>
          <w:tab w:val="right" w:pos="9638" w:leader="dot"/>
        </w:tabs>
        <w:spacing w:after="20"/>
        <w:ind w:left="200" w:right="0"/>
      </w:pPr>
      <w:r>
        <w:rPr>
          <w:rFonts w:ascii="Verdana" w:cs="Verdana" w:eastAsia="Verdana" w:hAnsi="Verdana"/>
          <w:sz w:val="19"/>
          <w:szCs w:val="19"/>
        </w:rPr>
        <w:t xml:space="preserve">ACIT v. Ahmedabad Urban Development Authority (SC, 2022)</w:t>
      </w:r>
      <w:r>
        <w:rPr>
          <w:rFonts w:ascii="Verdana" w:cs="Verdana" w:eastAsia="Verdana" w:hAnsi="Verdana"/>
          <w:sz w:val="19"/>
          <w:szCs w:val="19"/>
        </w:rPr>
        <w:t xml:space="preserve">	98, 211</w:t>
      </w:r>
    </w:p>
    <w:p>
      <w:pPr>
        <w:tabs>
          <w:tab w:val="right" w:pos="9638" w:leader="dot"/>
        </w:tabs>
        <w:spacing w:after="20"/>
        <w:ind w:left="200" w:right="0"/>
      </w:pPr>
      <w:r>
        <w:rPr>
          <w:rFonts w:ascii="Verdana" w:cs="Verdana" w:eastAsia="Verdana" w:hAnsi="Verdana"/>
          <w:sz w:val="19"/>
          <w:szCs w:val="19"/>
        </w:rPr>
        <w:t xml:space="preserve">CIT v. Alom Extrusions Ltd. (SC, 2009)</w:t>
      </w:r>
      <w:r>
        <w:rPr>
          <w:rFonts w:ascii="Verdana" w:cs="Verdana" w:eastAsia="Verdana" w:hAnsi="Verdana"/>
          <w:sz w:val="19"/>
          <w:szCs w:val="19"/>
        </w:rPr>
        <w:t xml:space="preserve">	52, 211</w:t>
      </w:r>
    </w:p>
    <w:p>
      <w:pPr>
        <w:tabs>
          <w:tab w:val="right" w:pos="9638" w:leader="dot"/>
        </w:tabs>
        <w:spacing w:after="20"/>
        <w:ind w:left="200" w:right="0"/>
      </w:pPr>
      <w:r>
        <w:rPr>
          <w:rFonts w:ascii="Verdana" w:cs="Verdana" w:eastAsia="Verdana" w:hAnsi="Verdana"/>
          <w:sz w:val="19"/>
          <w:szCs w:val="19"/>
        </w:rPr>
        <w:t xml:space="preserve">Apex Laboratories (P) Ltd. v. DCIT (SC, 2022)</w:t>
      </w:r>
      <w:r>
        <w:rPr>
          <w:rFonts w:ascii="Verdana" w:cs="Verdana" w:eastAsia="Verdana" w:hAnsi="Verdana"/>
          <w:sz w:val="19"/>
          <w:szCs w:val="19"/>
        </w:rPr>
        <w:t xml:space="preserve">	112, 204, 212</w:t>
      </w:r>
    </w:p>
    <w:p>
      <w:pPr>
        <w:tabs>
          <w:tab w:val="right" w:pos="9638" w:leader="dot"/>
        </w:tabs>
        <w:spacing w:after="20"/>
        <w:ind w:left="200" w:right="0"/>
      </w:pPr>
      <w:r>
        <w:rPr>
          <w:rFonts w:ascii="Verdana" w:cs="Verdana" w:eastAsia="Verdana" w:hAnsi="Verdana"/>
          <w:sz w:val="19"/>
          <w:szCs w:val="19"/>
        </w:rPr>
        <w:t xml:space="preserve">Apollo Tyres Ltd. v. CIT (SC, 2002)</w:t>
      </w:r>
      <w:r>
        <w:rPr>
          <w:rFonts w:ascii="Verdana" w:cs="Verdana" w:eastAsia="Verdana" w:hAnsi="Verdana"/>
          <w:sz w:val="19"/>
          <w:szCs w:val="19"/>
        </w:rPr>
        <w:t xml:space="preserve">	104, 211</w:t>
      </w:r>
    </w:p>
    <w:p>
      <w:pPr>
        <w:tabs>
          <w:tab w:val="right" w:pos="9638" w:leader="dot"/>
        </w:tabs>
        <w:spacing w:after="20"/>
        <w:ind w:left="200" w:right="0"/>
      </w:pPr>
      <w:r>
        <w:rPr>
          <w:rFonts w:ascii="Verdana" w:cs="Verdana" w:eastAsia="Verdana" w:hAnsi="Verdana"/>
          <w:sz w:val="19"/>
          <w:szCs w:val="19"/>
        </w:rPr>
        <w:t xml:space="preserve">Arun Kumar v. Union of India (SC, 2006)</w:t>
      </w:r>
      <w:r>
        <w:rPr>
          <w:rFonts w:ascii="Verdana" w:cs="Verdana" w:eastAsia="Verdana" w:hAnsi="Verdana"/>
          <w:sz w:val="19"/>
          <w:szCs w:val="19"/>
        </w:rPr>
        <w:t xml:space="preserve">	33, 210</w:t>
      </w:r>
    </w:p>
    <w:p>
      <w:pPr>
        <w:tabs>
          <w:tab w:val="right" w:pos="9638" w:leader="dot"/>
        </w:tabs>
        <w:spacing w:after="20"/>
        <w:ind w:left="200" w:right="0"/>
      </w:pPr>
      <w:r>
        <w:rPr>
          <w:rFonts w:ascii="Verdana" w:cs="Verdana" w:eastAsia="Verdana" w:hAnsi="Verdana"/>
          <w:sz w:val="19"/>
          <w:szCs w:val="19"/>
        </w:rPr>
        <w:t xml:space="preserve">Union of India v. Ashish Agarwal (SC, 2022)</w:t>
      </w:r>
      <w:r>
        <w:rPr>
          <w:rFonts w:ascii="Verdana" w:cs="Verdana" w:eastAsia="Verdana" w:hAnsi="Verdana"/>
          <w:sz w:val="19"/>
          <w:szCs w:val="19"/>
        </w:rPr>
        <w:t xml:space="preserve">	168, 210</w:t>
      </w:r>
    </w:p>
    <w:p>
      <w:pPr>
        <w:tabs>
          <w:tab w:val="right" w:pos="9638" w:leader="dot"/>
        </w:tabs>
        <w:spacing w:after="20"/>
        <w:ind w:left="200" w:right="0"/>
      </w:pPr>
      <w:r>
        <w:rPr>
          <w:rFonts w:ascii="Verdana" w:cs="Verdana" w:eastAsia="Verdana" w:hAnsi="Verdana"/>
          <w:sz w:val="19"/>
          <w:szCs w:val="19"/>
        </w:rPr>
        <w:t xml:space="preserve">Union of India v. Azadi Bachao Andolan (SC, 2003)</w:t>
      </w:r>
      <w:r>
        <w:rPr>
          <w:rFonts w:ascii="Verdana" w:cs="Verdana" w:eastAsia="Verdana" w:hAnsi="Verdana"/>
          <w:sz w:val="19"/>
          <w:szCs w:val="19"/>
        </w:rPr>
        <w:t xml:space="preserve">	14, 209</w:t>
      </w:r>
    </w:p>
    <w:p>
      <w:pPr>
        <w:keepNext/>
        <w:spacing w:after="40" w:before="160"/>
      </w:pPr>
      <w:r>
        <w:rPr>
          <w:rFonts w:ascii="Verdana" w:cs="Verdana" w:eastAsia="Verdana" w:hAnsi="Verdana"/>
          <w:b/>
          <w:bCs/>
          <w:color w:val="92400E"/>
          <w:sz w:val="22"/>
          <w:szCs w:val="22"/>
        </w:rPr>
        <w:t xml:space="preserve">B</w:t>
      </w:r>
    </w:p>
    <w:p>
      <w:pPr>
        <w:tabs>
          <w:tab w:val="right" w:pos="9638" w:leader="dot"/>
        </w:tabs>
        <w:spacing w:after="20"/>
        <w:ind w:left="200" w:right="0"/>
      </w:pPr>
      <w:r>
        <w:rPr>
          <w:rFonts w:ascii="Verdana" w:cs="Verdana" w:eastAsia="Verdana" w:hAnsi="Verdana"/>
          <w:sz w:val="19"/>
          <w:szCs w:val="19"/>
        </w:rPr>
        <w:t xml:space="preserve">CIT v. B.C. Srinivasa Setty (SC, 1981)</w:t>
      </w:r>
      <w:r>
        <w:rPr>
          <w:rFonts w:ascii="Verdana" w:cs="Verdana" w:eastAsia="Verdana" w:hAnsi="Verdana"/>
          <w:sz w:val="19"/>
          <w:szCs w:val="19"/>
        </w:rPr>
        <w:t xml:space="preserve">	61, 209</w:t>
      </w:r>
    </w:p>
    <w:p>
      <w:pPr>
        <w:tabs>
          <w:tab w:val="right" w:pos="9638" w:leader="dot"/>
        </w:tabs>
        <w:spacing w:after="20"/>
        <w:ind w:left="200" w:right="0"/>
      </w:pPr>
      <w:r>
        <w:rPr>
          <w:rFonts w:ascii="Verdana" w:cs="Verdana" w:eastAsia="Verdana" w:hAnsi="Verdana"/>
          <w:sz w:val="19"/>
          <w:szCs w:val="19"/>
        </w:rPr>
        <w:t xml:space="preserve">CIT v. Balbir Singh Maini (SC, 2017)</w:t>
      </w:r>
      <w:r>
        <w:rPr>
          <w:rFonts w:ascii="Verdana" w:cs="Verdana" w:eastAsia="Verdana" w:hAnsi="Verdana"/>
          <w:sz w:val="19"/>
          <w:szCs w:val="19"/>
        </w:rPr>
        <w:t xml:space="preserve">	60, 211</w:t>
      </w:r>
    </w:p>
    <w:p>
      <w:pPr>
        <w:tabs>
          <w:tab w:val="right" w:pos="9638" w:leader="dot"/>
        </w:tabs>
        <w:spacing w:after="20"/>
        <w:ind w:left="200" w:right="0"/>
      </w:pPr>
      <w:r>
        <w:rPr>
          <w:rFonts w:ascii="Verdana" w:cs="Verdana" w:eastAsia="Verdana" w:hAnsi="Verdana"/>
          <w:sz w:val="19"/>
          <w:szCs w:val="19"/>
        </w:rPr>
        <w:t xml:space="preserve">CIT v. Biocon Ltd. (Kar HC, 2020)</w:t>
      </w:r>
      <w:r>
        <w:rPr>
          <w:rFonts w:ascii="Verdana" w:cs="Verdana" w:eastAsia="Verdana" w:hAnsi="Verdana"/>
          <w:sz w:val="19"/>
          <w:szCs w:val="19"/>
        </w:rPr>
        <w:t xml:space="preserve">	111, 212</w:t>
      </w:r>
    </w:p>
    <w:p>
      <w:pPr>
        <w:keepNext/>
        <w:spacing w:after="40" w:before="160"/>
      </w:pPr>
      <w:r>
        <w:rPr>
          <w:rFonts w:ascii="Verdana" w:cs="Verdana" w:eastAsia="Verdana" w:hAnsi="Verdana"/>
          <w:b/>
          <w:bCs/>
          <w:color w:val="92400E"/>
          <w:sz w:val="22"/>
          <w:szCs w:val="22"/>
        </w:rPr>
        <w:t xml:space="preserve">C</w:t>
      </w:r>
    </w:p>
    <w:p>
      <w:pPr>
        <w:tabs>
          <w:tab w:val="right" w:pos="9638" w:leader="dot"/>
        </w:tabs>
        <w:spacing w:after="20"/>
        <w:ind w:left="200" w:right="0"/>
      </w:pPr>
      <w:r>
        <w:rPr>
          <w:rFonts w:ascii="Verdana" w:cs="Verdana" w:eastAsia="Verdana" w:hAnsi="Verdana"/>
          <w:sz w:val="19"/>
          <w:szCs w:val="19"/>
        </w:rPr>
        <w:t xml:space="preserve">CIT v. C.M. Kothari (SC, 1963)</w:t>
      </w:r>
      <w:r>
        <w:rPr>
          <w:rFonts w:ascii="Verdana" w:cs="Verdana" w:eastAsia="Verdana" w:hAnsi="Verdana"/>
          <w:sz w:val="19"/>
          <w:szCs w:val="19"/>
        </w:rPr>
        <w:t xml:space="preserve">	75, 211</w:t>
      </w:r>
    </w:p>
    <w:p>
      <w:pPr>
        <w:tabs>
          <w:tab w:val="right" w:pos="9638" w:leader="dot"/>
        </w:tabs>
        <w:spacing w:after="20"/>
        <w:ind w:left="200" w:right="0"/>
      </w:pPr>
      <w:r>
        <w:rPr>
          <w:rFonts w:ascii="Verdana" w:cs="Verdana" w:eastAsia="Verdana" w:hAnsi="Verdana"/>
          <w:sz w:val="19"/>
          <w:szCs w:val="19"/>
        </w:rPr>
        <w:t xml:space="preserve">Checkmate Services (P) Ltd. v. CIT (SC, 2022)</w:t>
      </w:r>
      <w:r>
        <w:rPr>
          <w:rFonts w:ascii="Verdana" w:cs="Verdana" w:eastAsia="Verdana" w:hAnsi="Verdana"/>
          <w:sz w:val="19"/>
          <w:szCs w:val="19"/>
        </w:rPr>
        <w:t xml:space="preserve">	52, 202, 209</w:t>
      </w:r>
    </w:p>
    <w:p>
      <w:pPr>
        <w:tabs>
          <w:tab w:val="right" w:pos="9638" w:leader="dot"/>
        </w:tabs>
        <w:spacing w:after="20"/>
        <w:ind w:left="200" w:right="0"/>
      </w:pPr>
      <w:r>
        <w:rPr>
          <w:rFonts w:ascii="Verdana" w:cs="Verdana" w:eastAsia="Verdana" w:hAnsi="Verdana"/>
          <w:sz w:val="19"/>
          <w:szCs w:val="19"/>
        </w:rPr>
        <w:t xml:space="preserve">Chennai Properties and Investments Ltd. v. CIT (SC, 2015)</w:t>
      </w:r>
      <w:r>
        <w:rPr>
          <w:rFonts w:ascii="Verdana" w:cs="Verdana" w:eastAsia="Verdana" w:hAnsi="Verdana"/>
          <w:sz w:val="19"/>
          <w:szCs w:val="19"/>
        </w:rPr>
        <w:t xml:space="preserve">	41, 210</w:t>
      </w:r>
    </w:p>
    <w:p>
      <w:pPr>
        <w:tabs>
          <w:tab w:val="right" w:pos="9638" w:leader="dot"/>
        </w:tabs>
        <w:spacing w:after="20"/>
        <w:ind w:left="200" w:right="0"/>
      </w:pPr>
      <w:r>
        <w:rPr>
          <w:rFonts w:ascii="Verdana" w:cs="Verdana" w:eastAsia="Verdana" w:hAnsi="Verdana"/>
          <w:sz w:val="19"/>
          <w:szCs w:val="19"/>
        </w:rPr>
        <w:t xml:space="preserve">CIT v. Chhabil Dass Agarwal (SC, 2013)</w:t>
      </w:r>
      <w:r>
        <w:rPr>
          <w:rFonts w:ascii="Verdana" w:cs="Verdana" w:eastAsia="Verdana" w:hAnsi="Verdana"/>
          <w:sz w:val="19"/>
          <w:szCs w:val="19"/>
        </w:rPr>
        <w:t xml:space="preserve">	173, 212</w:t>
      </w:r>
    </w:p>
    <w:p>
      <w:pPr>
        <w:keepNext/>
        <w:spacing w:after="40" w:before="160"/>
      </w:pPr>
      <w:r>
        <w:rPr>
          <w:rFonts w:ascii="Verdana" w:cs="Verdana" w:eastAsia="Verdana" w:hAnsi="Verdana"/>
          <w:b/>
          <w:bCs/>
          <w:color w:val="92400E"/>
          <w:sz w:val="22"/>
          <w:szCs w:val="22"/>
        </w:rPr>
        <w:t xml:space="preserve">D</w:t>
      </w:r>
    </w:p>
    <w:p>
      <w:pPr>
        <w:tabs>
          <w:tab w:val="right" w:pos="9638" w:leader="dot"/>
        </w:tabs>
        <w:spacing w:after="20"/>
        <w:ind w:left="200" w:right="0"/>
      </w:pPr>
      <w:r>
        <w:rPr>
          <w:rFonts w:ascii="Verdana" w:cs="Verdana" w:eastAsia="Verdana" w:hAnsi="Verdana"/>
          <w:sz w:val="19"/>
          <w:szCs w:val="19"/>
        </w:rPr>
        <w:t xml:space="preserve">Union of India v. Dharmendra Textile Processors (SC, 2008)</w:t>
      </w:r>
      <w:r>
        <w:rPr>
          <w:rFonts w:ascii="Verdana" w:cs="Verdana" w:eastAsia="Verdana" w:hAnsi="Verdana"/>
          <w:sz w:val="19"/>
          <w:szCs w:val="19"/>
        </w:rPr>
        <w:t xml:space="preserve">	176, 212</w:t>
      </w:r>
    </w:p>
    <w:p>
      <w:pPr>
        <w:tabs>
          <w:tab w:val="right" w:pos="9638" w:leader="dot"/>
        </w:tabs>
        <w:spacing w:after="20"/>
        <w:ind w:left="200" w:right="0"/>
      </w:pPr>
      <w:r>
        <w:rPr>
          <w:rFonts w:ascii="Verdana" w:cs="Verdana" w:eastAsia="Verdana" w:hAnsi="Verdana"/>
          <w:sz w:val="19"/>
          <w:szCs w:val="19"/>
        </w:rPr>
        <w:t xml:space="preserve">Commissioner of Customs v. Dilip Kumar and Co. (SC, 2018)</w:t>
      </w:r>
      <w:r>
        <w:rPr>
          <w:rFonts w:ascii="Verdana" w:cs="Verdana" w:eastAsia="Verdana" w:hAnsi="Verdana"/>
          <w:sz w:val="19"/>
          <w:szCs w:val="19"/>
        </w:rPr>
        <w:t xml:space="preserve">	13, 209</w:t>
      </w:r>
    </w:p>
    <w:p>
      <w:pPr>
        <w:keepNext/>
        <w:spacing w:after="40" w:before="160"/>
      </w:pPr>
      <w:r>
        <w:rPr>
          <w:rFonts w:ascii="Verdana" w:cs="Verdana" w:eastAsia="Verdana" w:hAnsi="Verdana"/>
          <w:b/>
          <w:bCs/>
          <w:color w:val="92400E"/>
          <w:sz w:val="22"/>
          <w:szCs w:val="22"/>
        </w:rPr>
        <w:t xml:space="preserve">E</w:t>
      </w:r>
    </w:p>
    <w:p>
      <w:pPr>
        <w:tabs>
          <w:tab w:val="right" w:pos="9638" w:leader="dot"/>
        </w:tabs>
        <w:spacing w:after="20"/>
        <w:ind w:left="200" w:right="0"/>
      </w:pPr>
      <w:r>
        <w:rPr>
          <w:rFonts w:ascii="Verdana" w:cs="Verdana" w:eastAsia="Verdana" w:hAnsi="Verdana"/>
          <w:sz w:val="19"/>
          <w:szCs w:val="19"/>
        </w:rPr>
        <w:t xml:space="preserve">ADIT v. E-Funds IT Solution Inc. (SC, 2017)</w:t>
      </w:r>
      <w:r>
        <w:rPr>
          <w:rFonts w:ascii="Verdana" w:cs="Verdana" w:eastAsia="Verdana" w:hAnsi="Verdana"/>
          <w:sz w:val="19"/>
          <w:szCs w:val="19"/>
        </w:rPr>
        <w:t xml:space="preserve">	130, 211</w:t>
      </w:r>
    </w:p>
    <w:p>
      <w:pPr>
        <w:tabs>
          <w:tab w:val="right" w:pos="9638" w:leader="dot"/>
        </w:tabs>
        <w:spacing w:after="20"/>
        <w:ind w:left="200" w:right="0"/>
      </w:pPr>
      <w:r>
        <w:rPr>
          <w:rFonts w:ascii="Verdana" w:cs="Verdana" w:eastAsia="Verdana" w:hAnsi="Verdana"/>
          <w:sz w:val="19"/>
          <w:szCs w:val="19"/>
        </w:rPr>
        <w:t xml:space="preserve">CIT v. Eli Lilly and Co. (India) (P) Ltd. (SC, 2009)</w:t>
      </w:r>
      <w:r>
        <w:rPr>
          <w:rFonts w:ascii="Verdana" w:cs="Verdana" w:eastAsia="Verdana" w:hAnsi="Verdana"/>
          <w:sz w:val="19"/>
          <w:szCs w:val="19"/>
        </w:rPr>
        <w:t xml:space="preserve">	153, 210</w:t>
      </w:r>
    </w:p>
    <w:p>
      <w:pPr>
        <w:tabs>
          <w:tab w:val="right" w:pos="9638" w:leader="dot"/>
        </w:tabs>
        <w:spacing w:after="20"/>
        <w:ind w:left="200" w:right="0"/>
      </w:pPr>
      <w:r>
        <w:rPr>
          <w:rFonts w:ascii="Verdana" w:cs="Verdana" w:eastAsia="Verdana" w:hAnsi="Verdana"/>
          <w:sz w:val="19"/>
          <w:szCs w:val="19"/>
        </w:rPr>
        <w:t xml:space="preserve">Empire Jute Co. Ltd. v. CIT (SC, 1980)</w:t>
      </w:r>
      <w:r>
        <w:rPr>
          <w:rFonts w:ascii="Verdana" w:cs="Verdana" w:eastAsia="Verdana" w:hAnsi="Verdana"/>
          <w:sz w:val="19"/>
          <w:szCs w:val="19"/>
        </w:rPr>
        <w:t xml:space="preserve">	50, 209</w:t>
      </w:r>
    </w:p>
    <w:p>
      <w:pPr>
        <w:tabs>
          <w:tab w:val="right" w:pos="9638" w:leader="dot"/>
        </w:tabs>
        <w:spacing w:after="20"/>
        <w:ind w:left="200" w:right="0"/>
      </w:pPr>
      <w:r>
        <w:rPr>
          <w:rFonts w:ascii="Verdana" w:cs="Verdana" w:eastAsia="Verdana" w:hAnsi="Verdana"/>
          <w:sz w:val="19"/>
          <w:szCs w:val="19"/>
        </w:rPr>
        <w:t xml:space="preserve">Engineering Analysis Centre of Excellence v. CIT (SC, 2021)</w:t>
      </w:r>
      <w:r>
        <w:rPr>
          <w:rFonts w:ascii="Verdana" w:cs="Verdana" w:eastAsia="Verdana" w:hAnsi="Verdana"/>
          <w:sz w:val="19"/>
          <w:szCs w:val="19"/>
        </w:rPr>
        <w:t xml:space="preserve">	111, 129, 209</w:t>
      </w:r>
    </w:p>
    <w:p>
      <w:pPr>
        <w:keepNext/>
        <w:spacing w:after="40" w:before="160"/>
      </w:pPr>
      <w:r>
        <w:rPr>
          <w:rFonts w:ascii="Verdana" w:cs="Verdana" w:eastAsia="Verdana" w:hAnsi="Verdana"/>
          <w:b/>
          <w:bCs/>
          <w:color w:val="92400E"/>
          <w:sz w:val="22"/>
          <w:szCs w:val="22"/>
        </w:rPr>
        <w:t xml:space="preserve">F</w:t>
      </w:r>
    </w:p>
    <w:p>
      <w:pPr>
        <w:tabs>
          <w:tab w:val="right" w:pos="9638" w:leader="dot"/>
        </w:tabs>
        <w:spacing w:after="20"/>
        <w:ind w:left="200" w:right="0"/>
      </w:pPr>
      <w:r>
        <w:rPr>
          <w:rFonts w:ascii="Verdana" w:cs="Verdana" w:eastAsia="Verdana" w:hAnsi="Verdana"/>
          <w:sz w:val="19"/>
          <w:szCs w:val="19"/>
        </w:rPr>
        <w:t xml:space="preserve">Formula One World Championship Ltd. v. CIT (SC, 2017)</w:t>
      </w:r>
      <w:r>
        <w:rPr>
          <w:rFonts w:ascii="Verdana" w:cs="Verdana" w:eastAsia="Verdana" w:hAnsi="Verdana"/>
          <w:sz w:val="19"/>
          <w:szCs w:val="19"/>
        </w:rPr>
        <w:t xml:space="preserve">	129, 210</w:t>
      </w:r>
    </w:p>
    <w:p>
      <w:pPr>
        <w:keepNext/>
        <w:spacing w:after="40" w:before="160"/>
      </w:pPr>
      <w:r>
        <w:rPr>
          <w:rFonts w:ascii="Verdana" w:cs="Verdana" w:eastAsia="Verdana" w:hAnsi="Verdana"/>
          <w:b/>
          <w:bCs/>
          <w:color w:val="92400E"/>
          <w:sz w:val="22"/>
          <w:szCs w:val="22"/>
        </w:rPr>
        <w:t xml:space="preserve">G</w:t>
      </w:r>
    </w:p>
    <w:p>
      <w:pPr>
        <w:tabs>
          <w:tab w:val="right" w:pos="9638" w:leader="dot"/>
        </w:tabs>
        <w:spacing w:after="20"/>
        <w:ind w:left="200" w:right="0"/>
      </w:pPr>
      <w:r>
        <w:rPr>
          <w:rFonts w:ascii="Verdana" w:cs="Verdana" w:eastAsia="Verdana" w:hAnsi="Verdana"/>
          <w:sz w:val="19"/>
          <w:szCs w:val="19"/>
        </w:rPr>
        <w:t xml:space="preserve">GE India Technology Centre v. CIT (SC, 2010)</w:t>
      </w:r>
      <w:r>
        <w:rPr>
          <w:rFonts w:ascii="Verdana" w:cs="Verdana" w:eastAsia="Verdana" w:hAnsi="Verdana"/>
          <w:sz w:val="19"/>
          <w:szCs w:val="19"/>
        </w:rPr>
        <w:t xml:space="preserve">	131, 210</w:t>
      </w:r>
    </w:p>
    <w:p>
      <w:pPr>
        <w:tabs>
          <w:tab w:val="right" w:pos="9638" w:leader="dot"/>
        </w:tabs>
        <w:spacing w:after="20"/>
        <w:ind w:left="200" w:right="0"/>
      </w:pPr>
      <w:r>
        <w:rPr>
          <w:rFonts w:ascii="Verdana" w:cs="Verdana" w:eastAsia="Verdana" w:hAnsi="Verdana"/>
          <w:sz w:val="19"/>
          <w:szCs w:val="19"/>
        </w:rPr>
        <w:t xml:space="preserve">GKN Driveshafts (India) Ltd. v. ITO (SC, 2002)</w:t>
      </w:r>
      <w:r>
        <w:rPr>
          <w:rFonts w:ascii="Verdana" w:cs="Verdana" w:eastAsia="Verdana" w:hAnsi="Verdana"/>
          <w:sz w:val="19"/>
          <w:szCs w:val="19"/>
        </w:rPr>
        <w:t xml:space="preserve">	168, 210</w:t>
      </w:r>
    </w:p>
    <w:p>
      <w:pPr>
        <w:tabs>
          <w:tab w:val="right" w:pos="9638" w:leader="dot"/>
        </w:tabs>
        <w:spacing w:after="20"/>
        <w:ind w:left="200" w:right="0"/>
      </w:pPr>
      <w:r>
        <w:rPr>
          <w:rFonts w:ascii="Verdana" w:cs="Verdana" w:eastAsia="Verdana" w:hAnsi="Verdana"/>
          <w:sz w:val="19"/>
          <w:szCs w:val="19"/>
        </w:rPr>
        <w:t xml:space="preserve">CIT v. Glaxo SmithKline Asia (P) Ltd. (SC, 2010)</w:t>
      </w:r>
      <w:r>
        <w:rPr>
          <w:rFonts w:ascii="Verdana" w:cs="Verdana" w:eastAsia="Verdana" w:hAnsi="Verdana"/>
          <w:sz w:val="19"/>
          <w:szCs w:val="19"/>
        </w:rPr>
        <w:t xml:space="preserve">	110, 212</w:t>
      </w:r>
    </w:p>
    <w:p>
      <w:pPr>
        <w:tabs>
          <w:tab w:val="right" w:pos="9638" w:leader="dot"/>
        </w:tabs>
        <w:spacing w:after="20"/>
        <w:ind w:left="200" w:right="0"/>
      </w:pPr>
      <w:r>
        <w:rPr>
          <w:rFonts w:ascii="Verdana" w:cs="Verdana" w:eastAsia="Verdana" w:hAnsi="Verdana"/>
          <w:sz w:val="19"/>
          <w:szCs w:val="19"/>
        </w:rPr>
        <w:t xml:space="preserve">Gowli Buddanna v. CIT (SC, 1966)</w:t>
      </w:r>
      <w:r>
        <w:rPr>
          <w:rFonts w:ascii="Verdana" w:cs="Verdana" w:eastAsia="Verdana" w:hAnsi="Verdana"/>
          <w:sz w:val="19"/>
          <w:szCs w:val="19"/>
        </w:rPr>
        <w:t xml:space="preserve">	93, 211</w:t>
      </w:r>
    </w:p>
    <w:p>
      <w:pPr>
        <w:keepNext/>
        <w:spacing w:after="40" w:before="160"/>
      </w:pPr>
      <w:r>
        <w:rPr>
          <w:rFonts w:ascii="Verdana" w:cs="Verdana" w:eastAsia="Verdana" w:hAnsi="Verdana"/>
          <w:b/>
          <w:bCs/>
          <w:color w:val="92400E"/>
          <w:sz w:val="22"/>
          <w:szCs w:val="22"/>
        </w:rPr>
        <w:t xml:space="preserve">H</w:t>
      </w:r>
    </w:p>
    <w:p>
      <w:pPr>
        <w:tabs>
          <w:tab w:val="right" w:pos="9638" w:leader="dot"/>
        </w:tabs>
        <w:spacing w:after="20"/>
        <w:ind w:left="200" w:right="0"/>
      </w:pPr>
      <w:r>
        <w:rPr>
          <w:rFonts w:ascii="Verdana" w:cs="Verdana" w:eastAsia="Verdana" w:hAnsi="Verdana"/>
          <w:sz w:val="19"/>
          <w:szCs w:val="19"/>
        </w:rPr>
        <w:t xml:space="preserve">Hindustan Coca Cola Beverage v. CIT (SC, 2007)</w:t>
      </w:r>
      <w:r>
        <w:rPr>
          <w:rFonts w:ascii="Verdana" w:cs="Verdana" w:eastAsia="Verdana" w:hAnsi="Verdana"/>
          <w:sz w:val="19"/>
          <w:szCs w:val="19"/>
        </w:rPr>
        <w:t xml:space="preserve">	151, 210</w:t>
      </w:r>
    </w:p>
    <w:p>
      <w:pPr>
        <w:keepNext/>
        <w:spacing w:after="40" w:before="160"/>
      </w:pPr>
      <w:r>
        <w:rPr>
          <w:rFonts w:ascii="Verdana" w:cs="Verdana" w:eastAsia="Verdana" w:hAnsi="Verdana"/>
          <w:b/>
          <w:bCs/>
          <w:color w:val="92400E"/>
          <w:sz w:val="22"/>
          <w:szCs w:val="22"/>
        </w:rPr>
        <w:t xml:space="preserve">I</w:t>
      </w:r>
    </w:p>
    <w:p>
      <w:pPr>
        <w:tabs>
          <w:tab w:val="right" w:pos="9638" w:leader="dot"/>
        </w:tabs>
        <w:spacing w:after="20"/>
        <w:ind w:left="200" w:right="0"/>
      </w:pPr>
      <w:r>
        <w:rPr>
          <w:rFonts w:ascii="Verdana" w:cs="Verdana" w:eastAsia="Verdana" w:hAnsi="Verdana"/>
          <w:sz w:val="19"/>
          <w:szCs w:val="19"/>
        </w:rPr>
        <w:t xml:space="preserve">Ishikawajima-Harima Heavy Industries Ltd. v. DIT (SC, 2007)</w:t>
      </w:r>
      <w:r>
        <w:rPr>
          <w:rFonts w:ascii="Verdana" w:cs="Verdana" w:eastAsia="Verdana" w:hAnsi="Verdana"/>
          <w:sz w:val="19"/>
          <w:szCs w:val="19"/>
        </w:rPr>
        <w:t xml:space="preserve">	211</w:t>
      </w:r>
    </w:p>
    <w:p>
      <w:pPr>
        <w:keepNext/>
        <w:spacing w:after="40" w:before="160"/>
      </w:pPr>
      <w:r>
        <w:rPr>
          <w:rFonts w:ascii="Verdana" w:cs="Verdana" w:eastAsia="Verdana" w:hAnsi="Verdana"/>
          <w:b/>
          <w:bCs/>
          <w:color w:val="92400E"/>
          <w:sz w:val="22"/>
          <w:szCs w:val="22"/>
        </w:rPr>
        <w:t xml:space="preserve">K</w:t>
      </w:r>
    </w:p>
    <w:p>
      <w:pPr>
        <w:tabs>
          <w:tab w:val="right" w:pos="9638" w:leader="dot"/>
        </w:tabs>
        <w:spacing w:after="20"/>
        <w:ind w:left="200" w:right="0"/>
      </w:pPr>
      <w:r>
        <w:rPr>
          <w:rFonts w:ascii="Verdana" w:cs="Verdana" w:eastAsia="Verdana" w:hAnsi="Verdana"/>
          <w:sz w:val="19"/>
          <w:szCs w:val="19"/>
        </w:rPr>
        <w:t xml:space="preserve">CIT v. Kapurchand Shrimal (SC, 1981)</w:t>
      </w:r>
      <w:r>
        <w:rPr>
          <w:rFonts w:ascii="Verdana" w:cs="Verdana" w:eastAsia="Verdana" w:hAnsi="Verdana"/>
          <w:sz w:val="19"/>
          <w:szCs w:val="19"/>
        </w:rPr>
        <w:t xml:space="preserve">	173, 212</w:t>
      </w:r>
    </w:p>
    <w:p>
      <w:pPr>
        <w:tabs>
          <w:tab w:val="right" w:pos="9638" w:leader="dot"/>
        </w:tabs>
        <w:spacing w:after="20"/>
        <w:ind w:left="200" w:right="0"/>
      </w:pPr>
      <w:r>
        <w:rPr>
          <w:rFonts w:ascii="Verdana" w:cs="Verdana" w:eastAsia="Verdana" w:hAnsi="Verdana"/>
          <w:sz w:val="19"/>
          <w:szCs w:val="19"/>
        </w:rPr>
        <w:t xml:space="preserve">CIT v. Kelvinator of India Ltd. (SC, 2010)</w:t>
      </w:r>
      <w:r>
        <w:rPr>
          <w:rFonts w:ascii="Verdana" w:cs="Verdana" w:eastAsia="Verdana" w:hAnsi="Verdana"/>
          <w:sz w:val="19"/>
          <w:szCs w:val="19"/>
        </w:rPr>
        <w:t xml:space="preserve">	168, 210</w:t>
      </w:r>
    </w:p>
    <w:p>
      <w:pPr>
        <w:tabs>
          <w:tab w:val="right" w:pos="9638" w:leader="dot"/>
        </w:tabs>
        <w:spacing w:after="20"/>
        <w:ind w:left="200" w:right="0"/>
      </w:pPr>
      <w:r>
        <w:rPr>
          <w:rFonts w:ascii="Verdana" w:cs="Verdana" w:eastAsia="Verdana" w:hAnsi="Verdana"/>
          <w:sz w:val="19"/>
          <w:szCs w:val="19"/>
        </w:rPr>
        <w:t xml:space="preserve">CIT v. Kotak Securities Ltd. (SC, 2016)</w:t>
      </w:r>
      <w:r>
        <w:rPr>
          <w:rFonts w:ascii="Verdana" w:cs="Verdana" w:eastAsia="Verdana" w:hAnsi="Verdana"/>
          <w:sz w:val="19"/>
          <w:szCs w:val="19"/>
        </w:rPr>
        <w:t xml:space="preserve">	149, 211</w:t>
      </w:r>
    </w:p>
    <w:p>
      <w:pPr>
        <w:keepNext/>
        <w:spacing w:after="40" w:before="160"/>
      </w:pPr>
      <w:r>
        <w:rPr>
          <w:rFonts w:ascii="Verdana" w:cs="Verdana" w:eastAsia="Verdana" w:hAnsi="Verdana"/>
          <w:b/>
          <w:bCs/>
          <w:color w:val="92400E"/>
          <w:sz w:val="22"/>
          <w:szCs w:val="22"/>
        </w:rPr>
        <w:t xml:space="preserve">L</w:t>
      </w:r>
    </w:p>
    <w:p>
      <w:pPr>
        <w:tabs>
          <w:tab w:val="right" w:pos="9638" w:leader="dot"/>
        </w:tabs>
        <w:spacing w:after="20"/>
        <w:ind w:left="200" w:right="0"/>
      </w:pPr>
      <w:r>
        <w:rPr>
          <w:rFonts w:ascii="Verdana" w:cs="Verdana" w:eastAsia="Verdana" w:hAnsi="Verdana"/>
          <w:sz w:val="19"/>
          <w:szCs w:val="19"/>
        </w:rPr>
        <w:t xml:space="preserve">PCIT v. LG Electronics India (P) Ltd. (SC, 2018)</w:t>
      </w:r>
      <w:r>
        <w:rPr>
          <w:rFonts w:ascii="Verdana" w:cs="Verdana" w:eastAsia="Verdana" w:hAnsi="Verdana"/>
          <w:sz w:val="19"/>
          <w:szCs w:val="19"/>
        </w:rPr>
        <w:t xml:space="preserve">	173, 212</w:t>
      </w:r>
    </w:p>
    <w:p>
      <w:pPr>
        <w:tabs>
          <w:tab w:val="right" w:pos="9638" w:leader="dot"/>
        </w:tabs>
        <w:spacing w:after="20"/>
        <w:ind w:left="200" w:right="0"/>
      </w:pPr>
      <w:r>
        <w:rPr>
          <w:rFonts w:ascii="Verdana" w:cs="Verdana" w:eastAsia="Verdana" w:hAnsi="Verdana"/>
          <w:sz w:val="19"/>
          <w:szCs w:val="19"/>
        </w:rPr>
        <w:t xml:space="preserve">CIT v. Lovely Exports (P) Ltd. (SC, 2008)</w:t>
      </w:r>
      <w:r>
        <w:rPr>
          <w:rFonts w:ascii="Verdana" w:cs="Verdana" w:eastAsia="Verdana" w:hAnsi="Verdana"/>
          <w:sz w:val="19"/>
          <w:szCs w:val="19"/>
        </w:rPr>
        <w:t xml:space="preserve">	75, 211</w:t>
      </w:r>
    </w:p>
    <w:p>
      <w:pPr>
        <w:keepNext/>
        <w:spacing w:after="40" w:before="160"/>
      </w:pPr>
      <w:r>
        <w:rPr>
          <w:rFonts w:ascii="Verdana" w:cs="Verdana" w:eastAsia="Verdana" w:hAnsi="Verdana"/>
          <w:b/>
          <w:bCs/>
          <w:color w:val="92400E"/>
          <w:sz w:val="22"/>
          <w:szCs w:val="22"/>
        </w:rPr>
        <w:t xml:space="preserve">M</w:t>
      </w:r>
    </w:p>
    <w:p>
      <w:pPr>
        <w:tabs>
          <w:tab w:val="right" w:pos="9638" w:leader="dot"/>
        </w:tabs>
        <w:spacing w:after="20"/>
        <w:ind w:left="200" w:right="0"/>
      </w:pPr>
      <w:r>
        <w:rPr>
          <w:rFonts w:ascii="Verdana" w:cs="Verdana" w:eastAsia="Verdana" w:hAnsi="Verdana"/>
          <w:sz w:val="19"/>
          <w:szCs w:val="19"/>
        </w:rPr>
        <w:t xml:space="preserve">CIT v. Madhur Housing and Development Co. (SC, 2017)</w:t>
      </w:r>
      <w:r>
        <w:rPr>
          <w:rFonts w:ascii="Verdana" w:cs="Verdana" w:eastAsia="Verdana" w:hAnsi="Verdana"/>
          <w:sz w:val="19"/>
          <w:szCs w:val="19"/>
        </w:rPr>
        <w:t xml:space="preserve">	108, 209</w:t>
      </w:r>
    </w:p>
    <w:p>
      <w:pPr>
        <w:tabs>
          <w:tab w:val="right" w:pos="9638" w:leader="dot"/>
        </w:tabs>
        <w:spacing w:after="20"/>
        <w:ind w:left="200" w:right="0"/>
      </w:pPr>
      <w:r>
        <w:rPr>
          <w:rFonts w:ascii="Verdana" w:cs="Verdana" w:eastAsia="Verdana" w:hAnsi="Verdana"/>
          <w:sz w:val="19"/>
          <w:szCs w:val="19"/>
        </w:rPr>
        <w:t xml:space="preserve">CIT v. Mahindra and Mahindra Ltd. (SC, 2018)</w:t>
      </w:r>
      <w:r>
        <w:rPr>
          <w:rFonts w:ascii="Verdana" w:cs="Verdana" w:eastAsia="Verdana" w:hAnsi="Verdana"/>
          <w:sz w:val="19"/>
          <w:szCs w:val="19"/>
        </w:rPr>
        <w:t xml:space="preserve">	50, 209</w:t>
      </w:r>
    </w:p>
    <w:p>
      <w:pPr>
        <w:tabs>
          <w:tab w:val="right" w:pos="9638" w:leader="dot"/>
        </w:tabs>
        <w:spacing w:after="20"/>
        <w:ind w:left="200" w:right="0"/>
      </w:pPr>
      <w:r>
        <w:rPr>
          <w:rFonts w:ascii="Verdana" w:cs="Verdana" w:eastAsia="Verdana" w:hAnsi="Verdana"/>
          <w:sz w:val="19"/>
          <w:szCs w:val="19"/>
        </w:rPr>
        <w:t xml:space="preserve">Malabar Industrial Co. Ltd. v. CIT (SC, 2000)</w:t>
      </w:r>
      <w:r>
        <w:rPr>
          <w:rFonts w:ascii="Verdana" w:cs="Verdana" w:eastAsia="Verdana" w:hAnsi="Verdana"/>
          <w:sz w:val="19"/>
          <w:szCs w:val="19"/>
        </w:rPr>
        <w:t xml:space="preserve">	169, 212</w:t>
      </w:r>
    </w:p>
    <w:p>
      <w:pPr>
        <w:tabs>
          <w:tab w:val="right" w:pos="9638" w:leader="dot"/>
        </w:tabs>
        <w:spacing w:after="20"/>
        <w:ind w:left="200" w:right="0"/>
      </w:pPr>
      <w:r>
        <w:rPr>
          <w:rFonts w:ascii="Verdana" w:cs="Verdana" w:eastAsia="Verdana" w:hAnsi="Verdana"/>
          <w:sz w:val="19"/>
          <w:szCs w:val="19"/>
        </w:rPr>
        <w:t xml:space="preserve">CIT v. Mansukh Dyeing and Printing Mills (SC, 2022)</w:t>
      </w:r>
      <w:r>
        <w:rPr>
          <w:rFonts w:ascii="Verdana" w:cs="Verdana" w:eastAsia="Verdana" w:hAnsi="Verdana"/>
          <w:sz w:val="19"/>
          <w:szCs w:val="19"/>
        </w:rPr>
        <w:t xml:space="preserve">	96, 211</w:t>
      </w:r>
    </w:p>
    <w:p>
      <w:pPr>
        <w:tabs>
          <w:tab w:val="right" w:pos="9638" w:leader="dot"/>
        </w:tabs>
        <w:spacing w:after="20"/>
        <w:ind w:left="200" w:right="0"/>
      </w:pPr>
      <w:r>
        <w:rPr>
          <w:rFonts w:ascii="Verdana" w:cs="Verdana" w:eastAsia="Verdana" w:hAnsi="Verdana"/>
          <w:sz w:val="19"/>
          <w:szCs w:val="19"/>
        </w:rPr>
        <w:t xml:space="preserve">Marshall Sons and Co. (India) Ltd. v. ITO (SC, 1997)</w:t>
      </w:r>
      <w:r>
        <w:rPr>
          <w:rFonts w:ascii="Verdana" w:cs="Verdana" w:eastAsia="Verdana" w:hAnsi="Verdana"/>
          <w:sz w:val="19"/>
          <w:szCs w:val="19"/>
        </w:rPr>
        <w:t xml:space="preserve">	121, 211</w:t>
      </w:r>
    </w:p>
    <w:p>
      <w:pPr>
        <w:tabs>
          <w:tab w:val="right" w:pos="9638" w:leader="dot"/>
        </w:tabs>
        <w:spacing w:after="20"/>
        <w:ind w:left="200" w:right="0"/>
      </w:pPr>
      <w:r>
        <w:rPr>
          <w:rFonts w:ascii="Verdana" w:cs="Verdana" w:eastAsia="Verdana" w:hAnsi="Verdana"/>
          <w:sz w:val="19"/>
          <w:szCs w:val="19"/>
        </w:rPr>
        <w:t xml:space="preserve">PCIT v. Maruti Suzuki India Ltd. (SC, 2019)</w:t>
      </w:r>
      <w:r>
        <w:rPr>
          <w:rFonts w:ascii="Verdana" w:cs="Verdana" w:eastAsia="Verdana" w:hAnsi="Verdana"/>
          <w:sz w:val="19"/>
          <w:szCs w:val="19"/>
        </w:rPr>
        <w:t xml:space="preserve">	121, 209</w:t>
      </w:r>
    </w:p>
    <w:p>
      <w:pPr>
        <w:tabs>
          <w:tab w:val="right" w:pos="9638" w:leader="dot"/>
        </w:tabs>
        <w:spacing w:after="20"/>
        <w:ind w:left="200" w:right="0"/>
      </w:pPr>
      <w:r>
        <w:rPr>
          <w:rFonts w:ascii="Verdana" w:cs="Verdana" w:eastAsia="Verdana" w:hAnsi="Verdana"/>
          <w:sz w:val="19"/>
          <w:szCs w:val="19"/>
        </w:rPr>
        <w:t xml:space="preserve">Maruti Suzuki India Ltd. v. CIT (Del HC, 2015)</w:t>
      </w:r>
      <w:r>
        <w:rPr>
          <w:rFonts w:ascii="Verdana" w:cs="Verdana" w:eastAsia="Verdana" w:hAnsi="Verdana"/>
          <w:sz w:val="19"/>
          <w:szCs w:val="19"/>
        </w:rPr>
        <w:t xml:space="preserve">	139, 212</w:t>
      </w:r>
    </w:p>
    <w:p>
      <w:pPr>
        <w:tabs>
          <w:tab w:val="right" w:pos="9638" w:leader="dot"/>
        </w:tabs>
        <w:spacing w:after="20"/>
        <w:ind w:left="200" w:right="0"/>
      </w:pPr>
      <w:r>
        <w:rPr>
          <w:rFonts w:ascii="Verdana" w:cs="Verdana" w:eastAsia="Verdana" w:hAnsi="Verdana"/>
          <w:sz w:val="19"/>
          <w:szCs w:val="19"/>
        </w:rPr>
        <w:t xml:space="preserve">The Mavilayi Service Co-operative Bank Ltd. v. CIT (SC, 2021)</w:t>
      </w:r>
      <w:r>
        <w:rPr>
          <w:rFonts w:ascii="Verdana" w:cs="Verdana" w:eastAsia="Verdana" w:hAnsi="Verdana"/>
          <w:sz w:val="19"/>
          <w:szCs w:val="19"/>
        </w:rPr>
        <w:t xml:space="preserve">	99, 211</w:t>
      </w:r>
    </w:p>
    <w:p>
      <w:pPr>
        <w:tabs>
          <w:tab w:val="right" w:pos="9638" w:leader="dot"/>
        </w:tabs>
        <w:spacing w:after="20"/>
        <w:ind w:left="200" w:right="0"/>
      </w:pPr>
      <w:r>
        <w:rPr>
          <w:rFonts w:ascii="Verdana" w:cs="Verdana" w:eastAsia="Verdana" w:hAnsi="Verdana"/>
          <w:sz w:val="19"/>
          <w:szCs w:val="19"/>
        </w:rPr>
        <w:t xml:space="preserve">Maxopp Investment Ltd. v. CIT (SC, 2018)</w:t>
      </w:r>
      <w:r>
        <w:rPr>
          <w:rFonts w:ascii="Verdana" w:cs="Verdana" w:eastAsia="Verdana" w:hAnsi="Verdana"/>
          <w:sz w:val="19"/>
          <w:szCs w:val="19"/>
        </w:rPr>
        <w:t xml:space="preserve">	28, 209</w:t>
      </w:r>
    </w:p>
    <w:p>
      <w:pPr>
        <w:tabs>
          <w:tab w:val="right" w:pos="9638" w:leader="dot"/>
        </w:tabs>
        <w:spacing w:after="20"/>
        <w:ind w:left="200" w:right="0"/>
      </w:pPr>
      <w:r>
        <w:rPr>
          <w:rFonts w:ascii="Verdana" w:cs="Verdana" w:eastAsia="Verdana" w:hAnsi="Verdana"/>
          <w:sz w:val="19"/>
          <w:szCs w:val="19"/>
        </w:rPr>
        <w:t xml:space="preserve">McDowell and Co. Ltd. v. CTO (SC, 1985)</w:t>
      </w:r>
      <w:r>
        <w:rPr>
          <w:rFonts w:ascii="Verdana" w:cs="Verdana" w:eastAsia="Verdana" w:hAnsi="Verdana"/>
          <w:sz w:val="19"/>
          <w:szCs w:val="19"/>
        </w:rPr>
        <w:t xml:space="preserve">	14, 209</w:t>
      </w:r>
    </w:p>
    <w:p>
      <w:pPr>
        <w:tabs>
          <w:tab w:val="right" w:pos="9638" w:leader="dot"/>
        </w:tabs>
        <w:spacing w:after="20"/>
        <w:ind w:left="200" w:right="0"/>
      </w:pPr>
      <w:r>
        <w:rPr>
          <w:rFonts w:ascii="Verdana" w:cs="Verdana" w:eastAsia="Verdana" w:hAnsi="Verdana"/>
          <w:sz w:val="19"/>
          <w:szCs w:val="19"/>
        </w:rPr>
        <w:t xml:space="preserve">DIT v. Morgan Stanley and Co. Inc. (SC, 2007)</w:t>
      </w:r>
      <w:r>
        <w:rPr>
          <w:rFonts w:ascii="Verdana" w:cs="Verdana" w:eastAsia="Verdana" w:hAnsi="Verdana"/>
          <w:sz w:val="19"/>
          <w:szCs w:val="19"/>
        </w:rPr>
        <w:t xml:space="preserve">	129, 210</w:t>
      </w:r>
    </w:p>
    <w:p>
      <w:pPr>
        <w:tabs>
          <w:tab w:val="right" w:pos="9638" w:leader="dot"/>
        </w:tabs>
        <w:spacing w:after="20"/>
        <w:ind w:left="200" w:right="0"/>
      </w:pPr>
      <w:r>
        <w:rPr>
          <w:rFonts w:ascii="Verdana" w:cs="Verdana" w:eastAsia="Verdana" w:hAnsi="Verdana"/>
          <w:sz w:val="19"/>
          <w:szCs w:val="19"/>
        </w:rPr>
        <w:t xml:space="preserve">Collector, Land Acquisition v. Mst. Katiji (SC, 1987)</w:t>
      </w:r>
      <w:r>
        <w:rPr>
          <w:rFonts w:ascii="Verdana" w:cs="Verdana" w:eastAsia="Verdana" w:hAnsi="Verdana"/>
          <w:sz w:val="19"/>
          <w:szCs w:val="19"/>
        </w:rPr>
        <w:t xml:space="preserve">	173, 212</w:t>
      </w:r>
    </w:p>
    <w:p>
      <w:pPr>
        <w:keepNext/>
        <w:spacing w:after="40" w:before="160"/>
      </w:pPr>
      <w:r>
        <w:rPr>
          <w:rFonts w:ascii="Verdana" w:cs="Verdana" w:eastAsia="Verdana" w:hAnsi="Verdana"/>
          <w:b/>
          <w:bCs/>
          <w:color w:val="92400E"/>
          <w:sz w:val="22"/>
          <w:szCs w:val="22"/>
        </w:rPr>
        <w:t xml:space="preserve">N</w:t>
      </w:r>
    </w:p>
    <w:p>
      <w:pPr>
        <w:tabs>
          <w:tab w:val="right" w:pos="9638" w:leader="dot"/>
        </w:tabs>
        <w:spacing w:after="20"/>
        <w:ind w:left="200" w:right="0"/>
      </w:pPr>
      <w:r>
        <w:rPr>
          <w:rFonts w:ascii="Verdana" w:cs="Verdana" w:eastAsia="Verdana" w:hAnsi="Verdana"/>
          <w:sz w:val="19"/>
          <w:szCs w:val="19"/>
        </w:rPr>
        <w:t xml:space="preserve">AO v. Nestle SA (SC, 2023)</w:t>
      </w:r>
      <w:r>
        <w:rPr>
          <w:rFonts w:ascii="Verdana" w:cs="Verdana" w:eastAsia="Verdana" w:hAnsi="Verdana"/>
          <w:sz w:val="19"/>
          <w:szCs w:val="19"/>
        </w:rPr>
        <w:t xml:space="preserve">	129, 211</w:t>
      </w:r>
    </w:p>
    <w:p>
      <w:pPr>
        <w:tabs>
          <w:tab w:val="right" w:pos="9638" w:leader="dot"/>
        </w:tabs>
        <w:spacing w:after="20"/>
        <w:ind w:left="200" w:right="0"/>
      </w:pPr>
      <w:r>
        <w:rPr>
          <w:rFonts w:ascii="Verdana" w:cs="Verdana" w:eastAsia="Verdana" w:hAnsi="Verdana"/>
          <w:sz w:val="19"/>
          <w:szCs w:val="19"/>
        </w:rPr>
        <w:t xml:space="preserve">New Noble Educational Society v. CCIT (SC, 2022)</w:t>
      </w:r>
      <w:r>
        <w:rPr>
          <w:rFonts w:ascii="Verdana" w:cs="Verdana" w:eastAsia="Verdana" w:hAnsi="Verdana"/>
          <w:sz w:val="19"/>
          <w:szCs w:val="19"/>
        </w:rPr>
        <w:t xml:space="preserve">	98, 211</w:t>
      </w:r>
    </w:p>
    <w:p>
      <w:pPr>
        <w:tabs>
          <w:tab w:val="right" w:pos="9638" w:leader="dot"/>
        </w:tabs>
        <w:spacing w:after="20"/>
        <w:ind w:left="200" w:right="0"/>
      </w:pPr>
      <w:r>
        <w:rPr>
          <w:rFonts w:ascii="Verdana" w:cs="Verdana" w:eastAsia="Verdana" w:hAnsi="Verdana"/>
          <w:sz w:val="19"/>
          <w:szCs w:val="19"/>
        </w:rPr>
        <w:t xml:space="preserve">PCIT v. NRA Iron and Steel (P) Ltd. (SC, 2019)</w:t>
      </w:r>
      <w:r>
        <w:rPr>
          <w:rFonts w:ascii="Verdana" w:cs="Verdana" w:eastAsia="Verdana" w:hAnsi="Verdana"/>
          <w:sz w:val="19"/>
          <w:szCs w:val="19"/>
        </w:rPr>
        <w:t xml:space="preserve">	75, 211</w:t>
      </w:r>
    </w:p>
    <w:p>
      <w:pPr>
        <w:keepNext/>
        <w:spacing w:after="40" w:before="160"/>
      </w:pPr>
      <w:r>
        <w:rPr>
          <w:rFonts w:ascii="Verdana" w:cs="Verdana" w:eastAsia="Verdana" w:hAnsi="Verdana"/>
          <w:b/>
          <w:bCs/>
          <w:color w:val="92400E"/>
          <w:sz w:val="22"/>
          <w:szCs w:val="22"/>
        </w:rPr>
        <w:t xml:space="preserve">P</w:t>
      </w:r>
    </w:p>
    <w:p>
      <w:pPr>
        <w:tabs>
          <w:tab w:val="right" w:pos="9638" w:leader="dot"/>
        </w:tabs>
        <w:spacing w:after="20"/>
        <w:ind w:left="200" w:right="0"/>
      </w:pPr>
      <w:r>
        <w:rPr>
          <w:rFonts w:ascii="Verdana" w:cs="Verdana" w:eastAsia="Verdana" w:hAnsi="Verdana"/>
          <w:sz w:val="19"/>
          <w:szCs w:val="19"/>
        </w:rPr>
        <w:t xml:space="preserve">Palam Gas Service v. CIT (SC, 2017)</w:t>
      </w:r>
      <w:r>
        <w:rPr>
          <w:rFonts w:ascii="Verdana" w:cs="Verdana" w:eastAsia="Verdana" w:hAnsi="Verdana"/>
          <w:sz w:val="19"/>
          <w:szCs w:val="19"/>
        </w:rPr>
        <w:t xml:space="preserve">	44, 210</w:t>
      </w:r>
    </w:p>
    <w:p>
      <w:pPr>
        <w:tabs>
          <w:tab w:val="right" w:pos="9638" w:leader="dot"/>
        </w:tabs>
        <w:spacing w:after="20"/>
        <w:ind w:left="200" w:right="0"/>
      </w:pPr>
      <w:r>
        <w:rPr>
          <w:rFonts w:ascii="Verdana" w:cs="Verdana" w:eastAsia="Verdana" w:hAnsi="Verdana"/>
          <w:sz w:val="19"/>
          <w:szCs w:val="19"/>
        </w:rPr>
        <w:t xml:space="preserve">CIT v. Podar Cement (P) Ltd. (SC, 1997)</w:t>
      </w:r>
      <w:r>
        <w:rPr>
          <w:rFonts w:ascii="Verdana" w:cs="Verdana" w:eastAsia="Verdana" w:hAnsi="Verdana"/>
          <w:sz w:val="19"/>
          <w:szCs w:val="19"/>
        </w:rPr>
        <w:t xml:space="preserve">	39, 210</w:t>
      </w:r>
    </w:p>
    <w:p>
      <w:pPr>
        <w:tabs>
          <w:tab w:val="right" w:pos="9638" w:leader="dot"/>
        </w:tabs>
        <w:spacing w:after="20"/>
        <w:ind w:left="200" w:right="0"/>
      </w:pPr>
      <w:r>
        <w:rPr>
          <w:rFonts w:ascii="Verdana" w:cs="Verdana" w:eastAsia="Verdana" w:hAnsi="Verdana"/>
          <w:sz w:val="19"/>
          <w:szCs w:val="19"/>
        </w:rPr>
        <w:t xml:space="preserve">Pooran Mal v. Director of Inspection (SC, 1974)</w:t>
      </w:r>
      <w:r>
        <w:rPr>
          <w:rFonts w:ascii="Verdana" w:cs="Verdana" w:eastAsia="Verdana" w:hAnsi="Verdana"/>
          <w:sz w:val="19"/>
          <w:szCs w:val="19"/>
        </w:rPr>
        <w:t xml:space="preserve">	170, 212</w:t>
      </w:r>
    </w:p>
    <w:p>
      <w:pPr>
        <w:keepNext/>
        <w:spacing w:after="40" w:before="160"/>
      </w:pPr>
      <w:r>
        <w:rPr>
          <w:rFonts w:ascii="Verdana" w:cs="Verdana" w:eastAsia="Verdana" w:hAnsi="Verdana"/>
          <w:b/>
          <w:bCs/>
          <w:color w:val="92400E"/>
          <w:sz w:val="22"/>
          <w:szCs w:val="22"/>
        </w:rPr>
        <w:t xml:space="preserve">R</w:t>
      </w:r>
    </w:p>
    <w:p>
      <w:pPr>
        <w:tabs>
          <w:tab w:val="right" w:pos="9638" w:leader="dot"/>
        </w:tabs>
        <w:spacing w:after="20"/>
        <w:ind w:left="200" w:right="0"/>
      </w:pPr>
      <w:r>
        <w:rPr>
          <w:rFonts w:ascii="Verdana" w:cs="Verdana" w:eastAsia="Verdana" w:hAnsi="Verdana"/>
          <w:sz w:val="19"/>
          <w:szCs w:val="19"/>
        </w:rPr>
        <w:t xml:space="preserve">Raj Dadarkar and Associates v. ACIT (SC, 2017)</w:t>
      </w:r>
      <w:r>
        <w:rPr>
          <w:rFonts w:ascii="Verdana" w:cs="Verdana" w:eastAsia="Verdana" w:hAnsi="Verdana"/>
          <w:sz w:val="19"/>
          <w:szCs w:val="19"/>
        </w:rPr>
        <w:t xml:space="preserve">	41, 210</w:t>
      </w:r>
    </w:p>
    <w:p>
      <w:pPr>
        <w:tabs>
          <w:tab w:val="right" w:pos="9638" w:leader="dot"/>
        </w:tabs>
        <w:spacing w:after="20"/>
        <w:ind w:left="200" w:right="0"/>
      </w:pPr>
      <w:r>
        <w:rPr>
          <w:rFonts w:ascii="Verdana" w:cs="Verdana" w:eastAsia="Verdana" w:hAnsi="Verdana"/>
          <w:sz w:val="19"/>
          <w:szCs w:val="19"/>
        </w:rPr>
        <w:t xml:space="preserve">CIT v. Raja Benoy Kumar Sahas Roy (SC, 1957)</w:t>
      </w:r>
      <w:r>
        <w:rPr>
          <w:rFonts w:ascii="Verdana" w:cs="Verdana" w:eastAsia="Verdana" w:hAnsi="Verdana"/>
          <w:sz w:val="19"/>
          <w:szCs w:val="19"/>
        </w:rPr>
        <w:t xml:space="preserve">	27, 211</w:t>
      </w:r>
    </w:p>
    <w:p>
      <w:pPr>
        <w:tabs>
          <w:tab w:val="right" w:pos="9638" w:leader="dot"/>
        </w:tabs>
        <w:spacing w:after="20"/>
        <w:ind w:left="200" w:right="0"/>
      </w:pPr>
      <w:r>
        <w:rPr>
          <w:rFonts w:ascii="Verdana" w:cs="Verdana" w:eastAsia="Verdana" w:hAnsi="Verdana"/>
          <w:sz w:val="19"/>
          <w:szCs w:val="19"/>
        </w:rPr>
        <w:t xml:space="preserve">Union of India v. Rajeev Bansal (SC, 2024)</w:t>
      </w:r>
      <w:r>
        <w:rPr>
          <w:rFonts w:ascii="Verdana" w:cs="Verdana" w:eastAsia="Verdana" w:hAnsi="Verdana"/>
          <w:sz w:val="19"/>
          <w:szCs w:val="19"/>
        </w:rPr>
        <w:t xml:space="preserve">	168, 212</w:t>
      </w:r>
    </w:p>
    <w:p>
      <w:pPr>
        <w:tabs>
          <w:tab w:val="right" w:pos="9638" w:leader="dot"/>
        </w:tabs>
        <w:spacing w:after="20"/>
        <w:ind w:left="200" w:right="0"/>
      </w:pPr>
      <w:r>
        <w:rPr>
          <w:rFonts w:ascii="Verdana" w:cs="Verdana" w:eastAsia="Verdana" w:hAnsi="Verdana"/>
          <w:sz w:val="19"/>
          <w:szCs w:val="19"/>
        </w:rPr>
        <w:t xml:space="preserve">Ram Prashad v. CIT (SC, 1972)</w:t>
      </w:r>
      <w:r>
        <w:rPr>
          <w:rFonts w:ascii="Verdana" w:cs="Verdana" w:eastAsia="Verdana" w:hAnsi="Verdana"/>
          <w:sz w:val="19"/>
          <w:szCs w:val="19"/>
        </w:rPr>
        <w:t xml:space="preserve">	31, 210</w:t>
      </w:r>
    </w:p>
    <w:p>
      <w:pPr>
        <w:tabs>
          <w:tab w:val="right" w:pos="9638" w:leader="dot"/>
        </w:tabs>
        <w:spacing w:after="20"/>
        <w:ind w:left="200" w:right="0"/>
      </w:pPr>
      <w:r>
        <w:rPr>
          <w:rFonts w:ascii="Verdana" w:cs="Verdana" w:eastAsia="Verdana" w:hAnsi="Verdana"/>
          <w:sz w:val="19"/>
          <w:szCs w:val="19"/>
        </w:rPr>
        <w:t xml:space="preserve">CCE v. Ratan Melting and Wire Industries (SC, 2008)</w:t>
      </w:r>
      <w:r>
        <w:rPr>
          <w:rFonts w:ascii="Verdana" w:cs="Verdana" w:eastAsia="Verdana" w:hAnsi="Verdana"/>
          <w:sz w:val="19"/>
          <w:szCs w:val="19"/>
        </w:rPr>
        <w:t xml:space="preserve">	14, 210</w:t>
      </w:r>
    </w:p>
    <w:p>
      <w:pPr>
        <w:tabs>
          <w:tab w:val="right" w:pos="9638" w:leader="dot"/>
        </w:tabs>
        <w:spacing w:after="20"/>
        <w:ind w:left="200" w:right="0"/>
      </w:pPr>
      <w:r>
        <w:rPr>
          <w:rFonts w:ascii="Verdana" w:cs="Verdana" w:eastAsia="Verdana" w:hAnsi="Verdana"/>
          <w:sz w:val="19"/>
          <w:szCs w:val="19"/>
        </w:rPr>
        <w:t xml:space="preserve">CIT v. Reliance Petroproducts (P) Ltd. (SC, 2010)</w:t>
      </w:r>
      <w:r>
        <w:rPr>
          <w:rFonts w:ascii="Verdana" w:cs="Verdana" w:eastAsia="Verdana" w:hAnsi="Verdana"/>
          <w:sz w:val="19"/>
          <w:szCs w:val="19"/>
        </w:rPr>
        <w:t xml:space="preserve">	176, 212</w:t>
      </w:r>
    </w:p>
    <w:p>
      <w:pPr>
        <w:keepNext/>
        <w:spacing w:after="40" w:before="160"/>
      </w:pPr>
      <w:r>
        <w:rPr>
          <w:rFonts w:ascii="Verdana" w:cs="Verdana" w:eastAsia="Verdana" w:hAnsi="Verdana"/>
          <w:b/>
          <w:bCs/>
          <w:color w:val="92400E"/>
          <w:sz w:val="22"/>
          <w:szCs w:val="22"/>
        </w:rPr>
        <w:t xml:space="preserve">S</w:t>
      </w:r>
    </w:p>
    <w:p>
      <w:pPr>
        <w:tabs>
          <w:tab w:val="right" w:pos="9638" w:leader="dot"/>
        </w:tabs>
        <w:spacing w:after="20"/>
        <w:ind w:left="200" w:right="0"/>
      </w:pPr>
      <w:r>
        <w:rPr>
          <w:rFonts w:ascii="Verdana" w:cs="Verdana" w:eastAsia="Verdana" w:hAnsi="Verdana"/>
          <w:sz w:val="19"/>
          <w:szCs w:val="19"/>
        </w:rPr>
        <w:t xml:space="preserve">S.A. Builders Ltd. v. CIT (SC, 2006)</w:t>
      </w:r>
      <w:r>
        <w:rPr>
          <w:rFonts w:ascii="Verdana" w:cs="Verdana" w:eastAsia="Verdana" w:hAnsi="Verdana"/>
          <w:sz w:val="19"/>
          <w:szCs w:val="19"/>
        </w:rPr>
        <w:t xml:space="preserve">	51, 209</w:t>
      </w:r>
    </w:p>
    <w:p>
      <w:pPr>
        <w:tabs>
          <w:tab w:val="right" w:pos="9638" w:leader="dot"/>
        </w:tabs>
        <w:spacing w:after="20"/>
        <w:ind w:left="200" w:right="0"/>
      </w:pPr>
      <w:r>
        <w:rPr>
          <w:rFonts w:ascii="Verdana" w:cs="Verdana" w:eastAsia="Verdana" w:hAnsi="Verdana"/>
          <w:sz w:val="19"/>
          <w:szCs w:val="19"/>
        </w:rPr>
        <w:t xml:space="preserve">Sanjeev Lal v. CIT (SC, 2014)</w:t>
      </w:r>
      <w:r>
        <w:rPr>
          <w:rFonts w:ascii="Verdana" w:cs="Verdana" w:eastAsia="Verdana" w:hAnsi="Verdana"/>
          <w:sz w:val="19"/>
          <w:szCs w:val="19"/>
        </w:rPr>
        <w:t xml:space="preserve">	62, 209</w:t>
      </w:r>
    </w:p>
    <w:p>
      <w:pPr>
        <w:tabs>
          <w:tab w:val="right" w:pos="9638" w:leader="dot"/>
        </w:tabs>
        <w:spacing w:after="20"/>
        <w:ind w:left="200" w:right="0"/>
      </w:pPr>
      <w:r>
        <w:rPr>
          <w:rFonts w:ascii="Verdana" w:cs="Verdana" w:eastAsia="Verdana" w:hAnsi="Verdana"/>
          <w:sz w:val="19"/>
          <w:szCs w:val="19"/>
        </w:rPr>
        <w:t xml:space="preserve">Sasi Enterprises v. ACIT (SC, 2014)</w:t>
      </w:r>
      <w:r>
        <w:rPr>
          <w:rFonts w:ascii="Verdana" w:cs="Verdana" w:eastAsia="Verdana" w:hAnsi="Verdana"/>
          <w:sz w:val="19"/>
          <w:szCs w:val="19"/>
        </w:rPr>
        <w:t xml:space="preserve">	177, 212</w:t>
      </w:r>
    </w:p>
    <w:p>
      <w:pPr>
        <w:tabs>
          <w:tab w:val="right" w:pos="9638" w:leader="dot"/>
        </w:tabs>
        <w:spacing w:after="20"/>
        <w:ind w:left="200" w:right="0"/>
      </w:pPr>
      <w:r>
        <w:rPr>
          <w:rFonts w:ascii="Verdana" w:cs="Verdana" w:eastAsia="Verdana" w:hAnsi="Verdana"/>
          <w:sz w:val="19"/>
          <w:szCs w:val="19"/>
        </w:rPr>
        <w:t xml:space="preserve">Shambhu Investment (P) Ltd. v. CIT (SC, 2003)</w:t>
      </w:r>
      <w:r>
        <w:rPr>
          <w:rFonts w:ascii="Verdana" w:cs="Verdana" w:eastAsia="Verdana" w:hAnsi="Verdana"/>
          <w:sz w:val="19"/>
          <w:szCs w:val="19"/>
        </w:rPr>
        <w:t xml:space="preserve">	41, 210</w:t>
      </w:r>
    </w:p>
    <w:p>
      <w:pPr>
        <w:tabs>
          <w:tab w:val="right" w:pos="9638" w:leader="dot"/>
        </w:tabs>
        <w:spacing w:after="20"/>
        <w:ind w:left="200" w:right="0"/>
      </w:pPr>
      <w:r>
        <w:rPr>
          <w:rFonts w:ascii="Verdana" w:cs="Verdana" w:eastAsia="Verdana" w:hAnsi="Verdana"/>
          <w:sz w:val="19"/>
          <w:szCs w:val="19"/>
        </w:rPr>
        <w:t xml:space="preserve">CIT v. Smifs Securities Ltd. (SC, 2012)</w:t>
      </w:r>
      <w:r>
        <w:rPr>
          <w:rFonts w:ascii="Verdana" w:cs="Verdana" w:eastAsia="Verdana" w:hAnsi="Verdana"/>
          <w:sz w:val="19"/>
          <w:szCs w:val="19"/>
        </w:rPr>
        <w:t xml:space="preserve">	47, 211</w:t>
      </w:r>
    </w:p>
    <w:p>
      <w:pPr>
        <w:tabs>
          <w:tab w:val="right" w:pos="9638" w:leader="dot"/>
        </w:tabs>
        <w:spacing w:after="20"/>
        <w:ind w:left="200" w:right="0"/>
      </w:pPr>
      <w:r>
        <w:rPr>
          <w:rFonts w:ascii="Verdana" w:cs="Verdana" w:eastAsia="Verdana" w:hAnsi="Verdana"/>
          <w:sz w:val="19"/>
          <w:szCs w:val="19"/>
        </w:rPr>
        <w:t xml:space="preserve">Sony Ericsson Mobile Communications India (P) Ltd. v. CIT (Del HC, 2015)</w:t>
      </w:r>
      <w:r>
        <w:rPr>
          <w:rFonts w:ascii="Verdana" w:cs="Verdana" w:eastAsia="Verdana" w:hAnsi="Verdana"/>
          <w:sz w:val="19"/>
          <w:szCs w:val="19"/>
        </w:rPr>
        <w:t xml:space="preserve">	139, 212</w:t>
      </w:r>
    </w:p>
    <w:p>
      <w:pPr>
        <w:tabs>
          <w:tab w:val="right" w:pos="9638" w:leader="dot"/>
        </w:tabs>
        <w:spacing w:after="20"/>
        <w:ind w:left="200" w:right="0"/>
      </w:pPr>
      <w:r>
        <w:rPr>
          <w:rFonts w:ascii="Verdana" w:cs="Verdana" w:eastAsia="Verdana" w:hAnsi="Verdana"/>
          <w:sz w:val="19"/>
          <w:szCs w:val="19"/>
        </w:rPr>
        <w:t xml:space="preserve">Sultan Brothers (P) Ltd. v. CIT (SC, 1964)</w:t>
      </w:r>
      <w:r>
        <w:rPr>
          <w:rFonts w:ascii="Verdana" w:cs="Verdana" w:eastAsia="Verdana" w:hAnsi="Verdana"/>
          <w:sz w:val="19"/>
          <w:szCs w:val="19"/>
        </w:rPr>
        <w:t xml:space="preserve">	41, 210</w:t>
      </w:r>
    </w:p>
    <w:p>
      <w:pPr>
        <w:tabs>
          <w:tab w:val="right" w:pos="9638" w:leader="dot"/>
        </w:tabs>
        <w:spacing w:after="20"/>
        <w:ind w:left="200" w:right="0"/>
      </w:pPr>
      <w:r>
        <w:rPr>
          <w:rFonts w:ascii="Verdana" w:cs="Verdana" w:eastAsia="Verdana" w:hAnsi="Verdana"/>
          <w:sz w:val="19"/>
          <w:szCs w:val="19"/>
        </w:rPr>
        <w:t xml:space="preserve">Surjit Lal Chhabda v. CIT (SC, 1975)</w:t>
      </w:r>
      <w:r>
        <w:rPr>
          <w:rFonts w:ascii="Verdana" w:cs="Verdana" w:eastAsia="Verdana" w:hAnsi="Verdana"/>
          <w:sz w:val="19"/>
          <w:szCs w:val="19"/>
        </w:rPr>
        <w:t xml:space="preserve">	93, 211</w:t>
      </w:r>
    </w:p>
    <w:p>
      <w:pPr>
        <w:keepNext/>
        <w:spacing w:after="40" w:before="160"/>
      </w:pPr>
      <w:r>
        <w:rPr>
          <w:rFonts w:ascii="Verdana" w:cs="Verdana" w:eastAsia="Verdana" w:hAnsi="Verdana"/>
          <w:b/>
          <w:bCs/>
          <w:color w:val="92400E"/>
          <w:sz w:val="22"/>
          <w:szCs w:val="22"/>
        </w:rPr>
        <w:t xml:space="preserve">T</w:t>
      </w:r>
    </w:p>
    <w:p>
      <w:pPr>
        <w:tabs>
          <w:tab w:val="right" w:pos="9638" w:leader="dot"/>
        </w:tabs>
        <w:spacing w:after="20"/>
        <w:ind w:left="200" w:right="0"/>
      </w:pPr>
      <w:r>
        <w:rPr>
          <w:rFonts w:ascii="Verdana" w:cs="Verdana" w:eastAsia="Verdana" w:hAnsi="Verdana"/>
          <w:sz w:val="19"/>
          <w:szCs w:val="19"/>
        </w:rPr>
        <w:t xml:space="preserve">T.R.F. Ltd. v. CIT (SC, 2010)</w:t>
      </w:r>
      <w:r>
        <w:rPr>
          <w:rFonts w:ascii="Verdana" w:cs="Verdana" w:eastAsia="Verdana" w:hAnsi="Verdana"/>
          <w:sz w:val="19"/>
          <w:szCs w:val="19"/>
        </w:rPr>
        <w:t xml:space="preserve">	46, 209</w:t>
      </w:r>
    </w:p>
    <w:p>
      <w:pPr>
        <w:tabs>
          <w:tab w:val="right" w:pos="9638" w:leader="dot"/>
        </w:tabs>
        <w:spacing w:after="20"/>
        <w:ind w:left="200" w:right="0"/>
      </w:pPr>
      <w:r>
        <w:rPr>
          <w:rFonts w:ascii="Verdana" w:cs="Verdana" w:eastAsia="Verdana" w:hAnsi="Verdana"/>
          <w:sz w:val="19"/>
          <w:szCs w:val="19"/>
        </w:rPr>
        <w:t xml:space="preserve">Taparia Tools Ltd. v. JCIT (SC, 2015)</w:t>
      </w:r>
      <w:r>
        <w:rPr>
          <w:rFonts w:ascii="Verdana" w:cs="Verdana" w:eastAsia="Verdana" w:hAnsi="Verdana"/>
          <w:sz w:val="19"/>
          <w:szCs w:val="19"/>
        </w:rPr>
        <w:t xml:space="preserve">	51, 210</w:t>
      </w:r>
    </w:p>
    <w:p>
      <w:pPr>
        <w:tabs>
          <w:tab w:val="right" w:pos="9638" w:leader="dot"/>
        </w:tabs>
        <w:spacing w:after="20"/>
        <w:ind w:left="200" w:right="0"/>
      </w:pPr>
      <w:r>
        <w:rPr>
          <w:rFonts w:ascii="Verdana" w:cs="Verdana" w:eastAsia="Verdana" w:hAnsi="Verdana"/>
          <w:sz w:val="19"/>
          <w:szCs w:val="19"/>
        </w:rPr>
        <w:t xml:space="preserve">Union of India v. Tata Chemicals Ltd. (SC, 2014)</w:t>
      </w:r>
      <w:r>
        <w:rPr>
          <w:rFonts w:ascii="Verdana" w:cs="Verdana" w:eastAsia="Verdana" w:hAnsi="Verdana"/>
          <w:sz w:val="19"/>
          <w:szCs w:val="19"/>
        </w:rPr>
        <w:t xml:space="preserve">	174, 212</w:t>
      </w:r>
    </w:p>
    <w:p>
      <w:pPr>
        <w:tabs>
          <w:tab w:val="right" w:pos="9638" w:leader="dot"/>
        </w:tabs>
        <w:spacing w:after="20"/>
        <w:ind w:left="200" w:right="0"/>
      </w:pPr>
      <w:r>
        <w:rPr>
          <w:rFonts w:ascii="Verdana" w:cs="Verdana" w:eastAsia="Verdana" w:hAnsi="Verdana"/>
          <w:sz w:val="19"/>
          <w:szCs w:val="19"/>
        </w:rPr>
        <w:t xml:space="preserve">Totgars Co-operative Sale Society Ltd. v. ITO (SC, 2010)</w:t>
      </w:r>
      <w:r>
        <w:rPr>
          <w:rFonts w:ascii="Verdana" w:cs="Verdana" w:eastAsia="Verdana" w:hAnsi="Verdana"/>
          <w:sz w:val="19"/>
          <w:szCs w:val="19"/>
        </w:rPr>
        <w:t xml:space="preserve">	100, 211</w:t>
      </w:r>
    </w:p>
    <w:p>
      <w:pPr>
        <w:keepNext/>
        <w:spacing w:after="40" w:before="160"/>
      </w:pPr>
      <w:r>
        <w:rPr>
          <w:rFonts w:ascii="Verdana" w:cs="Verdana" w:eastAsia="Verdana" w:hAnsi="Verdana"/>
          <w:b/>
          <w:bCs/>
          <w:color w:val="92400E"/>
          <w:sz w:val="22"/>
          <w:szCs w:val="22"/>
        </w:rPr>
        <w:t xml:space="preserve">U</w:t>
      </w:r>
    </w:p>
    <w:p>
      <w:pPr>
        <w:tabs>
          <w:tab w:val="right" w:pos="9638" w:leader="dot"/>
        </w:tabs>
        <w:spacing w:after="20"/>
        <w:ind w:left="200" w:right="0"/>
      </w:pPr>
      <w:r>
        <w:rPr>
          <w:rFonts w:ascii="Verdana" w:cs="Verdana" w:eastAsia="Verdana" w:hAnsi="Verdana"/>
          <w:sz w:val="19"/>
          <w:szCs w:val="19"/>
        </w:rPr>
        <w:t xml:space="preserve">UCO Bank v. CIT (SC, 1999)</w:t>
      </w:r>
      <w:r>
        <w:rPr>
          <w:rFonts w:ascii="Verdana" w:cs="Verdana" w:eastAsia="Verdana" w:hAnsi="Verdana"/>
          <w:sz w:val="19"/>
          <w:szCs w:val="19"/>
        </w:rPr>
        <w:t xml:space="preserve">	14, 210</w:t>
      </w:r>
    </w:p>
    <w:p>
      <w:pPr>
        <w:keepNext/>
        <w:spacing w:after="40" w:before="160"/>
      </w:pPr>
      <w:r>
        <w:rPr>
          <w:rFonts w:ascii="Verdana" w:cs="Verdana" w:eastAsia="Verdana" w:hAnsi="Verdana"/>
          <w:b/>
          <w:bCs/>
          <w:color w:val="92400E"/>
          <w:sz w:val="22"/>
          <w:szCs w:val="22"/>
        </w:rPr>
        <w:t xml:space="preserve">V</w:t>
      </w:r>
    </w:p>
    <w:p>
      <w:pPr>
        <w:tabs>
          <w:tab w:val="right" w:pos="9638" w:leader="dot"/>
        </w:tabs>
        <w:spacing w:after="20"/>
        <w:ind w:left="200" w:right="0"/>
      </w:pPr>
      <w:r>
        <w:rPr>
          <w:rFonts w:ascii="Verdana" w:cs="Verdana" w:eastAsia="Verdana" w:hAnsi="Verdana"/>
          <w:sz w:val="19"/>
          <w:szCs w:val="19"/>
        </w:rPr>
        <w:t xml:space="preserve">Vodafone India Services (P) Ltd. v. Union of India (Bom HC, 2014)</w:t>
      </w:r>
      <w:r>
        <w:rPr>
          <w:rFonts w:ascii="Verdana" w:cs="Verdana" w:eastAsia="Verdana" w:hAnsi="Verdana"/>
          <w:sz w:val="19"/>
          <w:szCs w:val="19"/>
        </w:rPr>
        <w:t xml:space="preserve">	140-141, 212</w:t>
      </w:r>
    </w:p>
    <w:p>
      <w:pPr>
        <w:tabs>
          <w:tab w:val="right" w:pos="9638" w:leader="dot"/>
        </w:tabs>
        <w:spacing w:after="20"/>
        <w:ind w:left="200" w:right="0"/>
      </w:pPr>
      <w:r>
        <w:rPr>
          <w:rFonts w:ascii="Verdana" w:cs="Verdana" w:eastAsia="Verdana" w:hAnsi="Verdana"/>
          <w:sz w:val="19"/>
          <w:szCs w:val="19"/>
        </w:rPr>
        <w:t xml:space="preserve">Vodafone International Holdings v. Union of India (SC, 2012)</w:t>
      </w:r>
      <w:r>
        <w:rPr>
          <w:rFonts w:ascii="Verdana" w:cs="Verdana" w:eastAsia="Verdana" w:hAnsi="Verdana"/>
          <w:sz w:val="19"/>
          <w:szCs w:val="19"/>
        </w:rPr>
        <w:t xml:space="preserve">	14, 122, 209</w:t>
      </w:r>
    </w:p>
    <w:p>
      <w:pPr>
        <w:tabs>
          <w:tab w:val="right" w:pos="9638" w:leader="dot"/>
        </w:tabs>
        <w:spacing w:after="20"/>
        <w:ind w:left="200" w:right="0"/>
      </w:pPr>
      <w:r>
        <w:rPr>
          <w:rFonts w:ascii="Verdana" w:cs="Verdana" w:eastAsia="Verdana" w:hAnsi="Verdana"/>
          <w:sz w:val="19"/>
          <w:szCs w:val="19"/>
        </w:rPr>
        <w:t xml:space="preserve">T.S. Balaram, ITO v. Volkart Brothers (SC, 1971)</w:t>
      </w:r>
      <w:r>
        <w:rPr>
          <w:rFonts w:ascii="Verdana" w:cs="Verdana" w:eastAsia="Verdana" w:hAnsi="Verdana"/>
          <w:sz w:val="19"/>
          <w:szCs w:val="19"/>
        </w:rPr>
        <w:t xml:space="preserve">	169, 212</w:t>
      </w:r>
    </w:p>
    <w:p>
      <w:pPr>
        <w:keepNext/>
        <w:spacing w:after="40" w:before="160"/>
      </w:pPr>
      <w:r>
        <w:rPr>
          <w:rFonts w:ascii="Verdana" w:cs="Verdana" w:eastAsia="Verdana" w:hAnsi="Verdana"/>
          <w:b/>
          <w:bCs/>
          <w:color w:val="92400E"/>
          <w:sz w:val="22"/>
          <w:szCs w:val="22"/>
        </w:rPr>
        <w:t xml:space="preserve">W</w:t>
      </w:r>
    </w:p>
    <w:p>
      <w:pPr>
        <w:tabs>
          <w:tab w:val="right" w:pos="9638" w:leader="dot"/>
        </w:tabs>
        <w:spacing w:after="20"/>
        <w:ind w:left="200" w:right="0"/>
      </w:pPr>
      <w:r>
        <w:rPr>
          <w:rFonts w:ascii="Verdana" w:cs="Verdana" w:eastAsia="Verdana" w:hAnsi="Verdana"/>
          <w:sz w:val="19"/>
          <w:szCs w:val="19"/>
        </w:rPr>
        <w:t xml:space="preserve">CIT v. Walfort Share and Stock Brokers (P) Ltd. (SC, 2010)</w:t>
      </w:r>
      <w:r>
        <w:rPr>
          <w:rFonts w:ascii="Verdana" w:cs="Verdana" w:eastAsia="Verdana" w:hAnsi="Verdana"/>
          <w:sz w:val="19"/>
          <w:szCs w:val="19"/>
        </w:rPr>
        <w:t xml:space="preserve">	143, 212</w:t>
      </w:r>
    </w:p>
    <w:p>
      <w:pPr>
        <w:pStyle w:val="Heading1"/>
        <w:pageBreakBefore/>
        <w:spacing w:after="200" w:before="0"/>
      </w:pPr>
      <w:r>
        <w:rPr>
          <w:rFonts w:ascii="Verdana" w:cs="Verdana" w:eastAsia="Verdana" w:hAnsi="Verdana"/>
        </w:rPr>
        <w:t xml:space="preserve">Index</w:t>
      </w:r>
    </w:p>
    <w:p>
      <w:pPr>
        <w:spacing w:after="120" w:line="276"/>
        <w:jc w:val="both"/>
      </w:pPr>
      <w:r>
        <w:rPr>
          <w:rFonts w:ascii="Verdana" w:cs="Verdana" w:eastAsia="Verdana" w:hAnsi="Verdana"/>
          <w:i/>
          <w:iCs/>
          <w:color w:val="404040"/>
          <w:sz w:val="19"/>
          <w:szCs w:val="19"/>
        </w:rPr>
        <w:t xml:space="preserve">References are to page numbers. Where a subject is discussed on many pages, the main discussions are listed. Section numbers are those of the Income-tax Act, 2025. See also the Contents, the List of Illustrations and Appendix J (Selected Sections).</w:t>
      </w:r>
    </w:p>
    <w:p>
      <w:pPr>
        <w:keepNext/>
        <w:spacing w:after="40" w:before="160"/>
      </w:pPr>
      <w:r>
        <w:rPr>
          <w:rFonts w:ascii="Verdana" w:cs="Verdana" w:eastAsia="Verdana" w:hAnsi="Verdana"/>
          <w:b/>
          <w:bCs/>
          <w:color w:val="92400E"/>
          <w:sz w:val="22"/>
          <w:szCs w:val="22"/>
        </w:rPr>
        <w:t xml:space="preserve">A</w:t>
      </w:r>
    </w:p>
    <w:p>
      <w:pPr>
        <w:tabs>
          <w:tab w:val="right" w:pos="9638" w:leader="dot"/>
        </w:tabs>
        <w:spacing w:after="20"/>
        <w:ind w:left="200" w:right="0"/>
      </w:pPr>
      <w:r>
        <w:rPr>
          <w:rFonts w:ascii="Verdana" w:cs="Verdana" w:eastAsia="Verdana" w:hAnsi="Verdana"/>
          <w:sz w:val="19"/>
          <w:szCs w:val="19"/>
        </w:rPr>
        <w:t xml:space="preserve">Accreted income (exit tax)</w:t>
      </w:r>
      <w:r>
        <w:rPr>
          <w:rFonts w:ascii="Verdana" w:cs="Verdana" w:eastAsia="Verdana" w:hAnsi="Verdana"/>
          <w:sz w:val="19"/>
          <w:szCs w:val="19"/>
        </w:rPr>
        <w:t xml:space="preserve">	97-98</w:t>
      </w:r>
    </w:p>
    <w:p>
      <w:pPr>
        <w:tabs>
          <w:tab w:val="right" w:pos="9638" w:leader="dot"/>
        </w:tabs>
        <w:spacing w:after="20"/>
        <w:ind w:left="200" w:right="0"/>
      </w:pPr>
      <w:r>
        <w:rPr>
          <w:rFonts w:ascii="Verdana" w:cs="Verdana" w:eastAsia="Verdana" w:hAnsi="Verdana"/>
          <w:sz w:val="19"/>
          <w:szCs w:val="19"/>
        </w:rPr>
        <w:t xml:space="preserve">Additional depreciation</w:t>
      </w:r>
      <w:r>
        <w:rPr>
          <w:rFonts w:ascii="Verdana" w:cs="Verdana" w:eastAsia="Verdana" w:hAnsi="Verdana"/>
          <w:sz w:val="19"/>
          <w:szCs w:val="19"/>
        </w:rPr>
        <w:t xml:space="preserve">	47, 101-103, 192</w:t>
      </w:r>
    </w:p>
    <w:p>
      <w:pPr>
        <w:tabs>
          <w:tab w:val="right" w:pos="9638" w:leader="dot"/>
        </w:tabs>
        <w:spacing w:after="20"/>
        <w:ind w:left="200" w:right="0"/>
      </w:pPr>
      <w:r>
        <w:rPr>
          <w:rFonts w:ascii="Verdana" w:cs="Verdana" w:eastAsia="Verdana" w:hAnsi="Verdana"/>
          <w:sz w:val="19"/>
          <w:szCs w:val="19"/>
        </w:rPr>
        <w:t xml:space="preserve">Additional employee cost (section 146)</w:t>
      </w:r>
      <w:r>
        <w:rPr>
          <w:rFonts w:ascii="Verdana" w:cs="Verdana" w:eastAsia="Verdana" w:hAnsi="Verdana"/>
          <w:sz w:val="19"/>
          <w:szCs w:val="19"/>
        </w:rPr>
        <w:t xml:space="preserve">	79-83, 88, 101</w:t>
      </w:r>
    </w:p>
    <w:p>
      <w:pPr>
        <w:tabs>
          <w:tab w:val="right" w:pos="9638" w:leader="dot"/>
        </w:tabs>
        <w:spacing w:after="20"/>
        <w:ind w:left="200" w:right="0"/>
      </w:pPr>
      <w:r>
        <w:rPr>
          <w:rFonts w:ascii="Verdana" w:cs="Verdana" w:eastAsia="Verdana" w:hAnsi="Verdana"/>
          <w:sz w:val="19"/>
          <w:szCs w:val="19"/>
        </w:rPr>
        <w:t xml:space="preserve">Advance pricing agreement</w:t>
      </w:r>
      <w:r>
        <w:rPr>
          <w:rFonts w:ascii="Verdana" w:cs="Verdana" w:eastAsia="Verdana" w:hAnsi="Verdana"/>
          <w:sz w:val="19"/>
          <w:szCs w:val="19"/>
        </w:rPr>
        <w:t xml:space="preserve">	111, 120, 135-136, 139-140, 173</w:t>
      </w:r>
    </w:p>
    <w:p>
      <w:pPr>
        <w:tabs>
          <w:tab w:val="right" w:pos="9638" w:leader="dot"/>
        </w:tabs>
        <w:spacing w:after="20"/>
        <w:ind w:left="200" w:right="0"/>
      </w:pPr>
      <w:r>
        <w:rPr>
          <w:rFonts w:ascii="Verdana" w:cs="Verdana" w:eastAsia="Verdana" w:hAnsi="Verdana"/>
          <w:sz w:val="19"/>
          <w:szCs w:val="19"/>
        </w:rPr>
        <w:t xml:space="preserve">Advance tax</w:t>
      </w:r>
      <w:r>
        <w:rPr>
          <w:rFonts w:ascii="Verdana" w:cs="Verdana" w:eastAsia="Verdana" w:hAnsi="Verdana"/>
          <w:sz w:val="19"/>
          <w:szCs w:val="19"/>
        </w:rPr>
        <w:t xml:space="preserve">	12, 110, 145, 155-156, 164, 174</w:t>
      </w:r>
    </w:p>
    <w:p>
      <w:pPr>
        <w:tabs>
          <w:tab w:val="right" w:pos="9638" w:leader="dot"/>
        </w:tabs>
        <w:spacing w:after="20"/>
        <w:ind w:left="200" w:right="0"/>
      </w:pPr>
      <w:r>
        <w:rPr>
          <w:rFonts w:ascii="Verdana" w:cs="Verdana" w:eastAsia="Verdana" w:hAnsi="Verdana"/>
          <w:sz w:val="19"/>
          <w:szCs w:val="19"/>
        </w:rPr>
        <w:t xml:space="preserve">Agricultural income</w:t>
      </w:r>
      <w:r>
        <w:rPr>
          <w:rFonts w:ascii="Verdana" w:cs="Verdana" w:eastAsia="Verdana" w:hAnsi="Verdana"/>
          <w:sz w:val="19"/>
          <w:szCs w:val="19"/>
        </w:rPr>
        <w:t xml:space="preserve">	25-28, 157</w:t>
      </w:r>
    </w:p>
    <w:p>
      <w:pPr>
        <w:tabs>
          <w:tab w:val="right" w:pos="9638" w:leader="dot"/>
        </w:tabs>
        <w:spacing w:after="20"/>
        <w:ind w:left="200" w:right="0"/>
      </w:pPr>
      <w:r>
        <w:rPr>
          <w:rFonts w:ascii="Verdana" w:cs="Verdana" w:eastAsia="Verdana" w:hAnsi="Verdana"/>
          <w:sz w:val="19"/>
          <w:szCs w:val="19"/>
        </w:rPr>
        <w:t xml:space="preserve">Agricultural land, rural and urban</w:t>
      </w:r>
      <w:r>
        <w:rPr>
          <w:rFonts w:ascii="Verdana" w:cs="Verdana" w:eastAsia="Verdana" w:hAnsi="Verdana"/>
          <w:sz w:val="19"/>
          <w:szCs w:val="19"/>
        </w:rPr>
        <w:t xml:space="preserve">	13, 26, 58-59</w:t>
      </w:r>
    </w:p>
    <w:p>
      <w:pPr>
        <w:tabs>
          <w:tab w:val="right" w:pos="9638" w:leader="dot"/>
        </w:tabs>
        <w:spacing w:after="20"/>
        <w:ind w:left="200" w:right="0"/>
      </w:pPr>
      <w:r>
        <w:rPr>
          <w:rFonts w:ascii="Verdana" w:cs="Verdana" w:eastAsia="Verdana" w:hAnsi="Verdana"/>
          <w:sz w:val="19"/>
          <w:szCs w:val="19"/>
        </w:rPr>
        <w:t xml:space="preserve">AIS and TIS</w:t>
      </w:r>
      <w:r>
        <w:rPr>
          <w:rFonts w:ascii="Verdana" w:cs="Verdana" w:eastAsia="Verdana" w:hAnsi="Verdana"/>
          <w:sz w:val="19"/>
          <w:szCs w:val="19"/>
        </w:rPr>
        <w:t xml:space="preserve">	70-72, 158-159, 163-164</w:t>
      </w:r>
    </w:p>
    <w:p>
      <w:pPr>
        <w:tabs>
          <w:tab w:val="right" w:pos="9638" w:leader="dot"/>
        </w:tabs>
        <w:spacing w:after="20"/>
        <w:ind w:left="200" w:right="0"/>
      </w:pPr>
      <w:r>
        <w:rPr>
          <w:rFonts w:ascii="Verdana" w:cs="Verdana" w:eastAsia="Verdana" w:hAnsi="Verdana"/>
          <w:sz w:val="19"/>
          <w:szCs w:val="19"/>
        </w:rPr>
        <w:t xml:space="preserve">Alternate Minimum Tax (AMT)</w:t>
      </w:r>
      <w:r>
        <w:rPr>
          <w:rFonts w:ascii="Verdana" w:cs="Verdana" w:eastAsia="Verdana" w:hAnsi="Verdana"/>
          <w:sz w:val="19"/>
          <w:szCs w:val="19"/>
        </w:rPr>
        <w:t xml:space="preserve">	10, 12, 15, 95, 99, 102-103</w:t>
      </w:r>
    </w:p>
    <w:p>
      <w:pPr>
        <w:tabs>
          <w:tab w:val="right" w:pos="9638" w:leader="dot"/>
        </w:tabs>
        <w:spacing w:after="20"/>
        <w:ind w:left="200" w:right="0"/>
      </w:pPr>
      <w:r>
        <w:rPr>
          <w:rFonts w:ascii="Verdana" w:cs="Verdana" w:eastAsia="Verdana" w:hAnsi="Verdana"/>
          <w:sz w:val="19"/>
          <w:szCs w:val="19"/>
        </w:rPr>
        <w:t xml:space="preserve">Amalgamation</w:t>
      </w:r>
      <w:r>
        <w:rPr>
          <w:rFonts w:ascii="Verdana" w:cs="Verdana" w:eastAsia="Verdana" w:hAnsi="Verdana"/>
          <w:sz w:val="19"/>
          <w:szCs w:val="19"/>
        </w:rPr>
        <w:t xml:space="preserve">	42, 47, 57, 116-117, 120-121</w:t>
      </w:r>
    </w:p>
    <w:p>
      <w:pPr>
        <w:tabs>
          <w:tab w:val="right" w:pos="9638" w:leader="dot"/>
        </w:tabs>
        <w:spacing w:after="20"/>
        <w:ind w:left="200" w:right="0"/>
      </w:pPr>
      <w:r>
        <w:rPr>
          <w:rFonts w:ascii="Verdana" w:cs="Verdana" w:eastAsia="Verdana" w:hAnsi="Verdana"/>
          <w:sz w:val="19"/>
          <w:szCs w:val="19"/>
        </w:rPr>
        <w:t xml:space="preserve">Angel tax (abolished)</w:t>
      </w:r>
      <w:r>
        <w:rPr>
          <w:rFonts w:ascii="Verdana" w:cs="Verdana" w:eastAsia="Verdana" w:hAnsi="Verdana"/>
          <w:sz w:val="19"/>
          <w:szCs w:val="19"/>
        </w:rPr>
        <w:t xml:space="preserve">	107</w:t>
      </w:r>
    </w:p>
    <w:p>
      <w:pPr>
        <w:tabs>
          <w:tab w:val="right" w:pos="9638" w:leader="dot"/>
        </w:tabs>
        <w:spacing w:after="20"/>
        <w:ind w:left="200" w:right="0"/>
      </w:pPr>
      <w:r>
        <w:rPr>
          <w:rFonts w:ascii="Verdana" w:cs="Verdana" w:eastAsia="Verdana" w:hAnsi="Verdana"/>
          <w:sz w:val="19"/>
          <w:szCs w:val="19"/>
        </w:rPr>
        <w:t xml:space="preserve">Anonymous donations</w:t>
      </w:r>
      <w:r>
        <w:rPr>
          <w:rFonts w:ascii="Verdana" w:cs="Verdana" w:eastAsia="Verdana" w:hAnsi="Verdana"/>
          <w:sz w:val="19"/>
          <w:szCs w:val="19"/>
        </w:rPr>
        <w:t xml:space="preserve">	97-98, 190</w:t>
      </w:r>
    </w:p>
    <w:p>
      <w:pPr>
        <w:tabs>
          <w:tab w:val="right" w:pos="9638" w:leader="dot"/>
        </w:tabs>
        <w:spacing w:after="20"/>
        <w:ind w:left="200" w:right="0"/>
      </w:pPr>
      <w:r>
        <w:rPr>
          <w:rFonts w:ascii="Verdana" w:cs="Verdana" w:eastAsia="Verdana" w:hAnsi="Verdana"/>
          <w:sz w:val="19"/>
          <w:szCs w:val="19"/>
        </w:rPr>
        <w:t xml:space="preserve">Anti-avoidance rules</w:t>
      </w:r>
      <w:r>
        <w:rPr>
          <w:rFonts w:ascii="Verdana" w:cs="Verdana" w:eastAsia="Verdana" w:hAnsi="Verdana"/>
          <w:sz w:val="19"/>
          <w:szCs w:val="19"/>
        </w:rPr>
        <w:t xml:space="preserve">	125, 142-143</w:t>
      </w:r>
    </w:p>
    <w:p>
      <w:pPr>
        <w:tabs>
          <w:tab w:val="right" w:pos="9638" w:leader="dot"/>
        </w:tabs>
        <w:spacing w:after="20"/>
        <w:ind w:left="200" w:right="0"/>
      </w:pPr>
      <w:r>
        <w:rPr>
          <w:rFonts w:ascii="Verdana" w:cs="Verdana" w:eastAsia="Verdana" w:hAnsi="Verdana"/>
          <w:sz w:val="19"/>
          <w:szCs w:val="19"/>
        </w:rPr>
        <w:t xml:space="preserve">Appeals</w:t>
      </w:r>
      <w:r>
        <w:rPr>
          <w:rFonts w:ascii="Verdana" w:cs="Verdana" w:eastAsia="Verdana" w:hAnsi="Verdana"/>
          <w:sz w:val="19"/>
          <w:szCs w:val="19"/>
        </w:rPr>
        <w:t xml:space="preserve">	16, 139, 145, 164, 166, 172-173</w:t>
      </w:r>
    </w:p>
    <w:p>
      <w:pPr>
        <w:tabs>
          <w:tab w:val="right" w:pos="9638" w:leader="dot"/>
        </w:tabs>
        <w:spacing w:after="20"/>
        <w:ind w:left="200" w:right="0"/>
      </w:pPr>
      <w:r>
        <w:rPr>
          <w:rFonts w:ascii="Verdana" w:cs="Verdana" w:eastAsia="Verdana" w:hAnsi="Verdana"/>
          <w:sz w:val="19"/>
          <w:szCs w:val="19"/>
        </w:rPr>
        <w:t xml:space="preserve">Appellate Tribunal (ITAT)</w:t>
      </w:r>
      <w:r>
        <w:rPr>
          <w:rFonts w:ascii="Verdana" w:cs="Verdana" w:eastAsia="Verdana" w:hAnsi="Verdana"/>
          <w:sz w:val="19"/>
          <w:szCs w:val="19"/>
        </w:rPr>
        <w:t xml:space="preserve">	166, 172</w:t>
      </w:r>
    </w:p>
    <w:p>
      <w:pPr>
        <w:tabs>
          <w:tab w:val="right" w:pos="9638" w:leader="dot"/>
        </w:tabs>
        <w:spacing w:after="20"/>
        <w:ind w:left="200" w:right="0"/>
      </w:pPr>
      <w:r>
        <w:rPr>
          <w:rFonts w:ascii="Verdana" w:cs="Verdana" w:eastAsia="Verdana" w:hAnsi="Verdana"/>
          <w:sz w:val="19"/>
          <w:szCs w:val="19"/>
        </w:rPr>
        <w:t xml:space="preserve">Arm's length price</w:t>
      </w:r>
      <w:r>
        <w:rPr>
          <w:rFonts w:ascii="Verdana" w:cs="Verdana" w:eastAsia="Verdana" w:hAnsi="Verdana"/>
          <w:sz w:val="19"/>
          <w:szCs w:val="19"/>
        </w:rPr>
        <w:t xml:space="preserve">	110, 129, 135-136, 138-139, 141</w:t>
      </w:r>
    </w:p>
    <w:p>
      <w:pPr>
        <w:tabs>
          <w:tab w:val="right" w:pos="9638" w:leader="dot"/>
        </w:tabs>
        <w:spacing w:after="20"/>
        <w:ind w:left="200" w:right="0"/>
      </w:pPr>
      <w:r>
        <w:rPr>
          <w:rFonts w:ascii="Verdana" w:cs="Verdana" w:eastAsia="Verdana" w:hAnsi="Verdana"/>
          <w:sz w:val="19"/>
          <w:szCs w:val="19"/>
        </w:rPr>
        <w:t xml:space="preserve">Arrears of salary, relief (section 157)</w:t>
      </w:r>
      <w:r>
        <w:rPr>
          <w:rFonts w:ascii="Verdana" w:cs="Verdana" w:eastAsia="Verdana" w:hAnsi="Verdana"/>
          <w:sz w:val="19"/>
          <w:szCs w:val="19"/>
        </w:rPr>
        <w:t xml:space="preserve">	12, 31, 35, 37, 153</w:t>
      </w:r>
    </w:p>
    <w:p>
      <w:pPr>
        <w:tabs>
          <w:tab w:val="right" w:pos="9638" w:leader="dot"/>
        </w:tabs>
        <w:spacing w:after="20"/>
        <w:ind w:left="200" w:right="0"/>
      </w:pPr>
      <w:r>
        <w:rPr>
          <w:rFonts w:ascii="Verdana" w:cs="Verdana" w:eastAsia="Verdana" w:hAnsi="Verdana"/>
          <w:sz w:val="19"/>
          <w:szCs w:val="19"/>
        </w:rPr>
        <w:t xml:space="preserve">Assessment</w:t>
      </w:r>
      <w:r>
        <w:rPr>
          <w:rFonts w:ascii="Verdana" w:cs="Verdana" w:eastAsia="Verdana" w:hAnsi="Verdana"/>
          <w:sz w:val="19"/>
          <w:szCs w:val="19"/>
        </w:rPr>
        <w:t xml:space="preserve">	162, 166-167</w:t>
      </w:r>
    </w:p>
    <w:p>
      <w:pPr>
        <w:tabs>
          <w:tab w:val="right" w:pos="9638" w:leader="dot"/>
        </w:tabs>
        <w:spacing w:after="20"/>
        <w:ind w:left="200" w:right="0"/>
      </w:pPr>
      <w:r>
        <w:rPr>
          <w:rFonts w:ascii="Verdana" w:cs="Verdana" w:eastAsia="Verdana" w:hAnsi="Verdana"/>
          <w:sz w:val="19"/>
          <w:szCs w:val="19"/>
        </w:rPr>
        <w:t xml:space="preserve">Associated enterprise</w:t>
      </w:r>
      <w:r>
        <w:rPr>
          <w:rFonts w:ascii="Verdana" w:cs="Verdana" w:eastAsia="Verdana" w:hAnsi="Verdana"/>
          <w:sz w:val="19"/>
          <w:szCs w:val="19"/>
        </w:rPr>
        <w:t xml:space="preserve">	129-130, 135-136, 142</w:t>
      </w:r>
    </w:p>
    <w:p>
      <w:pPr>
        <w:tabs>
          <w:tab w:val="right" w:pos="9638" w:leader="dot"/>
        </w:tabs>
        <w:spacing w:after="20"/>
        <w:ind w:left="200" w:right="0"/>
      </w:pPr>
      <w:r>
        <w:rPr>
          <w:rFonts w:ascii="Verdana" w:cs="Verdana" w:eastAsia="Verdana" w:hAnsi="Verdana"/>
          <w:sz w:val="19"/>
          <w:szCs w:val="19"/>
        </w:rPr>
        <w:t xml:space="preserve">Association of persons (AOP)</w:t>
      </w:r>
      <w:r>
        <w:rPr>
          <w:rFonts w:ascii="Verdana" w:cs="Verdana" w:eastAsia="Verdana" w:hAnsi="Verdana"/>
          <w:sz w:val="19"/>
          <w:szCs w:val="19"/>
        </w:rPr>
        <w:t xml:space="preserve">	13, 18, 20-21, 27, 95-96</w:t>
      </w:r>
    </w:p>
    <w:p>
      <w:pPr>
        <w:keepNext/>
        <w:spacing w:after="40" w:before="160"/>
      </w:pPr>
      <w:r>
        <w:rPr>
          <w:rFonts w:ascii="Verdana" w:cs="Verdana" w:eastAsia="Verdana" w:hAnsi="Verdana"/>
          <w:b/>
          <w:bCs/>
          <w:color w:val="92400E"/>
          <w:sz w:val="22"/>
          <w:szCs w:val="22"/>
        </w:rPr>
        <w:t xml:space="preserve">B</w:t>
      </w:r>
    </w:p>
    <w:p>
      <w:pPr>
        <w:tabs>
          <w:tab w:val="right" w:pos="9638" w:leader="dot"/>
        </w:tabs>
        <w:spacing w:after="20"/>
        <w:ind w:left="200" w:right="0"/>
      </w:pPr>
      <w:r>
        <w:rPr>
          <w:rFonts w:ascii="Verdana" w:cs="Verdana" w:eastAsia="Verdana" w:hAnsi="Verdana"/>
          <w:sz w:val="19"/>
          <w:szCs w:val="19"/>
        </w:rPr>
        <w:t xml:space="preserve">Bad debts</w:t>
      </w:r>
      <w:r>
        <w:rPr>
          <w:rFonts w:ascii="Verdana" w:cs="Verdana" w:eastAsia="Verdana" w:hAnsi="Verdana"/>
          <w:sz w:val="19"/>
          <w:szCs w:val="19"/>
        </w:rPr>
        <w:t xml:space="preserve">	42, 46, 112</w:t>
      </w:r>
    </w:p>
    <w:p>
      <w:pPr>
        <w:tabs>
          <w:tab w:val="right" w:pos="9638" w:leader="dot"/>
        </w:tabs>
        <w:spacing w:after="20"/>
        <w:ind w:left="200" w:right="0"/>
      </w:pPr>
      <w:r>
        <w:rPr>
          <w:rFonts w:ascii="Verdana" w:cs="Verdana" w:eastAsia="Verdana" w:hAnsi="Verdana"/>
          <w:sz w:val="19"/>
          <w:szCs w:val="19"/>
        </w:rPr>
        <w:t xml:space="preserve">Benefits or perquisites of business</w:t>
      </w:r>
      <w:r>
        <w:rPr>
          <w:rFonts w:ascii="Verdana" w:cs="Verdana" w:eastAsia="Verdana" w:hAnsi="Verdana"/>
          <w:sz w:val="19"/>
          <w:szCs w:val="19"/>
        </w:rPr>
        <w:t xml:space="preserve">	43, 55, 146, 150</w:t>
      </w:r>
    </w:p>
    <w:p>
      <w:pPr>
        <w:tabs>
          <w:tab w:val="right" w:pos="9638" w:leader="dot"/>
        </w:tabs>
        <w:spacing w:after="20"/>
        <w:ind w:left="200" w:right="0"/>
      </w:pPr>
      <w:r>
        <w:rPr>
          <w:rFonts w:ascii="Verdana" w:cs="Verdana" w:eastAsia="Verdana" w:hAnsi="Verdana"/>
          <w:sz w:val="19"/>
          <w:szCs w:val="19"/>
        </w:rPr>
        <w:t xml:space="preserve">Block assessment</w:t>
      </w:r>
      <w:r>
        <w:rPr>
          <w:rFonts w:ascii="Verdana" w:cs="Verdana" w:eastAsia="Verdana" w:hAnsi="Verdana"/>
          <w:sz w:val="19"/>
          <w:szCs w:val="19"/>
        </w:rPr>
        <w:t xml:space="preserve">	137, 170-171</w:t>
      </w:r>
    </w:p>
    <w:p>
      <w:pPr>
        <w:tabs>
          <w:tab w:val="right" w:pos="9638" w:leader="dot"/>
        </w:tabs>
        <w:spacing w:after="20"/>
        <w:ind w:left="200" w:right="0"/>
      </w:pPr>
      <w:r>
        <w:rPr>
          <w:rFonts w:ascii="Verdana" w:cs="Verdana" w:eastAsia="Verdana" w:hAnsi="Verdana"/>
          <w:sz w:val="19"/>
          <w:szCs w:val="19"/>
        </w:rPr>
        <w:t xml:space="preserve">Bonus shares</w:t>
      </w:r>
      <w:r>
        <w:rPr>
          <w:rFonts w:ascii="Verdana" w:cs="Verdana" w:eastAsia="Verdana" w:hAnsi="Verdana"/>
          <w:sz w:val="19"/>
          <w:szCs w:val="19"/>
        </w:rPr>
        <w:t xml:space="preserve">	61</w:t>
      </w:r>
    </w:p>
    <w:p>
      <w:pPr>
        <w:tabs>
          <w:tab w:val="right" w:pos="9638" w:leader="dot"/>
        </w:tabs>
        <w:spacing w:after="20"/>
        <w:ind w:left="200" w:right="0"/>
      </w:pPr>
      <w:r>
        <w:rPr>
          <w:rFonts w:ascii="Verdana" w:cs="Verdana" w:eastAsia="Verdana" w:hAnsi="Verdana"/>
          <w:sz w:val="19"/>
          <w:szCs w:val="19"/>
        </w:rPr>
        <w:t xml:space="preserve">Book profit</w:t>
      </w:r>
      <w:r>
        <w:rPr>
          <w:rFonts w:ascii="Verdana" w:cs="Verdana" w:eastAsia="Verdana" w:hAnsi="Verdana"/>
          <w:sz w:val="19"/>
          <w:szCs w:val="19"/>
        </w:rPr>
        <w:t xml:space="preserve">	45, 102-104, 183, 187, 192</w:t>
      </w:r>
    </w:p>
    <w:p>
      <w:pPr>
        <w:tabs>
          <w:tab w:val="right" w:pos="9638" w:leader="dot"/>
        </w:tabs>
        <w:spacing w:after="20"/>
        <w:ind w:left="200" w:right="0"/>
      </w:pPr>
      <w:r>
        <w:rPr>
          <w:rFonts w:ascii="Verdana" w:cs="Verdana" w:eastAsia="Verdana" w:hAnsi="Verdana"/>
          <w:sz w:val="19"/>
          <w:szCs w:val="19"/>
        </w:rPr>
        <w:t xml:space="preserve">Books of account</w:t>
      </w:r>
      <w:r>
        <w:rPr>
          <w:rFonts w:ascii="Verdana" w:cs="Verdana" w:eastAsia="Verdana" w:hAnsi="Verdana"/>
          <w:sz w:val="19"/>
          <w:szCs w:val="19"/>
        </w:rPr>
        <w:t xml:space="preserve">	42, 49, 54, 98, 181</w:t>
      </w:r>
    </w:p>
    <w:p>
      <w:pPr>
        <w:tabs>
          <w:tab w:val="right" w:pos="9638" w:leader="dot"/>
        </w:tabs>
        <w:spacing w:after="20"/>
        <w:ind w:left="200" w:right="0"/>
      </w:pPr>
      <w:r>
        <w:rPr>
          <w:rFonts w:ascii="Verdana" w:cs="Verdana" w:eastAsia="Verdana" w:hAnsi="Verdana"/>
          <w:sz w:val="19"/>
          <w:szCs w:val="19"/>
        </w:rPr>
        <w:t xml:space="preserve">Business connection</w:t>
      </w:r>
      <w:r>
        <w:rPr>
          <w:rFonts w:ascii="Verdana" w:cs="Verdana" w:eastAsia="Verdana" w:hAnsi="Verdana"/>
          <w:sz w:val="19"/>
          <w:szCs w:val="19"/>
        </w:rPr>
        <w:t xml:space="preserve">	23-24, 125, 128</w:t>
      </w:r>
    </w:p>
    <w:p>
      <w:pPr>
        <w:tabs>
          <w:tab w:val="right" w:pos="9638" w:leader="dot"/>
        </w:tabs>
        <w:spacing w:after="20"/>
        <w:ind w:left="200" w:right="0"/>
      </w:pPr>
      <w:r>
        <w:rPr>
          <w:rFonts w:ascii="Verdana" w:cs="Verdana" w:eastAsia="Verdana" w:hAnsi="Verdana"/>
          <w:sz w:val="19"/>
          <w:szCs w:val="19"/>
        </w:rPr>
        <w:t xml:space="preserve">Buyback of shares</w:t>
      </w:r>
      <w:r>
        <w:rPr>
          <w:rFonts w:ascii="Verdana" w:cs="Verdana" w:eastAsia="Verdana" w:hAnsi="Verdana"/>
          <w:sz w:val="19"/>
          <w:szCs w:val="19"/>
        </w:rPr>
        <w:t xml:space="preserve">	11, 59-60, 65, 101, 104, 106</w:t>
      </w:r>
    </w:p>
    <w:p>
      <w:pPr>
        <w:keepNext/>
        <w:spacing w:after="40" w:before="160"/>
      </w:pPr>
      <w:r>
        <w:rPr>
          <w:rFonts w:ascii="Verdana" w:cs="Verdana" w:eastAsia="Verdana" w:hAnsi="Verdana"/>
          <w:b/>
          <w:bCs/>
          <w:color w:val="92400E"/>
          <w:sz w:val="22"/>
          <w:szCs w:val="22"/>
        </w:rPr>
        <w:t xml:space="preserve">C</w:t>
      </w:r>
    </w:p>
    <w:p>
      <w:pPr>
        <w:tabs>
          <w:tab w:val="right" w:pos="9638" w:leader="dot"/>
        </w:tabs>
        <w:spacing w:after="20"/>
        <w:ind w:left="200" w:right="0"/>
      </w:pPr>
      <w:r>
        <w:rPr>
          <w:rFonts w:ascii="Verdana" w:cs="Verdana" w:eastAsia="Verdana" w:hAnsi="Verdana"/>
          <w:sz w:val="19"/>
          <w:szCs w:val="19"/>
        </w:rPr>
        <w:t xml:space="preserve">Capital asset, meaning</w:t>
      </w:r>
      <w:r>
        <w:rPr>
          <w:rFonts w:ascii="Verdana" w:cs="Verdana" w:eastAsia="Verdana" w:hAnsi="Verdana"/>
          <w:sz w:val="19"/>
          <w:szCs w:val="19"/>
        </w:rPr>
        <w:t xml:space="preserve">	13, 29, 59-60, 95, 114, 195</w:t>
      </w:r>
    </w:p>
    <w:p>
      <w:pPr>
        <w:tabs>
          <w:tab w:val="right" w:pos="9638" w:leader="dot"/>
        </w:tabs>
        <w:spacing w:after="20"/>
        <w:ind w:left="200" w:right="0"/>
      </w:pPr>
      <w:r>
        <w:rPr>
          <w:rFonts w:ascii="Verdana" w:cs="Verdana" w:eastAsia="Verdana" w:hAnsi="Verdana"/>
          <w:sz w:val="19"/>
          <w:szCs w:val="19"/>
        </w:rPr>
        <w:t xml:space="preserve">Capital Gains Accounts Scheme</w:t>
      </w:r>
      <w:r>
        <w:rPr>
          <w:rFonts w:ascii="Verdana" w:cs="Verdana" w:eastAsia="Verdana" w:hAnsi="Verdana"/>
          <w:sz w:val="19"/>
          <w:szCs w:val="19"/>
        </w:rPr>
        <w:t xml:space="preserve">	59, 62, 72, 185</w:t>
      </w:r>
    </w:p>
    <w:p>
      <w:pPr>
        <w:tabs>
          <w:tab w:val="right" w:pos="9638" w:leader="dot"/>
        </w:tabs>
        <w:spacing w:after="20"/>
        <w:ind w:left="200" w:right="0"/>
      </w:pPr>
      <w:r>
        <w:rPr>
          <w:rFonts w:ascii="Verdana" w:cs="Verdana" w:eastAsia="Verdana" w:hAnsi="Verdana"/>
          <w:sz w:val="19"/>
          <w:szCs w:val="19"/>
        </w:rPr>
        <w:t xml:space="preserve">Capital or revenue expenditure</w:t>
      </w:r>
      <w:r>
        <w:rPr>
          <w:rFonts w:ascii="Verdana" w:cs="Verdana" w:eastAsia="Verdana" w:hAnsi="Verdana"/>
          <w:sz w:val="19"/>
          <w:szCs w:val="19"/>
        </w:rPr>
        <w:t xml:space="preserve">	44, 50, 109</w:t>
      </w:r>
    </w:p>
    <w:p>
      <w:pPr>
        <w:tabs>
          <w:tab w:val="right" w:pos="9638" w:leader="dot"/>
        </w:tabs>
        <w:spacing w:after="20"/>
        <w:ind w:left="200" w:right="0"/>
      </w:pPr>
      <w:r>
        <w:rPr>
          <w:rFonts w:ascii="Verdana" w:cs="Verdana" w:eastAsia="Verdana" w:hAnsi="Verdana"/>
          <w:sz w:val="19"/>
          <w:szCs w:val="19"/>
        </w:rPr>
        <w:t xml:space="preserve">Cash payments, disallowance</w:t>
      </w:r>
      <w:r>
        <w:rPr>
          <w:rFonts w:ascii="Verdana" w:cs="Verdana" w:eastAsia="Verdana" w:hAnsi="Verdana"/>
          <w:sz w:val="19"/>
          <w:szCs w:val="19"/>
        </w:rPr>
        <w:t xml:space="preserve">	43, 45, 49, 53-54, 160, 183</w:t>
      </w:r>
    </w:p>
    <w:p>
      <w:pPr>
        <w:tabs>
          <w:tab w:val="right" w:pos="9638" w:leader="dot"/>
        </w:tabs>
        <w:spacing w:after="20"/>
        <w:ind w:left="200" w:right="0"/>
      </w:pPr>
      <w:r>
        <w:rPr>
          <w:rFonts w:ascii="Verdana" w:cs="Verdana" w:eastAsia="Verdana" w:hAnsi="Verdana"/>
          <w:sz w:val="19"/>
          <w:szCs w:val="19"/>
        </w:rPr>
        <w:t xml:space="preserve">Cess</w:t>
      </w:r>
      <w:r>
        <w:rPr>
          <w:rFonts w:ascii="Verdana" w:cs="Verdana" w:eastAsia="Verdana" w:hAnsi="Verdana"/>
          <w:sz w:val="19"/>
          <w:szCs w:val="19"/>
        </w:rPr>
        <w:t xml:space="preserve">	27, 30, 36, 58, 85, 99, 133</w:t>
      </w:r>
    </w:p>
    <w:p>
      <w:pPr>
        <w:tabs>
          <w:tab w:val="right" w:pos="9638" w:leader="dot"/>
        </w:tabs>
        <w:spacing w:after="20"/>
        <w:ind w:left="200" w:right="0"/>
      </w:pPr>
      <w:r>
        <w:rPr>
          <w:rFonts w:ascii="Verdana" w:cs="Verdana" w:eastAsia="Verdana" w:hAnsi="Verdana"/>
          <w:sz w:val="19"/>
          <w:szCs w:val="19"/>
        </w:rPr>
        <w:t xml:space="preserve">Clubbing of income</w:t>
      </w:r>
      <w:r>
        <w:rPr>
          <w:rFonts w:ascii="Verdana" w:cs="Verdana" w:eastAsia="Verdana" w:hAnsi="Verdana"/>
          <w:sz w:val="19"/>
          <w:szCs w:val="19"/>
        </w:rPr>
        <w:t xml:space="preserve">	74-76, 87-88, 93-94</w:t>
      </w:r>
    </w:p>
    <w:p>
      <w:pPr>
        <w:tabs>
          <w:tab w:val="right" w:pos="9638" w:leader="dot"/>
        </w:tabs>
        <w:spacing w:after="20"/>
        <w:ind w:left="200" w:right="0"/>
      </w:pPr>
      <w:r>
        <w:rPr>
          <w:rFonts w:ascii="Verdana" w:cs="Verdana" w:eastAsia="Verdana" w:hAnsi="Verdana"/>
          <w:sz w:val="19"/>
          <w:szCs w:val="19"/>
        </w:rPr>
        <w:t xml:space="preserve">Co-operative societies</w:t>
      </w:r>
      <w:r>
        <w:rPr>
          <w:rFonts w:ascii="Verdana" w:cs="Verdana" w:eastAsia="Verdana" w:hAnsi="Verdana"/>
          <w:sz w:val="19"/>
          <w:szCs w:val="19"/>
        </w:rPr>
        <w:t xml:space="preserve">	39, 60, 74, 82, 99-100, 158</w:t>
      </w:r>
    </w:p>
    <w:p>
      <w:pPr>
        <w:tabs>
          <w:tab w:val="right" w:pos="9638" w:leader="dot"/>
        </w:tabs>
        <w:spacing w:after="20"/>
        <w:ind w:left="200" w:right="0"/>
      </w:pPr>
      <w:r>
        <w:rPr>
          <w:rFonts w:ascii="Verdana" w:cs="Verdana" w:eastAsia="Verdana" w:hAnsi="Verdana"/>
          <w:sz w:val="19"/>
          <w:szCs w:val="19"/>
        </w:rPr>
        <w:t xml:space="preserve">Company tax rates</w:t>
      </w:r>
      <w:r>
        <w:rPr>
          <w:rFonts w:ascii="Verdana" w:cs="Verdana" w:eastAsia="Verdana" w:hAnsi="Verdana"/>
          <w:sz w:val="19"/>
          <w:szCs w:val="19"/>
        </w:rPr>
        <w:t xml:space="preserve">	88, 101-103, 105, 187, 192</w:t>
      </w:r>
    </w:p>
    <w:p>
      <w:pPr>
        <w:tabs>
          <w:tab w:val="right" w:pos="9638" w:leader="dot"/>
        </w:tabs>
        <w:spacing w:after="20"/>
        <w:ind w:left="200" w:right="0"/>
      </w:pPr>
      <w:r>
        <w:rPr>
          <w:rFonts w:ascii="Verdana" w:cs="Verdana" w:eastAsia="Verdana" w:hAnsi="Verdana"/>
          <w:sz w:val="19"/>
          <w:szCs w:val="19"/>
        </w:rPr>
        <w:t xml:space="preserve">Composite rent</w:t>
      </w:r>
      <w:r>
        <w:rPr>
          <w:rFonts w:ascii="Verdana" w:cs="Verdana" w:eastAsia="Verdana" w:hAnsi="Verdana"/>
          <w:sz w:val="19"/>
          <w:szCs w:val="19"/>
        </w:rPr>
        <w:t xml:space="preserve">	40-41, 72</w:t>
      </w:r>
    </w:p>
    <w:p>
      <w:pPr>
        <w:tabs>
          <w:tab w:val="right" w:pos="9638" w:leader="dot"/>
        </w:tabs>
        <w:spacing w:after="20"/>
        <w:ind w:left="200" w:right="0"/>
      </w:pPr>
      <w:r>
        <w:rPr>
          <w:rFonts w:ascii="Verdana" w:cs="Verdana" w:eastAsia="Verdana" w:hAnsi="Verdana"/>
          <w:sz w:val="19"/>
          <w:szCs w:val="19"/>
        </w:rPr>
        <w:t xml:space="preserve">Contractor payments, TDS</w:t>
      </w:r>
      <w:r>
        <w:rPr>
          <w:rFonts w:ascii="Verdana" w:cs="Verdana" w:eastAsia="Verdana" w:hAnsi="Verdana"/>
          <w:sz w:val="19"/>
          <w:szCs w:val="19"/>
        </w:rPr>
        <w:t xml:space="preserve">	56, 110-111, 120, 145-146, 148</w:t>
      </w:r>
    </w:p>
    <w:p>
      <w:pPr>
        <w:tabs>
          <w:tab w:val="right" w:pos="9638" w:leader="dot"/>
        </w:tabs>
        <w:spacing w:after="20"/>
        <w:ind w:left="200" w:right="0"/>
      </w:pPr>
      <w:r>
        <w:rPr>
          <w:rFonts w:ascii="Verdana" w:cs="Verdana" w:eastAsia="Verdana" w:hAnsi="Verdana"/>
          <w:sz w:val="19"/>
          <w:szCs w:val="19"/>
        </w:rPr>
        <w:t xml:space="preserve">Corporate social responsibility (CSR)</w:t>
      </w:r>
      <w:r>
        <w:rPr>
          <w:rFonts w:ascii="Verdana" w:cs="Verdana" w:eastAsia="Verdana" w:hAnsi="Verdana"/>
          <w:sz w:val="19"/>
          <w:szCs w:val="19"/>
        </w:rPr>
        <w:t xml:space="preserve">	43-44, 56, 105, 109</w:t>
      </w:r>
    </w:p>
    <w:p>
      <w:pPr>
        <w:tabs>
          <w:tab w:val="right" w:pos="9638" w:leader="dot"/>
        </w:tabs>
        <w:spacing w:after="20"/>
        <w:ind w:left="200" w:right="0"/>
      </w:pPr>
      <w:r>
        <w:rPr>
          <w:rFonts w:ascii="Verdana" w:cs="Verdana" w:eastAsia="Verdana" w:hAnsi="Verdana"/>
          <w:sz w:val="19"/>
          <w:szCs w:val="19"/>
        </w:rPr>
        <w:t xml:space="preserve">Cost Inflation Index</w:t>
      </w:r>
      <w:r>
        <w:rPr>
          <w:rFonts w:ascii="Verdana" w:cs="Verdana" w:eastAsia="Verdana" w:hAnsi="Verdana"/>
          <w:sz w:val="19"/>
          <w:szCs w:val="19"/>
        </w:rPr>
        <w:t xml:space="preserve">	61-62, 64, 73, 184</w:t>
      </w:r>
    </w:p>
    <w:p>
      <w:pPr>
        <w:tabs>
          <w:tab w:val="right" w:pos="9638" w:leader="dot"/>
        </w:tabs>
        <w:spacing w:after="20"/>
        <w:ind w:left="200" w:right="0"/>
      </w:pPr>
      <w:r>
        <w:rPr>
          <w:rFonts w:ascii="Verdana" w:cs="Verdana" w:eastAsia="Verdana" w:hAnsi="Verdana"/>
          <w:sz w:val="19"/>
          <w:szCs w:val="19"/>
        </w:rPr>
        <w:t xml:space="preserve">Cost of acquisition</w:t>
      </w:r>
      <w:r>
        <w:rPr>
          <w:rFonts w:ascii="Verdana" w:cs="Verdana" w:eastAsia="Verdana" w:hAnsi="Verdana"/>
          <w:sz w:val="19"/>
          <w:szCs w:val="19"/>
        </w:rPr>
        <w:t xml:space="preserve">	55, 57-58, 61</w:t>
      </w:r>
    </w:p>
    <w:p>
      <w:pPr>
        <w:tabs>
          <w:tab w:val="right" w:pos="9638" w:leader="dot"/>
        </w:tabs>
        <w:spacing w:after="20"/>
        <w:ind w:left="200" w:right="0"/>
      </w:pPr>
      <w:r>
        <w:rPr>
          <w:rFonts w:ascii="Verdana" w:cs="Verdana" w:eastAsia="Verdana" w:hAnsi="Verdana"/>
          <w:sz w:val="19"/>
          <w:szCs w:val="19"/>
        </w:rPr>
        <w:t xml:space="preserve">Country-by-country report</w:t>
      </w:r>
      <w:r>
        <w:rPr>
          <w:rFonts w:ascii="Verdana" w:cs="Verdana" w:eastAsia="Verdana" w:hAnsi="Verdana"/>
          <w:sz w:val="19"/>
          <w:szCs w:val="19"/>
        </w:rPr>
        <w:t xml:space="preserve">	107, 128, 135, 137, 139, 178</w:t>
      </w:r>
    </w:p>
    <w:p>
      <w:pPr>
        <w:keepNext/>
        <w:spacing w:after="40" w:before="160"/>
      </w:pPr>
      <w:r>
        <w:rPr>
          <w:rFonts w:ascii="Verdana" w:cs="Verdana" w:eastAsia="Verdana" w:hAnsi="Verdana"/>
          <w:b/>
          <w:bCs/>
          <w:color w:val="92400E"/>
          <w:sz w:val="22"/>
          <w:szCs w:val="22"/>
        </w:rPr>
        <w:t xml:space="preserve">D</w:t>
      </w:r>
    </w:p>
    <w:p>
      <w:pPr>
        <w:tabs>
          <w:tab w:val="right" w:pos="9638" w:leader="dot"/>
        </w:tabs>
        <w:spacing w:after="20"/>
        <w:ind w:left="200" w:right="0"/>
      </w:pPr>
      <w:r>
        <w:rPr>
          <w:rFonts w:ascii="Verdana" w:cs="Verdana" w:eastAsia="Verdana" w:hAnsi="Verdana"/>
          <w:sz w:val="19"/>
          <w:szCs w:val="19"/>
        </w:rPr>
        <w:t xml:space="preserve">Deemed dividend</w:t>
      </w:r>
      <w:r>
        <w:rPr>
          <w:rFonts w:ascii="Verdana" w:cs="Verdana" w:eastAsia="Verdana" w:hAnsi="Verdana"/>
          <w:sz w:val="19"/>
          <w:szCs w:val="19"/>
        </w:rPr>
        <w:t xml:space="preserve">	13, 66, 69, 106-108, 110</w:t>
      </w:r>
    </w:p>
    <w:p>
      <w:pPr>
        <w:tabs>
          <w:tab w:val="right" w:pos="9638" w:leader="dot"/>
        </w:tabs>
        <w:spacing w:after="20"/>
        <w:ind w:left="200" w:right="0"/>
      </w:pPr>
      <w:r>
        <w:rPr>
          <w:rFonts w:ascii="Verdana" w:cs="Verdana" w:eastAsia="Verdana" w:hAnsi="Verdana"/>
          <w:sz w:val="19"/>
          <w:szCs w:val="19"/>
        </w:rPr>
        <w:t xml:space="preserve">Deemed owner (house property)</w:t>
      </w:r>
      <w:r>
        <w:rPr>
          <w:rFonts w:ascii="Verdana" w:cs="Verdana" w:eastAsia="Verdana" w:hAnsi="Verdana"/>
          <w:sz w:val="19"/>
          <w:szCs w:val="19"/>
        </w:rPr>
        <w:t xml:space="preserve">	39, 41</w:t>
      </w:r>
    </w:p>
    <w:p>
      <w:pPr>
        <w:tabs>
          <w:tab w:val="right" w:pos="9638" w:leader="dot"/>
        </w:tabs>
        <w:spacing w:after="20"/>
        <w:ind w:left="200" w:right="0"/>
      </w:pPr>
      <w:r>
        <w:rPr>
          <w:rFonts w:ascii="Verdana" w:cs="Verdana" w:eastAsia="Verdana" w:hAnsi="Verdana"/>
          <w:sz w:val="19"/>
          <w:szCs w:val="19"/>
        </w:rPr>
        <w:t xml:space="preserve">Deemed resident</w:t>
      </w:r>
      <w:r>
        <w:rPr>
          <w:rFonts w:ascii="Verdana" w:cs="Verdana" w:eastAsia="Verdana" w:hAnsi="Verdana"/>
          <w:sz w:val="19"/>
          <w:szCs w:val="19"/>
        </w:rPr>
        <w:t xml:space="preserve">	19-21</w:t>
      </w:r>
    </w:p>
    <w:p>
      <w:pPr>
        <w:tabs>
          <w:tab w:val="right" w:pos="9638" w:leader="dot"/>
        </w:tabs>
        <w:spacing w:after="20"/>
        <w:ind w:left="200" w:right="0"/>
      </w:pPr>
      <w:r>
        <w:rPr>
          <w:rFonts w:ascii="Verdana" w:cs="Verdana" w:eastAsia="Verdana" w:hAnsi="Verdana"/>
          <w:sz w:val="19"/>
          <w:szCs w:val="19"/>
        </w:rPr>
        <w:t xml:space="preserve">Deferred tax</w:t>
      </w:r>
      <w:r>
        <w:rPr>
          <w:rFonts w:ascii="Verdana" w:cs="Verdana" w:eastAsia="Verdana" w:hAnsi="Verdana"/>
          <w:sz w:val="19"/>
          <w:szCs w:val="19"/>
        </w:rPr>
        <w:t xml:space="preserve">	102-104, 109-110, 114</w:t>
      </w:r>
    </w:p>
    <w:p>
      <w:pPr>
        <w:tabs>
          <w:tab w:val="right" w:pos="9638" w:leader="dot"/>
        </w:tabs>
        <w:spacing w:after="20"/>
        <w:ind w:left="200" w:right="0"/>
      </w:pPr>
      <w:r>
        <w:rPr>
          <w:rFonts w:ascii="Verdana" w:cs="Verdana" w:eastAsia="Verdana" w:hAnsi="Verdana"/>
          <w:sz w:val="19"/>
          <w:szCs w:val="19"/>
        </w:rPr>
        <w:t xml:space="preserve">Demerger</w:t>
      </w:r>
      <w:r>
        <w:rPr>
          <w:rFonts w:ascii="Verdana" w:cs="Verdana" w:eastAsia="Verdana" w:hAnsi="Verdana"/>
          <w:sz w:val="19"/>
          <w:szCs w:val="19"/>
        </w:rPr>
        <w:t xml:space="preserve">	12, 42, 47, 57, 59, 116, 118</w:t>
      </w:r>
    </w:p>
    <w:p>
      <w:pPr>
        <w:tabs>
          <w:tab w:val="right" w:pos="9638" w:leader="dot"/>
        </w:tabs>
        <w:spacing w:after="20"/>
        <w:ind w:left="200" w:right="0"/>
      </w:pPr>
      <w:r>
        <w:rPr>
          <w:rFonts w:ascii="Verdana" w:cs="Verdana" w:eastAsia="Verdana" w:hAnsi="Verdana"/>
          <w:sz w:val="19"/>
          <w:szCs w:val="19"/>
        </w:rPr>
        <w:t xml:space="preserve">Depreciation</w:t>
      </w:r>
      <w:r>
        <w:rPr>
          <w:rFonts w:ascii="Verdana" w:cs="Verdana" w:eastAsia="Verdana" w:hAnsi="Verdana"/>
          <w:sz w:val="19"/>
          <w:szCs w:val="19"/>
        </w:rPr>
        <w:t xml:space="preserve">	46, 52-53, 103, 105, 117, 122</w:t>
      </w:r>
    </w:p>
    <w:p>
      <w:pPr>
        <w:tabs>
          <w:tab w:val="right" w:pos="9638" w:leader="dot"/>
        </w:tabs>
        <w:spacing w:after="20"/>
        <w:ind w:left="200" w:right="0"/>
      </w:pPr>
      <w:r>
        <w:rPr>
          <w:rFonts w:ascii="Verdana" w:cs="Verdana" w:eastAsia="Verdana" w:hAnsi="Verdana"/>
          <w:sz w:val="19"/>
          <w:szCs w:val="19"/>
        </w:rPr>
        <w:t xml:space="preserve">Digital compliance</w:t>
      </w:r>
      <w:r>
        <w:rPr>
          <w:rFonts w:ascii="Verdana" w:cs="Verdana" w:eastAsia="Verdana" w:hAnsi="Verdana"/>
          <w:sz w:val="19"/>
          <w:szCs w:val="19"/>
        </w:rPr>
        <w:t xml:space="preserve">	151, 154, 162-165, 167</w:t>
      </w:r>
    </w:p>
    <w:p>
      <w:pPr>
        <w:tabs>
          <w:tab w:val="right" w:pos="9638" w:leader="dot"/>
        </w:tabs>
        <w:spacing w:after="20"/>
        <w:ind w:left="200" w:right="0"/>
      </w:pPr>
      <w:r>
        <w:rPr>
          <w:rFonts w:ascii="Verdana" w:cs="Verdana" w:eastAsia="Verdana" w:hAnsi="Verdana"/>
          <w:sz w:val="19"/>
          <w:szCs w:val="19"/>
        </w:rPr>
        <w:t xml:space="preserve">Dispute Resolution Committee</w:t>
      </w:r>
      <w:r>
        <w:rPr>
          <w:rFonts w:ascii="Verdana" w:cs="Verdana" w:eastAsia="Verdana" w:hAnsi="Verdana"/>
          <w:sz w:val="19"/>
          <w:szCs w:val="19"/>
        </w:rPr>
        <w:t xml:space="preserve">	173</w:t>
      </w:r>
    </w:p>
    <w:p>
      <w:pPr>
        <w:tabs>
          <w:tab w:val="right" w:pos="9638" w:leader="dot"/>
        </w:tabs>
        <w:spacing w:after="20"/>
        <w:ind w:left="200" w:right="0"/>
      </w:pPr>
      <w:r>
        <w:rPr>
          <w:rFonts w:ascii="Verdana" w:cs="Verdana" w:eastAsia="Verdana" w:hAnsi="Verdana"/>
          <w:sz w:val="19"/>
          <w:szCs w:val="19"/>
        </w:rPr>
        <w:t xml:space="preserve">Dispute Resolution Panel</w:t>
      </w:r>
      <w:r>
        <w:rPr>
          <w:rFonts w:ascii="Verdana" w:cs="Verdana" w:eastAsia="Verdana" w:hAnsi="Verdana"/>
          <w:sz w:val="19"/>
          <w:szCs w:val="19"/>
        </w:rPr>
        <w:t xml:space="preserve">	139, 166, 172-173</w:t>
      </w:r>
    </w:p>
    <w:p>
      <w:pPr>
        <w:tabs>
          <w:tab w:val="right" w:pos="9638" w:leader="dot"/>
        </w:tabs>
        <w:spacing w:after="20"/>
        <w:ind w:left="200" w:right="0"/>
      </w:pPr>
      <w:r>
        <w:rPr>
          <w:rFonts w:ascii="Verdana" w:cs="Verdana" w:eastAsia="Verdana" w:hAnsi="Verdana"/>
          <w:sz w:val="19"/>
          <w:szCs w:val="19"/>
        </w:rPr>
        <w:t xml:space="preserve">Dividends</w:t>
      </w:r>
      <w:r>
        <w:rPr>
          <w:rFonts w:ascii="Verdana" w:cs="Verdana" w:eastAsia="Verdana" w:hAnsi="Verdana"/>
          <w:sz w:val="19"/>
          <w:szCs w:val="19"/>
        </w:rPr>
        <w:t xml:space="preserve">	66, 69, 104, 106, 108, 110, 143</w:t>
      </w:r>
    </w:p>
    <w:p>
      <w:pPr>
        <w:tabs>
          <w:tab w:val="right" w:pos="9638" w:leader="dot"/>
        </w:tabs>
        <w:spacing w:after="20"/>
        <w:ind w:left="200" w:right="0"/>
      </w:pPr>
      <w:r>
        <w:rPr>
          <w:rFonts w:ascii="Verdana" w:cs="Verdana" w:eastAsia="Verdana" w:hAnsi="Verdana"/>
          <w:sz w:val="19"/>
          <w:szCs w:val="19"/>
        </w:rPr>
        <w:t xml:space="preserve">Donations (section 133)</w:t>
      </w:r>
      <w:r>
        <w:rPr>
          <w:rFonts w:ascii="Verdana" w:cs="Verdana" w:eastAsia="Verdana" w:hAnsi="Verdana"/>
          <w:sz w:val="19"/>
          <w:szCs w:val="19"/>
        </w:rPr>
        <w:t xml:space="preserve">	44, 79-81, 97-98, 190</w:t>
      </w:r>
    </w:p>
    <w:p>
      <w:pPr>
        <w:tabs>
          <w:tab w:val="right" w:pos="9638" w:leader="dot"/>
        </w:tabs>
        <w:spacing w:after="20"/>
        <w:ind w:left="200" w:right="0"/>
      </w:pPr>
      <w:r>
        <w:rPr>
          <w:rFonts w:ascii="Verdana" w:cs="Verdana" w:eastAsia="Verdana" w:hAnsi="Verdana"/>
          <w:sz w:val="19"/>
          <w:szCs w:val="19"/>
        </w:rPr>
        <w:t xml:space="preserve">Double taxation relief</w:t>
      </w:r>
      <w:r>
        <w:rPr>
          <w:rFonts w:ascii="Verdana" w:cs="Verdana" w:eastAsia="Verdana" w:hAnsi="Verdana"/>
          <w:sz w:val="19"/>
          <w:szCs w:val="19"/>
        </w:rPr>
        <w:t xml:space="preserve">	125-126, 128, 130, 140, 173</w:t>
      </w:r>
    </w:p>
    <w:p>
      <w:pPr>
        <w:tabs>
          <w:tab w:val="right" w:pos="9638" w:leader="dot"/>
        </w:tabs>
        <w:spacing w:after="20"/>
        <w:ind w:left="200" w:right="0"/>
      </w:pPr>
      <w:r>
        <w:rPr>
          <w:rFonts w:ascii="Verdana" w:cs="Verdana" w:eastAsia="Verdana" w:hAnsi="Verdana"/>
          <w:sz w:val="19"/>
          <w:szCs w:val="19"/>
        </w:rPr>
        <w:t xml:space="preserve">Due dates for returns</w:t>
      </w:r>
      <w:r>
        <w:rPr>
          <w:rFonts w:ascii="Verdana" w:cs="Verdana" w:eastAsia="Verdana" w:hAnsi="Verdana"/>
          <w:sz w:val="19"/>
          <w:szCs w:val="19"/>
        </w:rPr>
        <w:t xml:space="preserve">	43-45, 49, 52, 161, 194</w:t>
      </w:r>
    </w:p>
    <w:p>
      <w:pPr>
        <w:keepNext/>
        <w:spacing w:after="40" w:before="160"/>
      </w:pPr>
      <w:r>
        <w:rPr>
          <w:rFonts w:ascii="Verdana" w:cs="Verdana" w:eastAsia="Verdana" w:hAnsi="Verdana"/>
          <w:b/>
          <w:bCs/>
          <w:color w:val="92400E"/>
          <w:sz w:val="22"/>
          <w:szCs w:val="22"/>
        </w:rPr>
        <w:t xml:space="preserve">E</w:t>
      </w:r>
    </w:p>
    <w:p>
      <w:pPr>
        <w:tabs>
          <w:tab w:val="right" w:pos="9638" w:leader="dot"/>
        </w:tabs>
        <w:spacing w:after="20"/>
        <w:ind w:left="200" w:right="0"/>
      </w:pPr>
      <w:r>
        <w:rPr>
          <w:rFonts w:ascii="Verdana" w:cs="Verdana" w:eastAsia="Verdana" w:hAnsi="Verdana"/>
          <w:sz w:val="19"/>
          <w:szCs w:val="19"/>
        </w:rPr>
        <w:t xml:space="preserve">Education loan interest (section 129)</w:t>
      </w:r>
      <w:r>
        <w:rPr>
          <w:rFonts w:ascii="Verdana" w:cs="Verdana" w:eastAsia="Verdana" w:hAnsi="Verdana"/>
          <w:sz w:val="19"/>
          <w:szCs w:val="19"/>
        </w:rPr>
        <w:t xml:space="preserve">	79</w:t>
      </w:r>
    </w:p>
    <w:p>
      <w:pPr>
        <w:tabs>
          <w:tab w:val="right" w:pos="9638" w:leader="dot"/>
        </w:tabs>
        <w:spacing w:after="20"/>
        <w:ind w:left="200" w:right="0"/>
      </w:pPr>
      <w:r>
        <w:rPr>
          <w:rFonts w:ascii="Verdana" w:cs="Verdana" w:eastAsia="Verdana" w:hAnsi="Verdana"/>
          <w:sz w:val="19"/>
          <w:szCs w:val="19"/>
        </w:rPr>
        <w:t xml:space="preserve">Employee stock options (ESOPs) and RSUs</w:t>
      </w:r>
      <w:r>
        <w:rPr>
          <w:rFonts w:ascii="Verdana" w:cs="Verdana" w:eastAsia="Verdana" w:hAnsi="Verdana"/>
          <w:sz w:val="19"/>
          <w:szCs w:val="19"/>
        </w:rPr>
        <w:t xml:space="preserve">	30, 36-37, 109, 111, 114, 132</w:t>
      </w:r>
    </w:p>
    <w:p>
      <w:pPr>
        <w:tabs>
          <w:tab w:val="right" w:pos="9638" w:leader="dot"/>
        </w:tabs>
        <w:spacing w:after="20"/>
        <w:ind w:left="200" w:right="0"/>
      </w:pPr>
      <w:r>
        <w:rPr>
          <w:rFonts w:ascii="Verdana" w:cs="Verdana" w:eastAsia="Verdana" w:hAnsi="Verdana"/>
          <w:sz w:val="19"/>
          <w:szCs w:val="19"/>
        </w:rPr>
        <w:t xml:space="preserve">Employer contribution to NPS</w:t>
      </w:r>
      <w:r>
        <w:rPr>
          <w:rFonts w:ascii="Verdana" w:cs="Verdana" w:eastAsia="Verdana" w:hAnsi="Verdana"/>
          <w:sz w:val="19"/>
          <w:szCs w:val="19"/>
        </w:rPr>
        <w:t xml:space="preserve">	23, 26, 30, 33, 35, 153, 179</w:t>
      </w:r>
    </w:p>
    <w:p>
      <w:pPr>
        <w:tabs>
          <w:tab w:val="right" w:pos="9638" w:leader="dot"/>
        </w:tabs>
        <w:spacing w:after="20"/>
        <w:ind w:left="200" w:right="0"/>
      </w:pPr>
      <w:r>
        <w:rPr>
          <w:rFonts w:ascii="Verdana" w:cs="Verdana" w:eastAsia="Verdana" w:hAnsi="Verdana"/>
          <w:sz w:val="19"/>
          <w:szCs w:val="19"/>
        </w:rPr>
        <w:t xml:space="preserve">Equalisation levy</w:t>
      </w:r>
      <w:r>
        <w:rPr>
          <w:rFonts w:ascii="Verdana" w:cs="Verdana" w:eastAsia="Verdana" w:hAnsi="Verdana"/>
          <w:sz w:val="19"/>
          <w:szCs w:val="19"/>
        </w:rPr>
        <w:t xml:space="preserve">	111, 128</w:t>
      </w:r>
    </w:p>
    <w:p>
      <w:pPr>
        <w:tabs>
          <w:tab w:val="right" w:pos="9638" w:leader="dot"/>
        </w:tabs>
        <w:spacing w:after="20"/>
        <w:ind w:left="200" w:right="0"/>
      </w:pPr>
      <w:r>
        <w:rPr>
          <w:rFonts w:ascii="Verdana" w:cs="Verdana" w:eastAsia="Verdana" w:hAnsi="Verdana"/>
          <w:sz w:val="19"/>
          <w:szCs w:val="19"/>
        </w:rPr>
        <w:t xml:space="preserve">Exempt income (Schedules)</w:t>
      </w:r>
      <w:r>
        <w:rPr>
          <w:rFonts w:ascii="Verdana" w:cs="Verdana" w:eastAsia="Verdana" w:hAnsi="Verdana"/>
          <w:sz w:val="19"/>
          <w:szCs w:val="19"/>
        </w:rPr>
        <w:t xml:space="preserve">	10-11, 25-28, 103</w:t>
      </w:r>
    </w:p>
    <w:p>
      <w:pPr>
        <w:keepNext/>
        <w:spacing w:after="40" w:before="160"/>
      </w:pPr>
      <w:r>
        <w:rPr>
          <w:rFonts w:ascii="Verdana" w:cs="Verdana" w:eastAsia="Verdana" w:hAnsi="Verdana"/>
          <w:b/>
          <w:bCs/>
          <w:color w:val="92400E"/>
          <w:sz w:val="22"/>
          <w:szCs w:val="22"/>
        </w:rPr>
        <w:t xml:space="preserve">F</w:t>
      </w:r>
    </w:p>
    <w:p>
      <w:pPr>
        <w:tabs>
          <w:tab w:val="right" w:pos="9638" w:leader="dot"/>
        </w:tabs>
        <w:spacing w:after="20"/>
        <w:ind w:left="200" w:right="0"/>
      </w:pPr>
      <w:r>
        <w:rPr>
          <w:rFonts w:ascii="Verdana" w:cs="Verdana" w:eastAsia="Verdana" w:hAnsi="Verdana"/>
          <w:sz w:val="19"/>
          <w:szCs w:val="19"/>
        </w:rPr>
        <w:t xml:space="preserve">F&amp;O trading</w:t>
      </w:r>
      <w:r>
        <w:rPr>
          <w:rFonts w:ascii="Verdana" w:cs="Verdana" w:eastAsia="Verdana" w:hAnsi="Verdana"/>
          <w:sz w:val="19"/>
          <w:szCs w:val="19"/>
        </w:rPr>
        <w:t xml:space="preserve">	48, 158, 186</w:t>
      </w:r>
    </w:p>
    <w:p>
      <w:pPr>
        <w:tabs>
          <w:tab w:val="right" w:pos="9638" w:leader="dot"/>
        </w:tabs>
        <w:spacing w:after="20"/>
        <w:ind w:left="200" w:right="0"/>
      </w:pPr>
      <w:r>
        <w:rPr>
          <w:rFonts w:ascii="Verdana" w:cs="Verdana" w:eastAsia="Verdana" w:hAnsi="Verdana"/>
          <w:sz w:val="19"/>
          <w:szCs w:val="19"/>
        </w:rPr>
        <w:t xml:space="preserve">Faceless procedures</w:t>
      </w:r>
      <w:r>
        <w:rPr>
          <w:rFonts w:ascii="Verdana" w:cs="Verdana" w:eastAsia="Verdana" w:hAnsi="Verdana"/>
          <w:sz w:val="19"/>
          <w:szCs w:val="19"/>
        </w:rPr>
        <w:t xml:space="preserve">	164-167, 169, 172-173</w:t>
      </w:r>
    </w:p>
    <w:p>
      <w:pPr>
        <w:tabs>
          <w:tab w:val="right" w:pos="9638" w:leader="dot"/>
        </w:tabs>
        <w:spacing w:after="20"/>
        <w:ind w:left="200" w:right="0"/>
      </w:pPr>
      <w:r>
        <w:rPr>
          <w:rFonts w:ascii="Verdana" w:cs="Verdana" w:eastAsia="Verdana" w:hAnsi="Verdana"/>
          <w:sz w:val="19"/>
          <w:szCs w:val="19"/>
        </w:rPr>
        <w:t xml:space="preserve">Family pension</w:t>
      </w:r>
      <w:r>
        <w:rPr>
          <w:rFonts w:ascii="Verdana" w:cs="Verdana" w:eastAsia="Verdana" w:hAnsi="Verdana"/>
          <w:sz w:val="19"/>
          <w:szCs w:val="19"/>
        </w:rPr>
        <w:t xml:space="preserve">	29, 66-68</w:t>
      </w:r>
    </w:p>
    <w:p>
      <w:pPr>
        <w:tabs>
          <w:tab w:val="right" w:pos="9638" w:leader="dot"/>
        </w:tabs>
        <w:spacing w:after="20"/>
        <w:ind w:left="200" w:right="0"/>
      </w:pPr>
      <w:r>
        <w:rPr>
          <w:rFonts w:ascii="Verdana" w:cs="Verdana" w:eastAsia="Verdana" w:hAnsi="Verdana"/>
          <w:sz w:val="19"/>
          <w:szCs w:val="19"/>
        </w:rPr>
        <w:t xml:space="preserve">Fees for technical services</w:t>
      </w:r>
      <w:r>
        <w:rPr>
          <w:rFonts w:ascii="Verdana" w:cs="Verdana" w:eastAsia="Verdana" w:hAnsi="Verdana"/>
          <w:sz w:val="19"/>
          <w:szCs w:val="19"/>
        </w:rPr>
        <w:t xml:space="preserve">	23-24, 42, 51, 125, 127, 129</w:t>
      </w:r>
    </w:p>
    <w:p>
      <w:pPr>
        <w:tabs>
          <w:tab w:val="right" w:pos="9638" w:leader="dot"/>
        </w:tabs>
        <w:spacing w:after="20"/>
        <w:ind w:left="200" w:right="0"/>
      </w:pPr>
      <w:r>
        <w:rPr>
          <w:rFonts w:ascii="Verdana" w:cs="Verdana" w:eastAsia="Verdana" w:hAnsi="Verdana"/>
          <w:sz w:val="19"/>
          <w:szCs w:val="19"/>
        </w:rPr>
        <w:t xml:space="preserve">Firms and LLPs</w:t>
      </w:r>
      <w:r>
        <w:rPr>
          <w:rFonts w:ascii="Verdana" w:cs="Verdana" w:eastAsia="Verdana" w:hAnsi="Verdana"/>
          <w:sz w:val="19"/>
          <w:szCs w:val="19"/>
        </w:rPr>
        <w:t xml:space="preserve">	13, 17, 95-96, 119, 158, 183</w:t>
      </w:r>
    </w:p>
    <w:p>
      <w:pPr>
        <w:tabs>
          <w:tab w:val="right" w:pos="9638" w:leader="dot"/>
        </w:tabs>
        <w:spacing w:after="20"/>
        <w:ind w:left="200" w:right="0"/>
      </w:pPr>
      <w:r>
        <w:rPr>
          <w:rFonts w:ascii="Verdana" w:cs="Verdana" w:eastAsia="Verdana" w:hAnsi="Verdana"/>
          <w:sz w:val="19"/>
          <w:szCs w:val="19"/>
        </w:rPr>
        <w:t xml:space="preserve">Foreign assets reporting (Schedule FA)</w:t>
      </w:r>
      <w:r>
        <w:rPr>
          <w:rFonts w:ascii="Verdana" w:cs="Verdana" w:eastAsia="Verdana" w:hAnsi="Verdana"/>
          <w:sz w:val="19"/>
          <w:szCs w:val="19"/>
        </w:rPr>
        <w:t xml:space="preserve">	37, 71, 128, 131-132, 196</w:t>
      </w:r>
    </w:p>
    <w:p>
      <w:pPr>
        <w:tabs>
          <w:tab w:val="right" w:pos="9638" w:leader="dot"/>
        </w:tabs>
        <w:spacing w:after="20"/>
        <w:ind w:left="200" w:right="0"/>
      </w:pPr>
      <w:r>
        <w:rPr>
          <w:rFonts w:ascii="Verdana" w:cs="Verdana" w:eastAsia="Verdana" w:hAnsi="Verdana"/>
          <w:sz w:val="19"/>
          <w:szCs w:val="19"/>
        </w:rPr>
        <w:t xml:space="preserve">Foreign tax credit</w:t>
      </w:r>
      <w:r>
        <w:rPr>
          <w:rFonts w:ascii="Verdana" w:cs="Verdana" w:eastAsia="Verdana" w:hAnsi="Verdana"/>
          <w:sz w:val="19"/>
          <w:szCs w:val="19"/>
        </w:rPr>
        <w:t xml:space="preserve">	37, 125, 128, 131-132, 196</w:t>
      </w:r>
    </w:p>
    <w:p>
      <w:pPr>
        <w:tabs>
          <w:tab w:val="right" w:pos="9638" w:leader="dot"/>
        </w:tabs>
        <w:spacing w:after="20"/>
        <w:ind w:left="200" w:right="0"/>
      </w:pPr>
      <w:r>
        <w:rPr>
          <w:rFonts w:ascii="Verdana" w:cs="Verdana" w:eastAsia="Verdana" w:hAnsi="Verdana"/>
          <w:sz w:val="19"/>
          <w:szCs w:val="19"/>
        </w:rPr>
        <w:t xml:space="preserve">Form 121 (declaration for no TDS)</w:t>
      </w:r>
      <w:r>
        <w:rPr>
          <w:rFonts w:ascii="Verdana" w:cs="Verdana" w:eastAsia="Verdana" w:hAnsi="Verdana"/>
          <w:sz w:val="19"/>
          <w:szCs w:val="19"/>
        </w:rPr>
        <w:t xml:space="preserve">	87, 89-90, 145-147, 184</w:t>
      </w:r>
    </w:p>
    <w:p>
      <w:pPr>
        <w:tabs>
          <w:tab w:val="right" w:pos="9638" w:leader="dot"/>
        </w:tabs>
        <w:spacing w:after="20"/>
        <w:ind w:left="200" w:right="0"/>
      </w:pPr>
      <w:r>
        <w:rPr>
          <w:rFonts w:ascii="Verdana" w:cs="Verdana" w:eastAsia="Verdana" w:hAnsi="Verdana"/>
          <w:sz w:val="19"/>
          <w:szCs w:val="19"/>
        </w:rPr>
        <w:t xml:space="preserve">Form 130 (salary TDS certificate)</w:t>
      </w:r>
      <w:r>
        <w:rPr>
          <w:rFonts w:ascii="Verdana" w:cs="Verdana" w:eastAsia="Verdana" w:hAnsi="Verdana"/>
          <w:sz w:val="19"/>
          <w:szCs w:val="19"/>
        </w:rPr>
        <w:t xml:space="preserve">	11, 16, 154, 167</w:t>
      </w:r>
    </w:p>
    <w:p>
      <w:pPr>
        <w:tabs>
          <w:tab w:val="right" w:pos="9638" w:leader="dot"/>
        </w:tabs>
        <w:spacing w:after="20"/>
        <w:ind w:left="200" w:right="0"/>
      </w:pPr>
      <w:r>
        <w:rPr>
          <w:rFonts w:ascii="Verdana" w:cs="Verdana" w:eastAsia="Verdana" w:hAnsi="Verdana"/>
          <w:sz w:val="19"/>
          <w:szCs w:val="19"/>
        </w:rPr>
        <w:t xml:space="preserve">Form 168 (annual tax statement)</w:t>
      </w:r>
      <w:r>
        <w:rPr>
          <w:rFonts w:ascii="Verdana" w:cs="Verdana" w:eastAsia="Verdana" w:hAnsi="Verdana"/>
          <w:sz w:val="19"/>
          <w:szCs w:val="19"/>
        </w:rPr>
        <w:t xml:space="preserve">	11, 111, 151-152, 158-159, 167</w:t>
      </w:r>
    </w:p>
    <w:p>
      <w:pPr>
        <w:tabs>
          <w:tab w:val="right" w:pos="9638" w:leader="dot"/>
        </w:tabs>
        <w:spacing w:after="20"/>
        <w:ind w:left="200" w:right="0"/>
      </w:pPr>
      <w:r>
        <w:rPr>
          <w:rFonts w:ascii="Verdana" w:cs="Verdana" w:eastAsia="Verdana" w:hAnsi="Verdana"/>
          <w:sz w:val="19"/>
          <w:szCs w:val="19"/>
        </w:rPr>
        <w:t xml:space="preserve">Form 26 (tax audit report)</w:t>
      </w:r>
      <w:r>
        <w:rPr>
          <w:rFonts w:ascii="Verdana" w:cs="Verdana" w:eastAsia="Verdana" w:hAnsi="Verdana"/>
          <w:sz w:val="19"/>
          <w:szCs w:val="19"/>
        </w:rPr>
        <w:t xml:space="preserve">	26, 49-50, 54, 56, 160-161</w:t>
      </w:r>
    </w:p>
    <w:p>
      <w:pPr>
        <w:tabs>
          <w:tab w:val="right" w:pos="9638" w:leader="dot"/>
        </w:tabs>
        <w:spacing w:after="20"/>
        <w:ind w:left="200" w:right="0"/>
      </w:pPr>
      <w:r>
        <w:rPr>
          <w:rFonts w:ascii="Verdana" w:cs="Verdana" w:eastAsia="Verdana" w:hAnsi="Verdana"/>
          <w:sz w:val="19"/>
          <w:szCs w:val="19"/>
        </w:rPr>
        <w:t xml:space="preserve">Form 48 (transfer pricing report)</w:t>
      </w:r>
      <w:r>
        <w:rPr>
          <w:rFonts w:ascii="Verdana" w:cs="Verdana" w:eastAsia="Verdana" w:hAnsi="Verdana"/>
          <w:sz w:val="19"/>
          <w:szCs w:val="19"/>
        </w:rPr>
        <w:t xml:space="preserve">	11, 110, 135, 137, 141</w:t>
      </w:r>
    </w:p>
    <w:p>
      <w:pPr>
        <w:tabs>
          <w:tab w:val="right" w:pos="9638" w:leader="dot"/>
        </w:tabs>
        <w:spacing w:after="20"/>
        <w:ind w:left="200" w:right="0"/>
      </w:pPr>
      <w:r>
        <w:rPr>
          <w:rFonts w:ascii="Verdana" w:cs="Verdana" w:eastAsia="Verdana" w:hAnsi="Verdana"/>
          <w:sz w:val="19"/>
          <w:szCs w:val="19"/>
        </w:rPr>
        <w:t xml:space="preserve">Forms under the Income-tax Rules, 2026</w:t>
      </w:r>
      <w:r>
        <w:rPr>
          <w:rFonts w:ascii="Verdana" w:cs="Verdana" w:eastAsia="Verdana" w:hAnsi="Verdana"/>
          <w:sz w:val="19"/>
          <w:szCs w:val="19"/>
        </w:rPr>
        <w:t xml:space="preserve">	11, 15, 30-31, 178</w:t>
      </w:r>
    </w:p>
    <w:p>
      <w:pPr>
        <w:keepNext/>
        <w:spacing w:after="40" w:before="160"/>
      </w:pPr>
      <w:r>
        <w:rPr>
          <w:rFonts w:ascii="Verdana" w:cs="Verdana" w:eastAsia="Verdana" w:hAnsi="Verdana"/>
          <w:b/>
          <w:bCs/>
          <w:color w:val="92400E"/>
          <w:sz w:val="22"/>
          <w:szCs w:val="22"/>
        </w:rPr>
        <w:t xml:space="preserve">G</w:t>
      </w:r>
    </w:p>
    <w:p>
      <w:pPr>
        <w:tabs>
          <w:tab w:val="right" w:pos="9638" w:leader="dot"/>
        </w:tabs>
        <w:spacing w:after="20"/>
        <w:ind w:left="200" w:right="0"/>
      </w:pPr>
      <w:r>
        <w:rPr>
          <w:rFonts w:ascii="Verdana" w:cs="Verdana" w:eastAsia="Verdana" w:hAnsi="Verdana"/>
          <w:sz w:val="19"/>
          <w:szCs w:val="19"/>
        </w:rPr>
        <w:t xml:space="preserve">GAAR</w:t>
      </w:r>
      <w:r>
        <w:rPr>
          <w:rFonts w:ascii="Verdana" w:cs="Verdana" w:eastAsia="Verdana" w:hAnsi="Verdana"/>
          <w:sz w:val="19"/>
          <w:szCs w:val="19"/>
        </w:rPr>
        <w:t xml:space="preserve">	12, 14, 87-88, 120, 142-143</w:t>
      </w:r>
    </w:p>
    <w:p>
      <w:pPr>
        <w:tabs>
          <w:tab w:val="right" w:pos="9638" w:leader="dot"/>
        </w:tabs>
        <w:spacing w:after="20"/>
        <w:ind w:left="200" w:right="0"/>
      </w:pPr>
      <w:r>
        <w:rPr>
          <w:rFonts w:ascii="Verdana" w:cs="Verdana" w:eastAsia="Verdana" w:hAnsi="Verdana"/>
          <w:sz w:val="19"/>
          <w:szCs w:val="19"/>
        </w:rPr>
        <w:t xml:space="preserve">Gifts</w:t>
      </w:r>
      <w:r>
        <w:rPr>
          <w:rFonts w:ascii="Verdana" w:cs="Verdana" w:eastAsia="Verdana" w:hAnsi="Verdana"/>
          <w:sz w:val="19"/>
          <w:szCs w:val="19"/>
        </w:rPr>
        <w:t xml:space="preserve">	13, 67, 74-75, 87-88, 93</w:t>
      </w:r>
    </w:p>
    <w:p>
      <w:pPr>
        <w:tabs>
          <w:tab w:val="right" w:pos="9638" w:leader="dot"/>
        </w:tabs>
        <w:spacing w:after="20"/>
        <w:ind w:left="200" w:right="0"/>
      </w:pPr>
      <w:r>
        <w:rPr>
          <w:rFonts w:ascii="Verdana" w:cs="Verdana" w:eastAsia="Verdana" w:hAnsi="Verdana"/>
          <w:sz w:val="19"/>
          <w:szCs w:val="19"/>
        </w:rPr>
        <w:t xml:space="preserve">Goodwill</w:t>
      </w:r>
      <w:r>
        <w:rPr>
          <w:rFonts w:ascii="Verdana" w:cs="Verdana" w:eastAsia="Verdana" w:hAnsi="Verdana"/>
          <w:sz w:val="19"/>
          <w:szCs w:val="19"/>
        </w:rPr>
        <w:t xml:space="preserve">	46-47, 56, 61, 95, 114, 124</w:t>
      </w:r>
    </w:p>
    <w:p>
      <w:pPr>
        <w:tabs>
          <w:tab w:val="right" w:pos="9638" w:leader="dot"/>
        </w:tabs>
        <w:spacing w:after="20"/>
        <w:ind w:left="200" w:right="0"/>
      </w:pPr>
      <w:r>
        <w:rPr>
          <w:rFonts w:ascii="Verdana" w:cs="Verdana" w:eastAsia="Verdana" w:hAnsi="Verdana"/>
          <w:sz w:val="19"/>
          <w:szCs w:val="19"/>
        </w:rPr>
        <w:t xml:space="preserve">Grandfathering of listed shares</w:t>
      </w:r>
      <w:r>
        <w:rPr>
          <w:rFonts w:ascii="Verdana" w:cs="Verdana" w:eastAsia="Verdana" w:hAnsi="Verdana"/>
          <w:sz w:val="19"/>
          <w:szCs w:val="19"/>
        </w:rPr>
        <w:t xml:space="preserve">	61, 130, 142, 144</w:t>
      </w:r>
    </w:p>
    <w:p>
      <w:pPr>
        <w:tabs>
          <w:tab w:val="right" w:pos="9638" w:leader="dot"/>
        </w:tabs>
        <w:spacing w:after="20"/>
        <w:ind w:left="200" w:right="0"/>
      </w:pPr>
      <w:r>
        <w:rPr>
          <w:rFonts w:ascii="Verdana" w:cs="Verdana" w:eastAsia="Verdana" w:hAnsi="Verdana"/>
          <w:sz w:val="19"/>
          <w:szCs w:val="19"/>
        </w:rPr>
        <w:t xml:space="preserve">Gratuity</w:t>
      </w:r>
      <w:r>
        <w:rPr>
          <w:rFonts w:ascii="Verdana" w:cs="Verdana" w:eastAsia="Verdana" w:hAnsi="Verdana"/>
          <w:sz w:val="19"/>
          <w:szCs w:val="19"/>
        </w:rPr>
        <w:t xml:space="preserve">	25-26, 29, 34, 42-43, 45</w:t>
      </w:r>
    </w:p>
    <w:p>
      <w:pPr>
        <w:tabs>
          <w:tab w:val="right" w:pos="9638" w:leader="dot"/>
        </w:tabs>
        <w:spacing w:after="20"/>
        <w:ind w:left="200" w:right="0"/>
      </w:pPr>
      <w:r>
        <w:rPr>
          <w:rFonts w:ascii="Verdana" w:cs="Verdana" w:eastAsia="Verdana" w:hAnsi="Verdana"/>
          <w:sz w:val="19"/>
          <w:szCs w:val="19"/>
        </w:rPr>
        <w:t xml:space="preserve">GST and income tax</w:t>
      </w:r>
      <w:r>
        <w:rPr>
          <w:rFonts w:ascii="Verdana" w:cs="Verdana" w:eastAsia="Verdana" w:hAnsi="Verdana"/>
          <w:sz w:val="19"/>
          <w:szCs w:val="19"/>
        </w:rPr>
        <w:t xml:space="preserve">	52, 54, 101, 113, 122, 149, 160</w:t>
      </w:r>
    </w:p>
    <w:p>
      <w:pPr>
        <w:keepNext/>
        <w:spacing w:after="40" w:before="160"/>
      </w:pPr>
      <w:r>
        <w:rPr>
          <w:rFonts w:ascii="Verdana" w:cs="Verdana" w:eastAsia="Verdana" w:hAnsi="Verdana"/>
          <w:b/>
          <w:bCs/>
          <w:color w:val="92400E"/>
          <w:sz w:val="22"/>
          <w:szCs w:val="22"/>
        </w:rPr>
        <w:t xml:space="preserve">H</w:t>
      </w:r>
    </w:p>
    <w:p>
      <w:pPr>
        <w:tabs>
          <w:tab w:val="right" w:pos="9638" w:leader="dot"/>
        </w:tabs>
        <w:spacing w:after="20"/>
        <w:ind w:left="200" w:right="0"/>
      </w:pPr>
      <w:r>
        <w:rPr>
          <w:rFonts w:ascii="Verdana" w:cs="Verdana" w:eastAsia="Verdana" w:hAnsi="Verdana"/>
          <w:sz w:val="19"/>
          <w:szCs w:val="19"/>
        </w:rPr>
        <w:t xml:space="preserve">Health insurance (section 126)</w:t>
      </w:r>
      <w:r>
        <w:rPr>
          <w:rFonts w:ascii="Verdana" w:cs="Verdana" w:eastAsia="Verdana" w:hAnsi="Verdana"/>
          <w:sz w:val="19"/>
          <w:szCs w:val="19"/>
        </w:rPr>
        <w:t xml:space="preserve">	29-30, 79-80, 86, 89, 184</w:t>
      </w:r>
    </w:p>
    <w:p>
      <w:pPr>
        <w:tabs>
          <w:tab w:val="right" w:pos="9638" w:leader="dot"/>
        </w:tabs>
        <w:spacing w:after="20"/>
        <w:ind w:left="200" w:right="0"/>
      </w:pPr>
      <w:r>
        <w:rPr>
          <w:rFonts w:ascii="Verdana" w:cs="Verdana" w:eastAsia="Verdana" w:hAnsi="Verdana"/>
          <w:sz w:val="19"/>
          <w:szCs w:val="19"/>
        </w:rPr>
        <w:t xml:space="preserve">Hindu Undivided Family (HUF)</w:t>
      </w:r>
      <w:r>
        <w:rPr>
          <w:rFonts w:ascii="Verdana" w:cs="Verdana" w:eastAsia="Verdana" w:hAnsi="Verdana"/>
          <w:sz w:val="19"/>
          <w:szCs w:val="19"/>
        </w:rPr>
        <w:t xml:space="preserve">	13, 20-21, 93-94, 157, 197</w:t>
      </w:r>
    </w:p>
    <w:p>
      <w:pPr>
        <w:tabs>
          <w:tab w:val="right" w:pos="9638" w:leader="dot"/>
        </w:tabs>
        <w:spacing w:after="20"/>
        <w:ind w:left="200" w:right="0"/>
      </w:pPr>
      <w:r>
        <w:rPr>
          <w:rFonts w:ascii="Verdana" w:cs="Verdana" w:eastAsia="Verdana" w:hAnsi="Verdana"/>
          <w:sz w:val="19"/>
          <w:szCs w:val="19"/>
        </w:rPr>
        <w:t xml:space="preserve">House property, income from</w:t>
      </w:r>
      <w:r>
        <w:rPr>
          <w:rFonts w:ascii="Verdana" w:cs="Verdana" w:eastAsia="Verdana" w:hAnsi="Verdana"/>
          <w:sz w:val="19"/>
          <w:szCs w:val="19"/>
        </w:rPr>
        <w:t xml:space="preserve">	38-41, 77-78, 179</w:t>
      </w:r>
    </w:p>
    <w:p>
      <w:pPr>
        <w:tabs>
          <w:tab w:val="right" w:pos="9638" w:leader="dot"/>
        </w:tabs>
        <w:spacing w:after="20"/>
        <w:ind w:left="200" w:right="0"/>
      </w:pPr>
      <w:r>
        <w:rPr>
          <w:rFonts w:ascii="Verdana" w:cs="Verdana" w:eastAsia="Verdana" w:hAnsi="Verdana"/>
          <w:sz w:val="19"/>
          <w:szCs w:val="19"/>
        </w:rPr>
        <w:t xml:space="preserve">House rent allowance (HRA)</w:t>
      </w:r>
      <w:r>
        <w:rPr>
          <w:rFonts w:ascii="Verdana" w:cs="Verdana" w:eastAsia="Verdana" w:hAnsi="Verdana"/>
          <w:sz w:val="19"/>
          <w:szCs w:val="19"/>
        </w:rPr>
        <w:t xml:space="preserve">	26, 29-32, 81, 179</w:t>
      </w:r>
    </w:p>
    <w:p>
      <w:pPr>
        <w:keepNext/>
        <w:spacing w:after="40" w:before="160"/>
      </w:pPr>
      <w:r>
        <w:rPr>
          <w:rFonts w:ascii="Verdana" w:cs="Verdana" w:eastAsia="Verdana" w:hAnsi="Verdana"/>
          <w:b/>
          <w:bCs/>
          <w:color w:val="92400E"/>
          <w:sz w:val="22"/>
          <w:szCs w:val="22"/>
        </w:rPr>
        <w:t xml:space="preserve">I</w:t>
      </w:r>
    </w:p>
    <w:p>
      <w:pPr>
        <w:tabs>
          <w:tab w:val="right" w:pos="9638" w:leader="dot"/>
        </w:tabs>
        <w:spacing w:after="20"/>
        <w:ind w:left="200" w:right="0"/>
      </w:pPr>
      <w:r>
        <w:rPr>
          <w:rFonts w:ascii="Verdana" w:cs="Verdana" w:eastAsia="Verdana" w:hAnsi="Verdana"/>
          <w:sz w:val="19"/>
          <w:szCs w:val="19"/>
        </w:rPr>
        <w:t xml:space="preserve">ICDS</w:t>
      </w:r>
      <w:r>
        <w:rPr>
          <w:rFonts w:ascii="Verdana" w:cs="Verdana" w:eastAsia="Verdana" w:hAnsi="Verdana"/>
          <w:sz w:val="19"/>
          <w:szCs w:val="19"/>
        </w:rPr>
        <w:t xml:space="preserve">	53-54, 56, 105, 107, 114, 160</w:t>
      </w:r>
    </w:p>
    <w:p>
      <w:pPr>
        <w:tabs>
          <w:tab w:val="right" w:pos="9638" w:leader="dot"/>
        </w:tabs>
        <w:spacing w:after="20"/>
        <w:ind w:left="200" w:right="0"/>
      </w:pPr>
      <w:r>
        <w:rPr>
          <w:rFonts w:ascii="Verdana" w:cs="Verdana" w:eastAsia="Verdana" w:hAnsi="Verdana"/>
          <w:sz w:val="19"/>
          <w:szCs w:val="19"/>
        </w:rPr>
        <w:t xml:space="preserve">IFSC units</w:t>
      </w:r>
      <w:r>
        <w:rPr>
          <w:rFonts w:ascii="Verdana" w:cs="Verdana" w:eastAsia="Verdana" w:hAnsi="Verdana"/>
          <w:sz w:val="19"/>
          <w:szCs w:val="19"/>
        </w:rPr>
        <w:t xml:space="preserve">	79, 82, 102, 107, 142</w:t>
      </w:r>
    </w:p>
    <w:p>
      <w:pPr>
        <w:tabs>
          <w:tab w:val="right" w:pos="9638" w:leader="dot"/>
        </w:tabs>
        <w:spacing w:after="20"/>
        <w:ind w:left="200" w:right="0"/>
      </w:pPr>
      <w:r>
        <w:rPr>
          <w:rFonts w:ascii="Verdana" w:cs="Verdana" w:eastAsia="Verdana" w:hAnsi="Verdana"/>
          <w:sz w:val="19"/>
          <w:szCs w:val="19"/>
        </w:rPr>
        <w:t xml:space="preserve">Immunity from penalty</w:t>
      </w:r>
      <w:r>
        <w:rPr>
          <w:rFonts w:ascii="Verdana" w:cs="Verdana" w:eastAsia="Verdana" w:hAnsi="Verdana"/>
          <w:sz w:val="19"/>
          <w:szCs w:val="19"/>
        </w:rPr>
        <w:t xml:space="preserve">	162, 175-177</w:t>
      </w:r>
    </w:p>
    <w:p>
      <w:pPr>
        <w:tabs>
          <w:tab w:val="right" w:pos="9638" w:leader="dot"/>
        </w:tabs>
        <w:spacing w:after="20"/>
        <w:ind w:left="200" w:right="0"/>
      </w:pPr>
      <w:r>
        <w:rPr>
          <w:rFonts w:ascii="Verdana" w:cs="Verdana" w:eastAsia="Verdana" w:hAnsi="Verdana"/>
          <w:sz w:val="19"/>
          <w:szCs w:val="19"/>
        </w:rPr>
        <w:t xml:space="preserve">Ind AS and income tax</w:t>
      </w:r>
      <w:r>
        <w:rPr>
          <w:rFonts w:ascii="Verdana" w:cs="Verdana" w:eastAsia="Verdana" w:hAnsi="Verdana"/>
          <w:sz w:val="19"/>
          <w:szCs w:val="19"/>
        </w:rPr>
        <w:t xml:space="preserve">	101-103, 107, 109, 114-115</w:t>
      </w:r>
    </w:p>
    <w:p>
      <w:pPr>
        <w:tabs>
          <w:tab w:val="right" w:pos="9638" w:leader="dot"/>
        </w:tabs>
        <w:spacing w:after="20"/>
        <w:ind w:left="200" w:right="0"/>
      </w:pPr>
      <w:r>
        <w:rPr>
          <w:rFonts w:ascii="Verdana" w:cs="Verdana" w:eastAsia="Verdana" w:hAnsi="Verdana"/>
          <w:sz w:val="19"/>
          <w:szCs w:val="19"/>
        </w:rPr>
        <w:t xml:space="preserve">Indexation</w:t>
      </w:r>
      <w:r>
        <w:rPr>
          <w:rFonts w:ascii="Verdana" w:cs="Verdana" w:eastAsia="Verdana" w:hAnsi="Verdana"/>
          <w:sz w:val="19"/>
          <w:szCs w:val="19"/>
        </w:rPr>
        <w:t xml:space="preserve">	57, 61-62, 64, 72-73, 184</w:t>
      </w:r>
    </w:p>
    <w:p>
      <w:pPr>
        <w:tabs>
          <w:tab w:val="right" w:pos="9638" w:leader="dot"/>
        </w:tabs>
        <w:spacing w:after="20"/>
        <w:ind w:left="200" w:right="0"/>
      </w:pPr>
      <w:r>
        <w:rPr>
          <w:rFonts w:ascii="Verdana" w:cs="Verdana" w:eastAsia="Verdana" w:hAnsi="Verdana"/>
          <w:sz w:val="19"/>
          <w:szCs w:val="19"/>
        </w:rPr>
        <w:t xml:space="preserve">Indirect transfer</w:t>
      </w:r>
      <w:r>
        <w:rPr>
          <w:rFonts w:ascii="Verdana" w:cs="Verdana" w:eastAsia="Verdana" w:hAnsi="Verdana"/>
          <w:sz w:val="19"/>
          <w:szCs w:val="19"/>
        </w:rPr>
        <w:t xml:space="preserve">	14, 23, 75, 119, 122-124</w:t>
      </w:r>
    </w:p>
    <w:p>
      <w:pPr>
        <w:tabs>
          <w:tab w:val="right" w:pos="9638" w:leader="dot"/>
        </w:tabs>
        <w:spacing w:after="20"/>
        <w:ind w:left="200" w:right="0"/>
      </w:pPr>
      <w:r>
        <w:rPr>
          <w:rFonts w:ascii="Verdana" w:cs="Verdana" w:eastAsia="Verdana" w:hAnsi="Verdana"/>
          <w:sz w:val="19"/>
          <w:szCs w:val="19"/>
        </w:rPr>
        <w:t xml:space="preserve">Inheritance</w:t>
      </w:r>
      <w:r>
        <w:rPr>
          <w:rFonts w:ascii="Verdana" w:cs="Verdana" w:eastAsia="Verdana" w:hAnsi="Verdana"/>
          <w:sz w:val="19"/>
          <w:szCs w:val="19"/>
        </w:rPr>
        <w:t xml:space="preserve">	57, 61, 64, 67, 72, 87, 91</w:t>
      </w:r>
    </w:p>
    <w:p>
      <w:pPr>
        <w:tabs>
          <w:tab w:val="right" w:pos="9638" w:leader="dot"/>
        </w:tabs>
        <w:spacing w:after="20"/>
        <w:ind w:left="200" w:right="0"/>
      </w:pPr>
      <w:r>
        <w:rPr>
          <w:rFonts w:ascii="Verdana" w:cs="Verdana" w:eastAsia="Verdana" w:hAnsi="Verdana"/>
          <w:sz w:val="19"/>
          <w:szCs w:val="19"/>
        </w:rPr>
        <w:t xml:space="preserve">Interest (sections 423 to 426)</w:t>
      </w:r>
      <w:r>
        <w:rPr>
          <w:rFonts w:ascii="Verdana" w:cs="Verdana" w:eastAsia="Verdana" w:hAnsi="Verdana"/>
          <w:sz w:val="19"/>
          <w:szCs w:val="19"/>
        </w:rPr>
        <w:t xml:space="preserve">	155-156</w:t>
      </w:r>
    </w:p>
    <w:p>
      <w:pPr>
        <w:tabs>
          <w:tab w:val="right" w:pos="9638" w:leader="dot"/>
        </w:tabs>
        <w:spacing w:after="20"/>
        <w:ind w:left="200" w:right="0"/>
      </w:pPr>
      <w:r>
        <w:rPr>
          <w:rFonts w:ascii="Verdana" w:cs="Verdana" w:eastAsia="Verdana" w:hAnsi="Verdana"/>
          <w:sz w:val="19"/>
          <w:szCs w:val="19"/>
        </w:rPr>
        <w:t xml:space="preserve">Interest on borrowed capital</w:t>
      </w:r>
      <w:r>
        <w:rPr>
          <w:rFonts w:ascii="Verdana" w:cs="Verdana" w:eastAsia="Verdana" w:hAnsi="Verdana"/>
          <w:sz w:val="19"/>
          <w:szCs w:val="19"/>
        </w:rPr>
        <w:t xml:space="preserve">	38, 42, 50</w:t>
      </w:r>
    </w:p>
    <w:p>
      <w:pPr>
        <w:keepNext/>
        <w:spacing w:after="40" w:before="160"/>
      </w:pPr>
      <w:r>
        <w:rPr>
          <w:rFonts w:ascii="Verdana" w:cs="Verdana" w:eastAsia="Verdana" w:hAnsi="Verdana"/>
          <w:b/>
          <w:bCs/>
          <w:color w:val="92400E"/>
          <w:sz w:val="22"/>
          <w:szCs w:val="22"/>
        </w:rPr>
        <w:t xml:space="preserve">J</w:t>
      </w:r>
    </w:p>
    <w:p>
      <w:pPr>
        <w:tabs>
          <w:tab w:val="right" w:pos="9638" w:leader="dot"/>
        </w:tabs>
        <w:spacing w:after="20"/>
        <w:ind w:left="200" w:right="0"/>
      </w:pPr>
      <w:r>
        <w:rPr>
          <w:rFonts w:ascii="Verdana" w:cs="Verdana" w:eastAsia="Verdana" w:hAnsi="Verdana"/>
          <w:sz w:val="19"/>
          <w:szCs w:val="19"/>
        </w:rPr>
        <w:t xml:space="preserve">Joint development agreement</w:t>
      </w:r>
      <w:r>
        <w:rPr>
          <w:rFonts w:ascii="Verdana" w:cs="Verdana" w:eastAsia="Verdana" w:hAnsi="Verdana"/>
          <w:sz w:val="19"/>
          <w:szCs w:val="19"/>
        </w:rPr>
        <w:t xml:space="preserve">	60, 73, 111</w:t>
      </w:r>
    </w:p>
    <w:p>
      <w:pPr>
        <w:keepNext/>
        <w:spacing w:after="40" w:before="160"/>
      </w:pPr>
      <w:r>
        <w:rPr>
          <w:rFonts w:ascii="Verdana" w:cs="Verdana" w:eastAsia="Verdana" w:hAnsi="Verdana"/>
          <w:b/>
          <w:bCs/>
          <w:color w:val="92400E"/>
          <w:sz w:val="22"/>
          <w:szCs w:val="22"/>
        </w:rPr>
        <w:t xml:space="preserve">L</w:t>
      </w:r>
    </w:p>
    <w:p>
      <w:pPr>
        <w:tabs>
          <w:tab w:val="right" w:pos="9638" w:leader="dot"/>
        </w:tabs>
        <w:spacing w:after="20"/>
        <w:ind w:left="200" w:right="0"/>
      </w:pPr>
      <w:r>
        <w:rPr>
          <w:rFonts w:ascii="Verdana" w:cs="Verdana" w:eastAsia="Verdana" w:hAnsi="Verdana"/>
          <w:sz w:val="19"/>
          <w:szCs w:val="19"/>
        </w:rPr>
        <w:t xml:space="preserve">Leave encashment</w:t>
      </w:r>
      <w:r>
        <w:rPr>
          <w:rFonts w:ascii="Verdana" w:cs="Verdana" w:eastAsia="Verdana" w:hAnsi="Verdana"/>
          <w:sz w:val="19"/>
          <w:szCs w:val="19"/>
        </w:rPr>
        <w:t xml:space="preserve">	25-26, 29, 34, 45, 52</w:t>
      </w:r>
    </w:p>
    <w:p>
      <w:pPr>
        <w:tabs>
          <w:tab w:val="right" w:pos="9638" w:leader="dot"/>
        </w:tabs>
        <w:spacing w:after="20"/>
        <w:ind w:left="200" w:right="0"/>
      </w:pPr>
      <w:r>
        <w:rPr>
          <w:rFonts w:ascii="Verdana" w:cs="Verdana" w:eastAsia="Verdana" w:hAnsi="Verdana"/>
          <w:sz w:val="19"/>
          <w:szCs w:val="19"/>
        </w:rPr>
        <w:t xml:space="preserve">Life insurance, maturity exemption</w:t>
      </w:r>
      <w:r>
        <w:rPr>
          <w:rFonts w:ascii="Verdana" w:cs="Verdana" w:eastAsia="Verdana" w:hAnsi="Verdana"/>
          <w:sz w:val="19"/>
          <w:szCs w:val="19"/>
        </w:rPr>
        <w:t xml:space="preserve">	26, 71, 80, 150</w:t>
      </w:r>
    </w:p>
    <w:p>
      <w:pPr>
        <w:tabs>
          <w:tab w:val="right" w:pos="9638" w:leader="dot"/>
        </w:tabs>
        <w:spacing w:after="20"/>
        <w:ind w:left="200" w:right="0"/>
      </w:pPr>
      <w:r>
        <w:rPr>
          <w:rFonts w:ascii="Verdana" w:cs="Verdana" w:eastAsia="Verdana" w:hAnsi="Verdana"/>
          <w:sz w:val="19"/>
          <w:szCs w:val="19"/>
        </w:rPr>
        <w:t xml:space="preserve">Long-term capital gains</w:t>
      </w:r>
      <w:r>
        <w:rPr>
          <w:rFonts w:ascii="Verdana" w:cs="Verdana" w:eastAsia="Verdana" w:hAnsi="Verdana"/>
          <w:sz w:val="19"/>
          <w:szCs w:val="19"/>
        </w:rPr>
        <w:t xml:space="preserve">	57-58, 62-63, 77-78, 195</w:t>
      </w:r>
    </w:p>
    <w:p>
      <w:pPr>
        <w:tabs>
          <w:tab w:val="right" w:pos="9638" w:leader="dot"/>
        </w:tabs>
        <w:spacing w:after="20"/>
        <w:ind w:left="200" w:right="0"/>
      </w:pPr>
      <w:r>
        <w:rPr>
          <w:rFonts w:ascii="Verdana" w:cs="Verdana" w:eastAsia="Verdana" w:hAnsi="Verdana"/>
          <w:sz w:val="19"/>
          <w:szCs w:val="19"/>
        </w:rPr>
        <w:t xml:space="preserve">Losses, set off and carry forward</w:t>
      </w:r>
      <w:r>
        <w:rPr>
          <w:rFonts w:ascii="Verdana" w:cs="Verdana" w:eastAsia="Verdana" w:hAnsi="Verdana"/>
          <w:sz w:val="19"/>
          <w:szCs w:val="19"/>
        </w:rPr>
        <w:t xml:space="preserve">	53, 77-78, 106, 117, 186, 195</w:t>
      </w:r>
    </w:p>
    <w:p>
      <w:pPr>
        <w:tabs>
          <w:tab w:val="right" w:pos="9638" w:leader="dot"/>
        </w:tabs>
        <w:spacing w:after="20"/>
        <w:ind w:left="200" w:right="0"/>
      </w:pPr>
      <w:r>
        <w:rPr>
          <w:rFonts w:ascii="Verdana" w:cs="Verdana" w:eastAsia="Verdana" w:hAnsi="Verdana"/>
          <w:sz w:val="19"/>
          <w:szCs w:val="19"/>
        </w:rPr>
        <w:t xml:space="preserve">Lower deduction certificate (section 395)</w:t>
      </w:r>
      <w:r>
        <w:rPr>
          <w:rFonts w:ascii="Verdana" w:cs="Verdana" w:eastAsia="Verdana" w:hAnsi="Verdana"/>
          <w:sz w:val="19"/>
          <w:szCs w:val="19"/>
        </w:rPr>
        <w:t xml:space="preserve">	72, 119, 127, 133-134, 147, 189</w:t>
      </w:r>
    </w:p>
    <w:p>
      <w:pPr>
        <w:keepNext/>
        <w:spacing w:after="40" w:before="160"/>
      </w:pPr>
      <w:r>
        <w:rPr>
          <w:rFonts w:ascii="Verdana" w:cs="Verdana" w:eastAsia="Verdana" w:hAnsi="Verdana"/>
          <w:b/>
          <w:bCs/>
          <w:color w:val="92400E"/>
          <w:sz w:val="22"/>
          <w:szCs w:val="22"/>
        </w:rPr>
        <w:t xml:space="preserve">M</w:t>
      </w:r>
    </w:p>
    <w:p>
      <w:pPr>
        <w:tabs>
          <w:tab w:val="right" w:pos="9638" w:leader="dot"/>
        </w:tabs>
        <w:spacing w:after="20"/>
        <w:ind w:left="200" w:right="0"/>
      </w:pPr>
      <w:r>
        <w:rPr>
          <w:rFonts w:ascii="Verdana" w:cs="Verdana" w:eastAsia="Verdana" w:hAnsi="Verdana"/>
          <w:sz w:val="19"/>
          <w:szCs w:val="19"/>
        </w:rPr>
        <w:t xml:space="preserve">Marginal relief</w:t>
      </w:r>
      <w:r>
        <w:rPr>
          <w:rFonts w:ascii="Verdana" w:cs="Verdana" w:eastAsia="Verdana" w:hAnsi="Verdana"/>
          <w:sz w:val="19"/>
          <w:szCs w:val="19"/>
        </w:rPr>
        <w:t xml:space="preserve">	84-86, 182</w:t>
      </w:r>
    </w:p>
    <w:p>
      <w:pPr>
        <w:tabs>
          <w:tab w:val="right" w:pos="9638" w:leader="dot"/>
        </w:tabs>
        <w:spacing w:after="20"/>
        <w:ind w:left="200" w:right="0"/>
      </w:pPr>
      <w:r>
        <w:rPr>
          <w:rFonts w:ascii="Verdana" w:cs="Verdana" w:eastAsia="Verdana" w:hAnsi="Verdana"/>
          <w:sz w:val="19"/>
          <w:szCs w:val="19"/>
        </w:rPr>
        <w:t xml:space="preserve">Master file</w:t>
      </w:r>
      <w:r>
        <w:rPr>
          <w:rFonts w:ascii="Verdana" w:cs="Verdana" w:eastAsia="Verdana" w:hAnsi="Verdana"/>
          <w:sz w:val="19"/>
          <w:szCs w:val="19"/>
        </w:rPr>
        <w:t xml:space="preserve">	107, 135, 137, 139, 178</w:t>
      </w:r>
    </w:p>
    <w:p>
      <w:pPr>
        <w:tabs>
          <w:tab w:val="right" w:pos="9638" w:leader="dot"/>
        </w:tabs>
        <w:spacing w:after="20"/>
        <w:ind w:left="200" w:right="0"/>
      </w:pPr>
      <w:r>
        <w:rPr>
          <w:rFonts w:ascii="Verdana" w:cs="Verdana" w:eastAsia="Verdana" w:hAnsi="Verdana"/>
          <w:sz w:val="19"/>
          <w:szCs w:val="19"/>
        </w:rPr>
        <w:t xml:space="preserve">MAT (Minimum Alternate Tax)</w:t>
      </w:r>
      <w:r>
        <w:rPr>
          <w:rFonts w:ascii="Verdana" w:cs="Verdana" w:eastAsia="Verdana" w:hAnsi="Verdana"/>
          <w:sz w:val="19"/>
          <w:szCs w:val="19"/>
        </w:rPr>
        <w:t xml:space="preserve">	101-104, 110, 114, 187</w:t>
      </w:r>
    </w:p>
    <w:p>
      <w:pPr>
        <w:tabs>
          <w:tab w:val="right" w:pos="9638" w:leader="dot"/>
        </w:tabs>
        <w:spacing w:after="20"/>
        <w:ind w:left="200" w:right="0"/>
      </w:pPr>
      <w:r>
        <w:rPr>
          <w:rFonts w:ascii="Verdana" w:cs="Verdana" w:eastAsia="Verdana" w:hAnsi="Verdana"/>
          <w:sz w:val="19"/>
          <w:szCs w:val="19"/>
        </w:rPr>
        <w:t xml:space="preserve">MAT credit</w:t>
      </w:r>
      <w:r>
        <w:rPr>
          <w:rFonts w:ascii="Verdana" w:cs="Verdana" w:eastAsia="Verdana" w:hAnsi="Verdana"/>
          <w:sz w:val="19"/>
          <w:szCs w:val="19"/>
        </w:rPr>
        <w:t xml:space="preserve">	11, 101-104, 120, 122</w:t>
      </w:r>
    </w:p>
    <w:p>
      <w:pPr>
        <w:tabs>
          <w:tab w:val="right" w:pos="9638" w:leader="dot"/>
        </w:tabs>
        <w:spacing w:after="20"/>
        <w:ind w:left="200" w:right="0"/>
      </w:pPr>
      <w:r>
        <w:rPr>
          <w:rFonts w:ascii="Verdana" w:cs="Verdana" w:eastAsia="Verdana" w:hAnsi="Verdana"/>
          <w:sz w:val="19"/>
          <w:szCs w:val="19"/>
        </w:rPr>
        <w:t xml:space="preserve">Mergers and acquisitions</w:t>
      </w:r>
      <w:r>
        <w:rPr>
          <w:rFonts w:ascii="Verdana" w:cs="Verdana" w:eastAsia="Verdana" w:hAnsi="Verdana"/>
          <w:sz w:val="19"/>
          <w:szCs w:val="19"/>
        </w:rPr>
        <w:t xml:space="preserve">	116-118, 120, 122-123, 188</w:t>
      </w:r>
    </w:p>
    <w:p>
      <w:pPr>
        <w:tabs>
          <w:tab w:val="right" w:pos="9638" w:leader="dot"/>
        </w:tabs>
        <w:spacing w:after="20"/>
        <w:ind w:left="200" w:right="0"/>
      </w:pPr>
      <w:r>
        <w:rPr>
          <w:rFonts w:ascii="Verdana" w:cs="Verdana" w:eastAsia="Verdana" w:hAnsi="Verdana"/>
          <w:sz w:val="19"/>
          <w:szCs w:val="19"/>
        </w:rPr>
        <w:t xml:space="preserve">MSME dues (section 37)</w:t>
      </w:r>
      <w:r>
        <w:rPr>
          <w:rFonts w:ascii="Verdana" w:cs="Verdana" w:eastAsia="Verdana" w:hAnsi="Verdana"/>
          <w:sz w:val="19"/>
          <w:szCs w:val="19"/>
        </w:rPr>
        <w:t xml:space="preserve">	42, 45-46, 52, 54, 56, 111</w:t>
      </w:r>
    </w:p>
    <w:p>
      <w:pPr>
        <w:tabs>
          <w:tab w:val="right" w:pos="9638" w:leader="dot"/>
        </w:tabs>
        <w:spacing w:after="20"/>
        <w:ind w:left="200" w:right="0"/>
      </w:pPr>
      <w:r>
        <w:rPr>
          <w:rFonts w:ascii="Verdana" w:cs="Verdana" w:eastAsia="Verdana" w:hAnsi="Verdana"/>
          <w:sz w:val="19"/>
          <w:szCs w:val="19"/>
        </w:rPr>
        <w:t xml:space="preserve">Mutual funds</w:t>
      </w:r>
      <w:r>
        <w:rPr>
          <w:rFonts w:ascii="Verdana" w:cs="Verdana" w:eastAsia="Verdana" w:hAnsi="Verdana"/>
          <w:sz w:val="19"/>
          <w:szCs w:val="19"/>
        </w:rPr>
        <w:t xml:space="preserve">	57, 63, 66, 68, 70-71, 80</w:t>
      </w:r>
    </w:p>
    <w:p>
      <w:pPr>
        <w:keepNext/>
        <w:spacing w:after="40" w:before="160"/>
      </w:pPr>
      <w:r>
        <w:rPr>
          <w:rFonts w:ascii="Verdana" w:cs="Verdana" w:eastAsia="Verdana" w:hAnsi="Verdana"/>
          <w:b/>
          <w:bCs/>
          <w:color w:val="92400E"/>
          <w:sz w:val="22"/>
          <w:szCs w:val="22"/>
        </w:rPr>
        <w:t xml:space="preserve">N</w:t>
      </w:r>
    </w:p>
    <w:p>
      <w:pPr>
        <w:tabs>
          <w:tab w:val="right" w:pos="9638" w:leader="dot"/>
        </w:tabs>
        <w:spacing w:after="20"/>
        <w:ind w:left="200" w:right="0"/>
      </w:pPr>
      <w:r>
        <w:rPr>
          <w:rFonts w:ascii="Verdana" w:cs="Verdana" w:eastAsia="Verdana" w:hAnsi="Verdana"/>
          <w:sz w:val="19"/>
          <w:szCs w:val="19"/>
        </w:rPr>
        <w:t xml:space="preserve">New tax regime (section 202)</w:t>
      </w:r>
      <w:r>
        <w:rPr>
          <w:rFonts w:ascii="Verdana" w:cs="Verdana" w:eastAsia="Verdana" w:hAnsi="Verdana"/>
          <w:sz w:val="19"/>
          <w:szCs w:val="19"/>
        </w:rPr>
        <w:t xml:space="preserve">	29-30, 78, 84-85, 87, 89</w:t>
      </w:r>
    </w:p>
    <w:p>
      <w:pPr>
        <w:tabs>
          <w:tab w:val="right" w:pos="9638" w:leader="dot"/>
        </w:tabs>
        <w:spacing w:after="20"/>
        <w:ind w:left="200" w:right="0"/>
      </w:pPr>
      <w:r>
        <w:rPr>
          <w:rFonts w:ascii="Verdana" w:cs="Verdana" w:eastAsia="Verdana" w:hAnsi="Verdana"/>
          <w:sz w:val="19"/>
          <w:szCs w:val="19"/>
        </w:rPr>
        <w:t xml:space="preserve">Non-profit organisations</w:t>
      </w:r>
      <w:r>
        <w:rPr>
          <w:rFonts w:ascii="Verdana" w:cs="Verdana" w:eastAsia="Verdana" w:hAnsi="Verdana"/>
          <w:sz w:val="19"/>
          <w:szCs w:val="19"/>
        </w:rPr>
        <w:t xml:space="preserve">	12, 15, 74, 97-98, 112, 158</w:t>
      </w:r>
    </w:p>
    <w:p>
      <w:pPr>
        <w:tabs>
          <w:tab w:val="right" w:pos="9638" w:leader="dot"/>
        </w:tabs>
        <w:spacing w:after="20"/>
        <w:ind w:left="200" w:right="0"/>
      </w:pPr>
      <w:r>
        <w:rPr>
          <w:rFonts w:ascii="Verdana" w:cs="Verdana" w:eastAsia="Verdana" w:hAnsi="Verdana"/>
          <w:sz w:val="19"/>
          <w:szCs w:val="19"/>
        </w:rPr>
        <w:t xml:space="preserve">Non-residents</w:t>
      </w:r>
      <w:r>
        <w:rPr>
          <w:rFonts w:ascii="Verdana" w:cs="Verdana" w:eastAsia="Verdana" w:hAnsi="Verdana"/>
          <w:sz w:val="19"/>
          <w:szCs w:val="19"/>
        </w:rPr>
        <w:t xml:space="preserve">	24, 119, 125-127, 133, 189</w:t>
      </w:r>
    </w:p>
    <w:p>
      <w:pPr>
        <w:tabs>
          <w:tab w:val="right" w:pos="9638" w:leader="dot"/>
        </w:tabs>
        <w:spacing w:after="20"/>
        <w:ind w:left="200" w:right="0"/>
      </w:pPr>
      <w:r>
        <w:rPr>
          <w:rFonts w:ascii="Verdana" w:cs="Verdana" w:eastAsia="Verdana" w:hAnsi="Verdana"/>
          <w:sz w:val="19"/>
          <w:szCs w:val="19"/>
        </w:rPr>
        <w:t xml:space="preserve">Notices, handling</w:t>
      </w:r>
      <w:r>
        <w:rPr>
          <w:rFonts w:ascii="Verdana" w:cs="Verdana" w:eastAsia="Verdana" w:hAnsi="Verdana"/>
          <w:sz w:val="19"/>
          <w:szCs w:val="19"/>
        </w:rPr>
        <w:t xml:space="preserve">	162-164, 166-168, 172</w:t>
      </w:r>
    </w:p>
    <w:p>
      <w:pPr>
        <w:tabs>
          <w:tab w:val="right" w:pos="9638" w:leader="dot"/>
        </w:tabs>
        <w:spacing w:after="20"/>
        <w:ind w:left="200" w:right="0"/>
      </w:pPr>
      <w:r>
        <w:rPr>
          <w:rFonts w:ascii="Verdana" w:cs="Verdana" w:eastAsia="Verdana" w:hAnsi="Verdana"/>
          <w:sz w:val="19"/>
          <w:szCs w:val="19"/>
        </w:rPr>
        <w:t xml:space="preserve">NPS</w:t>
      </w:r>
      <w:r>
        <w:rPr>
          <w:rFonts w:ascii="Verdana" w:cs="Verdana" w:eastAsia="Verdana" w:hAnsi="Verdana"/>
          <w:sz w:val="19"/>
          <w:szCs w:val="19"/>
        </w:rPr>
        <w:t xml:space="preserve">	30, 33, 79-80, 83, 153, 179</w:t>
      </w:r>
    </w:p>
    <w:p>
      <w:pPr>
        <w:tabs>
          <w:tab w:val="right" w:pos="9638" w:leader="dot"/>
        </w:tabs>
        <w:spacing w:after="20"/>
        <w:ind w:left="200" w:right="0"/>
      </w:pPr>
      <w:r>
        <w:rPr>
          <w:rFonts w:ascii="Verdana" w:cs="Verdana" w:eastAsia="Verdana" w:hAnsi="Verdana"/>
          <w:sz w:val="19"/>
          <w:szCs w:val="19"/>
        </w:rPr>
        <w:t xml:space="preserve">NRIs</w:t>
      </w:r>
      <w:r>
        <w:rPr>
          <w:rFonts w:ascii="Verdana" w:cs="Verdana" w:eastAsia="Verdana" w:hAnsi="Verdana"/>
          <w:sz w:val="19"/>
          <w:szCs w:val="19"/>
        </w:rPr>
        <w:t xml:space="preserve">	19-20, 72-73, 133-134, 196</w:t>
      </w:r>
    </w:p>
    <w:p>
      <w:pPr>
        <w:keepNext/>
        <w:spacing w:after="40" w:before="160"/>
      </w:pPr>
      <w:r>
        <w:rPr>
          <w:rFonts w:ascii="Verdana" w:cs="Verdana" w:eastAsia="Verdana" w:hAnsi="Verdana"/>
          <w:b/>
          <w:bCs/>
          <w:color w:val="92400E"/>
          <w:sz w:val="22"/>
          <w:szCs w:val="22"/>
        </w:rPr>
        <w:t xml:space="preserve">O</w:t>
      </w:r>
    </w:p>
    <w:p>
      <w:pPr>
        <w:tabs>
          <w:tab w:val="right" w:pos="9638" w:leader="dot"/>
        </w:tabs>
        <w:spacing w:after="20"/>
        <w:ind w:left="200" w:right="0"/>
      </w:pPr>
      <w:r>
        <w:rPr>
          <w:rFonts w:ascii="Verdana" w:cs="Verdana" w:eastAsia="Verdana" w:hAnsi="Verdana"/>
          <w:sz w:val="19"/>
          <w:szCs w:val="19"/>
        </w:rPr>
        <w:t xml:space="preserve">Old tax regime</w:t>
      </w:r>
      <w:r>
        <w:rPr>
          <w:rFonts w:ascii="Verdana" w:cs="Verdana" w:eastAsia="Verdana" w:hAnsi="Verdana"/>
          <w:sz w:val="19"/>
          <w:szCs w:val="19"/>
        </w:rPr>
        <w:t xml:space="preserve">	27, 84-85, 89, 91, 179, 192</w:t>
      </w:r>
    </w:p>
    <w:p>
      <w:pPr>
        <w:keepNext/>
        <w:spacing w:after="40" w:before="160"/>
      </w:pPr>
      <w:r>
        <w:rPr>
          <w:rFonts w:ascii="Verdana" w:cs="Verdana" w:eastAsia="Verdana" w:hAnsi="Verdana"/>
          <w:b/>
          <w:bCs/>
          <w:color w:val="92400E"/>
          <w:sz w:val="22"/>
          <w:szCs w:val="22"/>
        </w:rPr>
        <w:t xml:space="preserve">P</w:t>
      </w:r>
    </w:p>
    <w:p>
      <w:pPr>
        <w:tabs>
          <w:tab w:val="right" w:pos="9638" w:leader="dot"/>
        </w:tabs>
        <w:spacing w:after="20"/>
        <w:ind w:left="200" w:right="0"/>
      </w:pPr>
      <w:r>
        <w:rPr>
          <w:rFonts w:ascii="Verdana" w:cs="Verdana" w:eastAsia="Verdana" w:hAnsi="Verdana"/>
          <w:sz w:val="19"/>
          <w:szCs w:val="19"/>
        </w:rPr>
        <w:t xml:space="preserve">Partial integration</w:t>
      </w:r>
      <w:r>
        <w:rPr>
          <w:rFonts w:ascii="Verdana" w:cs="Verdana" w:eastAsia="Verdana" w:hAnsi="Verdana"/>
          <w:sz w:val="19"/>
          <w:szCs w:val="19"/>
        </w:rPr>
        <w:t xml:space="preserve">	26-28</w:t>
      </w:r>
    </w:p>
    <w:p>
      <w:pPr>
        <w:tabs>
          <w:tab w:val="right" w:pos="9638" w:leader="dot"/>
        </w:tabs>
        <w:spacing w:after="20"/>
        <w:ind w:left="200" w:right="0"/>
      </w:pPr>
      <w:r>
        <w:rPr>
          <w:rFonts w:ascii="Verdana" w:cs="Verdana" w:eastAsia="Verdana" w:hAnsi="Verdana"/>
          <w:sz w:val="19"/>
          <w:szCs w:val="19"/>
        </w:rPr>
        <w:t xml:space="preserve">Partner remuneration and interest</w:t>
      </w:r>
      <w:r>
        <w:rPr>
          <w:rFonts w:ascii="Verdana" w:cs="Verdana" w:eastAsia="Verdana" w:hAnsi="Verdana"/>
          <w:sz w:val="19"/>
          <w:szCs w:val="19"/>
        </w:rPr>
        <w:t xml:space="preserve">	44-45, 51, 88, 95-96, 183</w:t>
      </w:r>
    </w:p>
    <w:p>
      <w:pPr>
        <w:tabs>
          <w:tab w:val="right" w:pos="9638" w:leader="dot"/>
        </w:tabs>
        <w:spacing w:after="20"/>
        <w:ind w:left="200" w:right="0"/>
      </w:pPr>
      <w:r>
        <w:rPr>
          <w:rFonts w:ascii="Verdana" w:cs="Verdana" w:eastAsia="Verdana" w:hAnsi="Verdana"/>
          <w:sz w:val="19"/>
          <w:szCs w:val="19"/>
        </w:rPr>
        <w:t xml:space="preserve">Penalties</w:t>
      </w:r>
      <w:r>
        <w:rPr>
          <w:rFonts w:ascii="Verdana" w:cs="Verdana" w:eastAsia="Verdana" w:hAnsi="Verdana"/>
          <w:sz w:val="19"/>
          <w:szCs w:val="19"/>
        </w:rPr>
        <w:t xml:space="preserve">	44, 105, 113, 132, 162, 175-176</w:t>
      </w:r>
    </w:p>
    <w:p>
      <w:pPr>
        <w:tabs>
          <w:tab w:val="right" w:pos="9638" w:leader="dot"/>
        </w:tabs>
        <w:spacing w:after="20"/>
        <w:ind w:left="200" w:right="0"/>
      </w:pPr>
      <w:r>
        <w:rPr>
          <w:rFonts w:ascii="Verdana" w:cs="Verdana" w:eastAsia="Verdana" w:hAnsi="Verdana"/>
          <w:sz w:val="19"/>
          <w:szCs w:val="19"/>
        </w:rPr>
        <w:t xml:space="preserve">Permanent establishment</w:t>
      </w:r>
      <w:r>
        <w:rPr>
          <w:rFonts w:ascii="Verdana" w:cs="Verdana" w:eastAsia="Verdana" w:hAnsi="Verdana"/>
          <w:sz w:val="19"/>
          <w:szCs w:val="19"/>
        </w:rPr>
        <w:t xml:space="preserve">	125-131</w:t>
      </w:r>
    </w:p>
    <w:p>
      <w:pPr>
        <w:tabs>
          <w:tab w:val="right" w:pos="9638" w:leader="dot"/>
        </w:tabs>
        <w:spacing w:after="20"/>
        <w:ind w:left="200" w:right="0"/>
      </w:pPr>
      <w:r>
        <w:rPr>
          <w:rFonts w:ascii="Verdana" w:cs="Verdana" w:eastAsia="Verdana" w:hAnsi="Verdana"/>
          <w:sz w:val="19"/>
          <w:szCs w:val="19"/>
        </w:rPr>
        <w:t xml:space="preserve">Perquisites</w:t>
      </w:r>
      <w:r>
        <w:rPr>
          <w:rFonts w:ascii="Verdana" w:cs="Verdana" w:eastAsia="Verdana" w:hAnsi="Verdana"/>
          <w:sz w:val="19"/>
          <w:szCs w:val="19"/>
        </w:rPr>
        <w:t xml:space="preserve">	29-30, 32-33, 36-37, 153</w:t>
      </w:r>
    </w:p>
    <w:p>
      <w:pPr>
        <w:tabs>
          <w:tab w:val="right" w:pos="9638" w:leader="dot"/>
        </w:tabs>
        <w:spacing w:after="20"/>
        <w:ind w:left="200" w:right="0"/>
      </w:pPr>
      <w:r>
        <w:rPr>
          <w:rFonts w:ascii="Verdana" w:cs="Verdana" w:eastAsia="Verdana" w:hAnsi="Verdana"/>
          <w:sz w:val="19"/>
          <w:szCs w:val="19"/>
        </w:rPr>
        <w:t xml:space="preserve">Place of effective management (POEM)</w:t>
      </w:r>
      <w:r>
        <w:rPr>
          <w:rFonts w:ascii="Verdana" w:cs="Verdana" w:eastAsia="Verdana" w:hAnsi="Verdana"/>
          <w:sz w:val="19"/>
          <w:szCs w:val="19"/>
        </w:rPr>
        <w:t xml:space="preserve">	20-22, 128</w:t>
      </w:r>
    </w:p>
    <w:p>
      <w:pPr>
        <w:tabs>
          <w:tab w:val="right" w:pos="9638" w:leader="dot"/>
        </w:tabs>
        <w:spacing w:after="20"/>
        <w:ind w:left="200" w:right="0"/>
      </w:pPr>
      <w:r>
        <w:rPr>
          <w:rFonts w:ascii="Verdana" w:cs="Verdana" w:eastAsia="Verdana" w:hAnsi="Verdana"/>
          <w:sz w:val="19"/>
          <w:szCs w:val="19"/>
        </w:rPr>
        <w:t xml:space="preserve">Pre-construction interest</w:t>
      </w:r>
      <w:r>
        <w:rPr>
          <w:rFonts w:ascii="Verdana" w:cs="Verdana" w:eastAsia="Verdana" w:hAnsi="Verdana"/>
          <w:sz w:val="19"/>
          <w:szCs w:val="19"/>
        </w:rPr>
        <w:t xml:space="preserve">	38, 40-41</w:t>
      </w:r>
    </w:p>
    <w:p>
      <w:pPr>
        <w:tabs>
          <w:tab w:val="right" w:pos="9638" w:leader="dot"/>
        </w:tabs>
        <w:spacing w:after="20"/>
        <w:ind w:left="200" w:right="0"/>
      </w:pPr>
      <w:r>
        <w:rPr>
          <w:rFonts w:ascii="Verdana" w:cs="Verdana" w:eastAsia="Verdana" w:hAnsi="Verdana"/>
          <w:sz w:val="19"/>
          <w:szCs w:val="19"/>
        </w:rPr>
        <w:t xml:space="preserve">Presumptive taxation (section 58)</w:t>
      </w:r>
      <w:r>
        <w:rPr>
          <w:rFonts w:ascii="Verdana" w:cs="Verdana" w:eastAsia="Verdana" w:hAnsi="Verdana"/>
          <w:sz w:val="19"/>
          <w:szCs w:val="19"/>
        </w:rPr>
        <w:t xml:space="preserve">	10, 48-49, 53, 55, 126, 193</w:t>
      </w:r>
    </w:p>
    <w:p>
      <w:pPr>
        <w:tabs>
          <w:tab w:val="right" w:pos="9638" w:leader="dot"/>
        </w:tabs>
        <w:spacing w:after="20"/>
        <w:ind w:left="200" w:right="0"/>
      </w:pPr>
      <w:r>
        <w:rPr>
          <w:rFonts w:ascii="Verdana" w:cs="Verdana" w:eastAsia="Verdana" w:hAnsi="Verdana"/>
          <w:sz w:val="19"/>
          <w:szCs w:val="19"/>
        </w:rPr>
        <w:t xml:space="preserve">Principal Purpose Test</w:t>
      </w:r>
      <w:r>
        <w:rPr>
          <w:rFonts w:ascii="Verdana" w:cs="Verdana" w:eastAsia="Verdana" w:hAnsi="Verdana"/>
          <w:sz w:val="19"/>
          <w:szCs w:val="19"/>
        </w:rPr>
        <w:t xml:space="preserve">	14, 126, 130, 132, 143-144</w:t>
      </w:r>
    </w:p>
    <w:p>
      <w:pPr>
        <w:tabs>
          <w:tab w:val="right" w:pos="9638" w:leader="dot"/>
        </w:tabs>
        <w:spacing w:after="20"/>
        <w:ind w:left="200" w:right="0"/>
      </w:pPr>
      <w:r>
        <w:rPr>
          <w:rFonts w:ascii="Verdana" w:cs="Verdana" w:eastAsia="Verdana" w:hAnsi="Verdana"/>
          <w:sz w:val="19"/>
          <w:szCs w:val="19"/>
        </w:rPr>
        <w:t xml:space="preserve">Professional fees, TDS</w:t>
      </w:r>
      <w:r>
        <w:rPr>
          <w:rFonts w:ascii="Verdana" w:cs="Verdana" w:eastAsia="Verdana" w:hAnsi="Verdana"/>
          <w:sz w:val="19"/>
          <w:szCs w:val="19"/>
        </w:rPr>
        <w:t xml:space="preserve">	44, 110, 145-146, 148, 194</w:t>
      </w:r>
    </w:p>
    <w:p>
      <w:pPr>
        <w:tabs>
          <w:tab w:val="right" w:pos="9638" w:leader="dot"/>
        </w:tabs>
        <w:spacing w:after="20"/>
        <w:ind w:left="200" w:right="0"/>
      </w:pPr>
      <w:r>
        <w:rPr>
          <w:rFonts w:ascii="Verdana" w:cs="Verdana" w:eastAsia="Verdana" w:hAnsi="Verdana"/>
          <w:sz w:val="19"/>
          <w:szCs w:val="19"/>
        </w:rPr>
        <w:t xml:space="preserve">Prosecution and compounding</w:t>
      </w:r>
      <w:r>
        <w:rPr>
          <w:rFonts w:ascii="Verdana" w:cs="Verdana" w:eastAsia="Verdana" w:hAnsi="Verdana"/>
          <w:sz w:val="19"/>
          <w:szCs w:val="19"/>
        </w:rPr>
        <w:t xml:space="preserve">	145, 150, 152, 176-177</w:t>
      </w:r>
    </w:p>
    <w:p>
      <w:pPr>
        <w:tabs>
          <w:tab w:val="right" w:pos="9638" w:leader="dot"/>
        </w:tabs>
        <w:spacing w:after="20"/>
        <w:ind w:left="200" w:right="0"/>
      </w:pPr>
      <w:r>
        <w:rPr>
          <w:rFonts w:ascii="Verdana" w:cs="Verdana" w:eastAsia="Verdana" w:hAnsi="Verdana"/>
          <w:sz w:val="19"/>
          <w:szCs w:val="19"/>
        </w:rPr>
        <w:t xml:space="preserve">Provident fund</w:t>
      </w:r>
      <w:r>
        <w:rPr>
          <w:rFonts w:ascii="Verdana" w:cs="Verdana" w:eastAsia="Verdana" w:hAnsi="Verdana"/>
          <w:sz w:val="19"/>
          <w:szCs w:val="19"/>
        </w:rPr>
        <w:t xml:space="preserve">	23, 26, 33, 35, 43-44, 52</w:t>
      </w:r>
    </w:p>
    <w:p>
      <w:pPr>
        <w:keepNext/>
        <w:spacing w:after="40" w:before="160"/>
      </w:pPr>
      <w:r>
        <w:rPr>
          <w:rFonts w:ascii="Verdana" w:cs="Verdana" w:eastAsia="Verdana" w:hAnsi="Verdana"/>
          <w:b/>
          <w:bCs/>
          <w:color w:val="92400E"/>
          <w:sz w:val="22"/>
          <w:szCs w:val="22"/>
        </w:rPr>
        <w:t xml:space="preserve">R</w:t>
      </w:r>
    </w:p>
    <w:p>
      <w:pPr>
        <w:tabs>
          <w:tab w:val="right" w:pos="9638" w:leader="dot"/>
        </w:tabs>
        <w:spacing w:after="20"/>
        <w:ind w:left="200" w:right="0"/>
      </w:pPr>
      <w:r>
        <w:rPr>
          <w:rFonts w:ascii="Verdana" w:cs="Verdana" w:eastAsia="Verdana" w:hAnsi="Verdana"/>
          <w:sz w:val="19"/>
          <w:szCs w:val="19"/>
        </w:rPr>
        <w:t xml:space="preserve">Reassessment</w:t>
      </w:r>
      <w:r>
        <w:rPr>
          <w:rFonts w:ascii="Verdana" w:cs="Verdana" w:eastAsia="Verdana" w:hAnsi="Verdana"/>
          <w:sz w:val="19"/>
          <w:szCs w:val="19"/>
        </w:rPr>
        <w:t xml:space="preserve">	11-12, 119-120, 166, 168-169</w:t>
      </w:r>
    </w:p>
    <w:p>
      <w:pPr>
        <w:tabs>
          <w:tab w:val="right" w:pos="9638" w:leader="dot"/>
        </w:tabs>
        <w:spacing w:after="20"/>
        <w:ind w:left="200" w:right="0"/>
      </w:pPr>
      <w:r>
        <w:rPr>
          <w:rFonts w:ascii="Verdana" w:cs="Verdana" w:eastAsia="Verdana" w:hAnsi="Verdana"/>
          <w:sz w:val="19"/>
          <w:szCs w:val="19"/>
        </w:rPr>
        <w:t xml:space="preserve">Rebate (section 156)</w:t>
      </w:r>
      <w:r>
        <w:rPr>
          <w:rFonts w:ascii="Verdana" w:cs="Verdana" w:eastAsia="Verdana" w:hAnsi="Verdana"/>
          <w:sz w:val="19"/>
          <w:szCs w:val="19"/>
        </w:rPr>
        <w:t xml:space="preserve">	36, 84, 86, 89, 94, 134, 184</w:t>
      </w:r>
    </w:p>
    <w:p>
      <w:pPr>
        <w:tabs>
          <w:tab w:val="right" w:pos="9638" w:leader="dot"/>
        </w:tabs>
        <w:spacing w:after="20"/>
        <w:ind w:left="200" w:right="0"/>
      </w:pPr>
      <w:r>
        <w:rPr>
          <w:rFonts w:ascii="Verdana" w:cs="Verdana" w:eastAsia="Verdana" w:hAnsi="Verdana"/>
          <w:sz w:val="19"/>
          <w:szCs w:val="19"/>
        </w:rPr>
        <w:t xml:space="preserve">Rectification</w:t>
      </w:r>
      <w:r>
        <w:rPr>
          <w:rFonts w:ascii="Verdana" w:cs="Verdana" w:eastAsia="Verdana" w:hAnsi="Verdana"/>
          <w:sz w:val="19"/>
          <w:szCs w:val="19"/>
        </w:rPr>
        <w:t xml:space="preserve">	162, 164, 168-169, 172</w:t>
      </w:r>
    </w:p>
    <w:p>
      <w:pPr>
        <w:tabs>
          <w:tab w:val="right" w:pos="9638" w:leader="dot"/>
        </w:tabs>
        <w:spacing w:after="20"/>
        <w:ind w:left="200" w:right="0"/>
      </w:pPr>
      <w:r>
        <w:rPr>
          <w:rFonts w:ascii="Verdana" w:cs="Verdana" w:eastAsia="Verdana" w:hAnsi="Verdana"/>
          <w:sz w:val="19"/>
          <w:szCs w:val="19"/>
        </w:rPr>
        <w:t xml:space="preserve">Refunds and interest on refunds</w:t>
      </w:r>
      <w:r>
        <w:rPr>
          <w:rFonts w:ascii="Verdana" w:cs="Verdana" w:eastAsia="Verdana" w:hAnsi="Verdana"/>
          <w:sz w:val="19"/>
          <w:szCs w:val="19"/>
        </w:rPr>
        <w:t xml:space="preserve">	12, 43, 155, 162, 164, 174, 189</w:t>
      </w:r>
    </w:p>
    <w:p>
      <w:pPr>
        <w:tabs>
          <w:tab w:val="right" w:pos="9638" w:leader="dot"/>
        </w:tabs>
        <w:spacing w:after="20"/>
        <w:ind w:left="200" w:right="0"/>
      </w:pPr>
      <w:r>
        <w:rPr>
          <w:rFonts w:ascii="Verdana" w:cs="Verdana" w:eastAsia="Verdana" w:hAnsi="Verdana"/>
          <w:sz w:val="19"/>
          <w:szCs w:val="19"/>
        </w:rPr>
        <w:t xml:space="preserve">Reinvestment exemptions (sections 82 to 86)</w:t>
      </w:r>
      <w:r>
        <w:rPr>
          <w:rFonts w:ascii="Verdana" w:cs="Verdana" w:eastAsia="Verdana" w:hAnsi="Verdana"/>
          <w:sz w:val="19"/>
          <w:szCs w:val="19"/>
        </w:rPr>
        <w:t xml:space="preserve">	58, 62-64, 73, 184-185</w:t>
      </w:r>
    </w:p>
    <w:p>
      <w:pPr>
        <w:tabs>
          <w:tab w:val="right" w:pos="9638" w:leader="dot"/>
        </w:tabs>
        <w:spacing w:after="20"/>
        <w:ind w:left="200" w:right="0"/>
      </w:pPr>
      <w:r>
        <w:rPr>
          <w:rFonts w:ascii="Verdana" w:cs="Verdana" w:eastAsia="Verdana" w:hAnsi="Verdana"/>
          <w:sz w:val="19"/>
          <w:szCs w:val="19"/>
        </w:rPr>
        <w:t xml:space="preserve">Related party payments (section 36)</w:t>
      </w:r>
      <w:r>
        <w:rPr>
          <w:rFonts w:ascii="Verdana" w:cs="Verdana" w:eastAsia="Verdana" w:hAnsi="Verdana"/>
          <w:sz w:val="19"/>
          <w:szCs w:val="19"/>
        </w:rPr>
        <w:t xml:space="preserve">	42, 45, 51, 53, 110, 135, 160</w:t>
      </w:r>
    </w:p>
    <w:p>
      <w:pPr>
        <w:tabs>
          <w:tab w:val="right" w:pos="9638" w:leader="dot"/>
        </w:tabs>
        <w:spacing w:after="20"/>
        <w:ind w:left="200" w:right="0"/>
      </w:pPr>
      <w:r>
        <w:rPr>
          <w:rFonts w:ascii="Verdana" w:cs="Verdana" w:eastAsia="Verdana" w:hAnsi="Verdana"/>
          <w:sz w:val="19"/>
          <w:szCs w:val="19"/>
        </w:rPr>
        <w:t xml:space="preserve">Rent, TDS on</w:t>
      </w:r>
      <w:r>
        <w:rPr>
          <w:rFonts w:ascii="Verdana" w:cs="Verdana" w:eastAsia="Verdana" w:hAnsi="Verdana"/>
          <w:sz w:val="19"/>
          <w:szCs w:val="19"/>
        </w:rPr>
        <w:t xml:space="preserve">	10, 145, 149, 181</w:t>
      </w:r>
    </w:p>
    <w:p>
      <w:pPr>
        <w:tabs>
          <w:tab w:val="right" w:pos="9638" w:leader="dot"/>
        </w:tabs>
        <w:spacing w:after="20"/>
        <w:ind w:left="200" w:right="0"/>
      </w:pPr>
      <w:r>
        <w:rPr>
          <w:rFonts w:ascii="Verdana" w:cs="Verdana" w:eastAsia="Verdana" w:hAnsi="Verdana"/>
          <w:sz w:val="19"/>
          <w:szCs w:val="19"/>
        </w:rPr>
        <w:t xml:space="preserve">Residential status</w:t>
      </w:r>
      <w:r>
        <w:rPr>
          <w:rFonts w:ascii="Verdana" w:cs="Verdana" w:eastAsia="Verdana" w:hAnsi="Verdana"/>
          <w:sz w:val="19"/>
          <w:szCs w:val="19"/>
        </w:rPr>
        <w:t xml:space="preserve">	19-22, 119, 133, 189</w:t>
      </w:r>
    </w:p>
    <w:p>
      <w:pPr>
        <w:tabs>
          <w:tab w:val="right" w:pos="9638" w:leader="dot"/>
        </w:tabs>
        <w:spacing w:after="20"/>
        <w:ind w:left="200" w:right="0"/>
      </w:pPr>
      <w:r>
        <w:rPr>
          <w:rFonts w:ascii="Verdana" w:cs="Verdana" w:eastAsia="Verdana" w:hAnsi="Verdana"/>
          <w:sz w:val="19"/>
          <w:szCs w:val="19"/>
        </w:rPr>
        <w:t xml:space="preserve">Retirement benefits</w:t>
      </w:r>
      <w:r>
        <w:rPr>
          <w:rFonts w:ascii="Verdana" w:cs="Verdana" w:eastAsia="Verdana" w:hAnsi="Verdana"/>
          <w:sz w:val="19"/>
          <w:szCs w:val="19"/>
        </w:rPr>
        <w:t xml:space="preserve">	26, 32-35, 91, 196</w:t>
      </w:r>
    </w:p>
    <w:p>
      <w:pPr>
        <w:tabs>
          <w:tab w:val="right" w:pos="9638" w:leader="dot"/>
        </w:tabs>
        <w:spacing w:after="20"/>
        <w:ind w:left="200" w:right="0"/>
      </w:pPr>
      <w:r>
        <w:rPr>
          <w:rFonts w:ascii="Verdana" w:cs="Verdana" w:eastAsia="Verdana" w:hAnsi="Verdana"/>
          <w:sz w:val="19"/>
          <w:szCs w:val="19"/>
        </w:rPr>
        <w:t xml:space="preserve">Returns of income</w:t>
      </w:r>
      <w:r>
        <w:rPr>
          <w:rFonts w:ascii="Verdana" w:cs="Verdana" w:eastAsia="Verdana" w:hAnsi="Verdana"/>
          <w:sz w:val="19"/>
          <w:szCs w:val="19"/>
        </w:rPr>
        <w:t xml:space="preserve">	72, 93, 98, 100, 157-158, 193</w:t>
      </w:r>
    </w:p>
    <w:p>
      <w:pPr>
        <w:tabs>
          <w:tab w:val="right" w:pos="9638" w:leader="dot"/>
        </w:tabs>
        <w:spacing w:after="20"/>
        <w:ind w:left="200" w:right="0"/>
      </w:pPr>
      <w:r>
        <w:rPr>
          <w:rFonts w:ascii="Verdana" w:cs="Verdana" w:eastAsia="Verdana" w:hAnsi="Verdana"/>
          <w:sz w:val="19"/>
          <w:szCs w:val="19"/>
        </w:rPr>
        <w:t xml:space="preserve">Revised, belated and updated returns</w:t>
      </w:r>
      <w:r>
        <w:rPr>
          <w:rFonts w:ascii="Verdana" w:cs="Verdana" w:eastAsia="Verdana" w:hAnsi="Verdana"/>
          <w:sz w:val="19"/>
          <w:szCs w:val="19"/>
        </w:rPr>
        <w:t xml:space="preserve">	11, 157-159</w:t>
      </w:r>
    </w:p>
    <w:p>
      <w:pPr>
        <w:tabs>
          <w:tab w:val="right" w:pos="9638" w:leader="dot"/>
        </w:tabs>
        <w:spacing w:after="20"/>
        <w:ind w:left="200" w:right="0"/>
      </w:pPr>
      <w:r>
        <w:rPr>
          <w:rFonts w:ascii="Verdana" w:cs="Verdana" w:eastAsia="Verdana" w:hAnsi="Verdana"/>
          <w:sz w:val="19"/>
          <w:szCs w:val="19"/>
        </w:rPr>
        <w:t xml:space="preserve">RNOR (resident but not ordinarily resident)</w:t>
      </w:r>
      <w:r>
        <w:rPr>
          <w:rFonts w:ascii="Verdana" w:cs="Verdana" w:eastAsia="Verdana" w:hAnsi="Verdana"/>
          <w:sz w:val="19"/>
          <w:szCs w:val="19"/>
        </w:rPr>
        <w:t xml:space="preserve">	19-23, 132, 196</w:t>
      </w:r>
    </w:p>
    <w:p>
      <w:pPr>
        <w:keepNext/>
        <w:spacing w:after="40" w:before="160"/>
      </w:pPr>
      <w:r>
        <w:rPr>
          <w:rFonts w:ascii="Verdana" w:cs="Verdana" w:eastAsia="Verdana" w:hAnsi="Verdana"/>
          <w:b/>
          <w:bCs/>
          <w:color w:val="92400E"/>
          <w:sz w:val="22"/>
          <w:szCs w:val="22"/>
        </w:rPr>
        <w:t xml:space="preserve">S</w:t>
      </w:r>
    </w:p>
    <w:p>
      <w:pPr>
        <w:tabs>
          <w:tab w:val="right" w:pos="9638" w:leader="dot"/>
        </w:tabs>
        <w:spacing w:after="20"/>
        <w:ind w:left="200" w:right="0"/>
      </w:pPr>
      <w:r>
        <w:rPr>
          <w:rFonts w:ascii="Verdana" w:cs="Verdana" w:eastAsia="Verdana" w:hAnsi="Verdana"/>
          <w:sz w:val="19"/>
          <w:szCs w:val="19"/>
        </w:rPr>
        <w:t xml:space="preserve">Safe harbour</w:t>
      </w:r>
      <w:r>
        <w:rPr>
          <w:rFonts w:ascii="Verdana" w:cs="Verdana" w:eastAsia="Verdana" w:hAnsi="Verdana"/>
          <w:sz w:val="19"/>
          <w:szCs w:val="19"/>
        </w:rPr>
        <w:t xml:space="preserve">	11, 111-112, 135-136, 139, 141</w:t>
      </w:r>
    </w:p>
    <w:p>
      <w:pPr>
        <w:tabs>
          <w:tab w:val="right" w:pos="9638" w:leader="dot"/>
        </w:tabs>
        <w:spacing w:after="20"/>
        <w:ind w:left="200" w:right="0"/>
      </w:pPr>
      <w:r>
        <w:rPr>
          <w:rFonts w:ascii="Verdana" w:cs="Verdana" w:eastAsia="Verdana" w:hAnsi="Verdana"/>
          <w:sz w:val="19"/>
          <w:szCs w:val="19"/>
        </w:rPr>
        <w:t xml:space="preserve">Salaries</w:t>
      </w:r>
      <w:r>
        <w:rPr>
          <w:rFonts w:ascii="Verdana" w:cs="Verdana" w:eastAsia="Verdana" w:hAnsi="Verdana"/>
          <w:sz w:val="19"/>
          <w:szCs w:val="19"/>
        </w:rPr>
        <w:t xml:space="preserve">	24, 29, 31, 35-36, 153, 186</w:t>
      </w:r>
    </w:p>
    <w:p>
      <w:pPr>
        <w:tabs>
          <w:tab w:val="right" w:pos="9638" w:leader="dot"/>
        </w:tabs>
        <w:spacing w:after="20"/>
        <w:ind w:left="200" w:right="0"/>
      </w:pPr>
      <w:r>
        <w:rPr>
          <w:rFonts w:ascii="Verdana" w:cs="Verdana" w:eastAsia="Verdana" w:hAnsi="Verdana"/>
          <w:sz w:val="19"/>
          <w:szCs w:val="19"/>
        </w:rPr>
        <w:t xml:space="preserve">Search and seizure</w:t>
      </w:r>
      <w:r>
        <w:rPr>
          <w:rFonts w:ascii="Verdana" w:cs="Verdana" w:eastAsia="Verdana" w:hAnsi="Verdana"/>
          <w:sz w:val="19"/>
          <w:szCs w:val="19"/>
        </w:rPr>
        <w:t xml:space="preserve">	120, 138-139, 145, 158, 170-171</w:t>
      </w:r>
    </w:p>
    <w:p>
      <w:pPr>
        <w:tabs>
          <w:tab w:val="right" w:pos="9638" w:leader="dot"/>
        </w:tabs>
        <w:spacing w:after="20"/>
        <w:ind w:left="200" w:right="0"/>
      </w:pPr>
      <w:r>
        <w:rPr>
          <w:rFonts w:ascii="Verdana" w:cs="Verdana" w:eastAsia="Verdana" w:hAnsi="Verdana"/>
          <w:sz w:val="19"/>
          <w:szCs w:val="19"/>
        </w:rPr>
        <w:t xml:space="preserve">Secondary adjustment</w:t>
      </w:r>
      <w:r>
        <w:rPr>
          <w:rFonts w:ascii="Verdana" w:cs="Verdana" w:eastAsia="Verdana" w:hAnsi="Verdana"/>
          <w:sz w:val="19"/>
          <w:szCs w:val="19"/>
        </w:rPr>
        <w:t xml:space="preserve">	120, 135-136, 138-139, 141, 191</w:t>
      </w:r>
    </w:p>
    <w:p>
      <w:pPr>
        <w:tabs>
          <w:tab w:val="right" w:pos="9638" w:leader="dot"/>
        </w:tabs>
        <w:spacing w:after="20"/>
        <w:ind w:left="200" w:right="0"/>
      </w:pPr>
      <w:r>
        <w:rPr>
          <w:rFonts w:ascii="Verdana" w:cs="Verdana" w:eastAsia="Verdana" w:hAnsi="Verdana"/>
          <w:sz w:val="19"/>
          <w:szCs w:val="19"/>
        </w:rPr>
        <w:t xml:space="preserve">Section 119 (change in shareholding)</w:t>
      </w:r>
      <w:r>
        <w:rPr>
          <w:rFonts w:ascii="Verdana" w:cs="Verdana" w:eastAsia="Verdana" w:hAnsi="Verdana"/>
          <w:sz w:val="19"/>
          <w:szCs w:val="19"/>
        </w:rPr>
        <w:t xml:space="preserve">	54, 77, 106, 108-110, 187</w:t>
      </w:r>
    </w:p>
    <w:p>
      <w:pPr>
        <w:tabs>
          <w:tab w:val="right" w:pos="9638" w:leader="dot"/>
        </w:tabs>
        <w:spacing w:after="20"/>
        <w:ind w:left="200" w:right="0"/>
      </w:pPr>
      <w:r>
        <w:rPr>
          <w:rFonts w:ascii="Verdana" w:cs="Verdana" w:eastAsia="Verdana" w:hAnsi="Verdana"/>
          <w:sz w:val="19"/>
          <w:szCs w:val="19"/>
        </w:rPr>
        <w:t xml:space="preserve">Section 123 deductions</w:t>
      </w:r>
      <w:r>
        <w:rPr>
          <w:rFonts w:ascii="Verdana" w:cs="Verdana" w:eastAsia="Verdana" w:hAnsi="Verdana"/>
          <w:sz w:val="19"/>
          <w:szCs w:val="19"/>
        </w:rPr>
        <w:t xml:space="preserve">	10-12, 14, 30, 80, 91</w:t>
      </w:r>
    </w:p>
    <w:p>
      <w:pPr>
        <w:tabs>
          <w:tab w:val="right" w:pos="9638" w:leader="dot"/>
        </w:tabs>
        <w:spacing w:after="20"/>
        <w:ind w:left="200" w:right="0"/>
      </w:pPr>
      <w:r>
        <w:rPr>
          <w:rFonts w:ascii="Verdana" w:cs="Verdana" w:eastAsia="Verdana" w:hAnsi="Verdana"/>
          <w:sz w:val="19"/>
          <w:szCs w:val="19"/>
        </w:rPr>
        <w:t xml:space="preserve">Section 14 disallowance</w:t>
      </w:r>
      <w:r>
        <w:rPr>
          <w:rFonts w:ascii="Verdana" w:cs="Verdana" w:eastAsia="Verdana" w:hAnsi="Verdana"/>
          <w:sz w:val="19"/>
          <w:szCs w:val="19"/>
        </w:rPr>
        <w:t xml:space="preserve">	26-28</w:t>
      </w:r>
    </w:p>
    <w:p>
      <w:pPr>
        <w:tabs>
          <w:tab w:val="right" w:pos="9638" w:leader="dot"/>
        </w:tabs>
        <w:spacing w:after="20"/>
        <w:ind w:left="200" w:right="0"/>
      </w:pPr>
      <w:r>
        <w:rPr>
          <w:rFonts w:ascii="Verdana" w:cs="Verdana" w:eastAsia="Verdana" w:hAnsi="Verdana"/>
          <w:sz w:val="19"/>
          <w:szCs w:val="19"/>
        </w:rPr>
        <w:t xml:space="preserve">Senior citizens</w:t>
      </w:r>
      <w:r>
        <w:rPr>
          <w:rFonts w:ascii="Verdana" w:cs="Verdana" w:eastAsia="Verdana" w:hAnsi="Verdana"/>
          <w:sz w:val="19"/>
          <w:szCs w:val="19"/>
        </w:rPr>
        <w:t xml:space="preserve">	70, 79-80, 86, 89, 146, 184</w:t>
      </w:r>
    </w:p>
    <w:p>
      <w:pPr>
        <w:tabs>
          <w:tab w:val="right" w:pos="9638" w:leader="dot"/>
        </w:tabs>
        <w:spacing w:after="20"/>
        <w:ind w:left="200" w:right="0"/>
      </w:pPr>
      <w:r>
        <w:rPr>
          <w:rFonts w:ascii="Verdana" w:cs="Verdana" w:eastAsia="Verdana" w:hAnsi="Verdana"/>
          <w:sz w:val="19"/>
          <w:szCs w:val="19"/>
        </w:rPr>
        <w:t xml:space="preserve">Significant economic presence</w:t>
      </w:r>
      <w:r>
        <w:rPr>
          <w:rFonts w:ascii="Verdana" w:cs="Verdana" w:eastAsia="Verdana" w:hAnsi="Verdana"/>
          <w:sz w:val="19"/>
          <w:szCs w:val="19"/>
        </w:rPr>
        <w:t xml:space="preserve">	23-24, 111, 125, 128</w:t>
      </w:r>
    </w:p>
    <w:p>
      <w:pPr>
        <w:tabs>
          <w:tab w:val="right" w:pos="9638" w:leader="dot"/>
        </w:tabs>
        <w:spacing w:after="20"/>
        <w:ind w:left="200" w:right="0"/>
      </w:pPr>
      <w:r>
        <w:rPr>
          <w:rFonts w:ascii="Verdana" w:cs="Verdana" w:eastAsia="Verdana" w:hAnsi="Verdana"/>
          <w:sz w:val="19"/>
          <w:szCs w:val="19"/>
        </w:rPr>
        <w:t xml:space="preserve">Slump sale</w:t>
      </w:r>
      <w:r>
        <w:rPr>
          <w:rFonts w:ascii="Verdana" w:cs="Verdana" w:eastAsia="Verdana" w:hAnsi="Verdana"/>
          <w:sz w:val="19"/>
          <w:szCs w:val="19"/>
        </w:rPr>
        <w:t xml:space="preserve">	57, 65, 116, 118, 121-122, 124</w:t>
      </w:r>
    </w:p>
    <w:p>
      <w:pPr>
        <w:tabs>
          <w:tab w:val="right" w:pos="9638" w:leader="dot"/>
        </w:tabs>
        <w:spacing w:after="20"/>
        <w:ind w:left="200" w:right="0"/>
      </w:pPr>
      <w:r>
        <w:rPr>
          <w:rFonts w:ascii="Verdana" w:cs="Verdana" w:eastAsia="Verdana" w:hAnsi="Verdana"/>
          <w:sz w:val="19"/>
          <w:szCs w:val="19"/>
        </w:rPr>
        <w:t xml:space="preserve">Software payments, royalty</w:t>
      </w:r>
      <w:r>
        <w:rPr>
          <w:rFonts w:ascii="Verdana" w:cs="Verdana" w:eastAsia="Verdana" w:hAnsi="Verdana"/>
          <w:sz w:val="19"/>
          <w:szCs w:val="19"/>
        </w:rPr>
        <w:t xml:space="preserve">	47, 50, 55, 111, 126, 129, 136</w:t>
      </w:r>
    </w:p>
    <w:p>
      <w:pPr>
        <w:tabs>
          <w:tab w:val="right" w:pos="9638" w:leader="dot"/>
        </w:tabs>
        <w:spacing w:after="20"/>
        <w:ind w:left="200" w:right="0"/>
      </w:pPr>
      <w:r>
        <w:rPr>
          <w:rFonts w:ascii="Verdana" w:cs="Verdana" w:eastAsia="Verdana" w:hAnsi="Verdana"/>
          <w:sz w:val="19"/>
          <w:szCs w:val="19"/>
        </w:rPr>
        <w:t xml:space="preserve">Specified domestic transactions</w:t>
      </w:r>
      <w:r>
        <w:rPr>
          <w:rFonts w:ascii="Verdana" w:cs="Verdana" w:eastAsia="Verdana" w:hAnsi="Verdana"/>
          <w:sz w:val="19"/>
          <w:szCs w:val="19"/>
        </w:rPr>
        <w:t xml:space="preserve">	110, 135, 175</w:t>
      </w:r>
    </w:p>
    <w:p>
      <w:pPr>
        <w:tabs>
          <w:tab w:val="right" w:pos="9638" w:leader="dot"/>
        </w:tabs>
        <w:spacing w:after="20"/>
        <w:ind w:left="200" w:right="0"/>
      </w:pPr>
      <w:r>
        <w:rPr>
          <w:rFonts w:ascii="Verdana" w:cs="Verdana" w:eastAsia="Verdana" w:hAnsi="Verdana"/>
          <w:sz w:val="19"/>
          <w:szCs w:val="19"/>
        </w:rPr>
        <w:t xml:space="preserve">Speculation business</w:t>
      </w:r>
      <w:r>
        <w:rPr>
          <w:rFonts w:ascii="Verdana" w:cs="Verdana" w:eastAsia="Verdana" w:hAnsi="Verdana"/>
          <w:sz w:val="19"/>
          <w:szCs w:val="19"/>
        </w:rPr>
        <w:t xml:space="preserve">	48, 55, 77-78, 186</w:t>
      </w:r>
    </w:p>
    <w:p>
      <w:pPr>
        <w:tabs>
          <w:tab w:val="right" w:pos="9638" w:leader="dot"/>
        </w:tabs>
        <w:spacing w:after="20"/>
        <w:ind w:left="200" w:right="0"/>
      </w:pPr>
      <w:r>
        <w:rPr>
          <w:rFonts w:ascii="Verdana" w:cs="Verdana" w:eastAsia="Verdana" w:hAnsi="Verdana"/>
          <w:sz w:val="19"/>
          <w:szCs w:val="19"/>
        </w:rPr>
        <w:t xml:space="preserve">Stamp duty value</w:t>
      </w:r>
      <w:r>
        <w:rPr>
          <w:rFonts w:ascii="Verdana" w:cs="Verdana" w:eastAsia="Verdana" w:hAnsi="Verdana"/>
          <w:sz w:val="19"/>
          <w:szCs w:val="19"/>
        </w:rPr>
        <w:t xml:space="preserve">	48, 58, 60, 64, 67, 72, 111</w:t>
      </w:r>
    </w:p>
    <w:p>
      <w:pPr>
        <w:tabs>
          <w:tab w:val="right" w:pos="9638" w:leader="dot"/>
        </w:tabs>
        <w:spacing w:after="20"/>
        <w:ind w:left="200" w:right="0"/>
      </w:pPr>
      <w:r>
        <w:rPr>
          <w:rFonts w:ascii="Verdana" w:cs="Verdana" w:eastAsia="Verdana" w:hAnsi="Verdana"/>
          <w:sz w:val="19"/>
          <w:szCs w:val="19"/>
        </w:rPr>
        <w:t xml:space="preserve">Standard deduction</w:t>
      </w:r>
      <w:r>
        <w:rPr>
          <w:rFonts w:ascii="Verdana" w:cs="Verdana" w:eastAsia="Verdana" w:hAnsi="Verdana"/>
          <w:sz w:val="19"/>
          <w:szCs w:val="19"/>
        </w:rPr>
        <w:t xml:space="preserve">	29-30, 37-38, 41, 85, 179</w:t>
      </w:r>
    </w:p>
    <w:p>
      <w:pPr>
        <w:tabs>
          <w:tab w:val="right" w:pos="9638" w:leader="dot"/>
        </w:tabs>
        <w:spacing w:after="20"/>
        <w:ind w:left="200" w:right="0"/>
      </w:pPr>
      <w:r>
        <w:rPr>
          <w:rFonts w:ascii="Verdana" w:cs="Verdana" w:eastAsia="Verdana" w:hAnsi="Verdana"/>
          <w:sz w:val="19"/>
          <w:szCs w:val="19"/>
        </w:rPr>
        <w:t xml:space="preserve">Start-ups</w:t>
      </w:r>
      <w:r>
        <w:rPr>
          <w:rFonts w:ascii="Verdana" w:cs="Verdana" w:eastAsia="Verdana" w:hAnsi="Verdana"/>
          <w:sz w:val="19"/>
          <w:szCs w:val="19"/>
        </w:rPr>
        <w:t xml:space="preserve">	79, 82, 106, 108-110, 187</w:t>
      </w:r>
    </w:p>
    <w:p>
      <w:pPr>
        <w:tabs>
          <w:tab w:val="right" w:pos="9638" w:leader="dot"/>
        </w:tabs>
        <w:spacing w:after="20"/>
        <w:ind w:left="200" w:right="0"/>
      </w:pPr>
      <w:r>
        <w:rPr>
          <w:rFonts w:ascii="Verdana" w:cs="Verdana" w:eastAsia="Verdana" w:hAnsi="Verdana"/>
          <w:sz w:val="19"/>
          <w:szCs w:val="19"/>
        </w:rPr>
        <w:t xml:space="preserve">Stay of demand</w:t>
      </w:r>
      <w:r>
        <w:rPr>
          <w:rFonts w:ascii="Verdana" w:cs="Verdana" w:eastAsia="Verdana" w:hAnsi="Verdana"/>
          <w:sz w:val="19"/>
          <w:szCs w:val="19"/>
        </w:rPr>
        <w:t xml:space="preserve">	172</w:t>
      </w:r>
    </w:p>
    <w:p>
      <w:pPr>
        <w:tabs>
          <w:tab w:val="right" w:pos="9638" w:leader="dot"/>
        </w:tabs>
        <w:spacing w:after="20"/>
        <w:ind w:left="200" w:right="0"/>
      </w:pPr>
      <w:r>
        <w:rPr>
          <w:rFonts w:ascii="Verdana" w:cs="Verdana" w:eastAsia="Verdana" w:hAnsi="Verdana"/>
          <w:sz w:val="19"/>
          <w:szCs w:val="19"/>
        </w:rPr>
        <w:t xml:space="preserve">Surcharge</w:t>
      </w:r>
      <w:r>
        <w:rPr>
          <w:rFonts w:ascii="Verdana" w:cs="Verdana" w:eastAsia="Verdana" w:hAnsi="Verdana"/>
          <w:sz w:val="19"/>
          <w:szCs w:val="19"/>
        </w:rPr>
        <w:t xml:space="preserve">	85, 99, 101, 104-105, 125, 133</w:t>
      </w:r>
    </w:p>
    <w:p>
      <w:pPr>
        <w:tabs>
          <w:tab w:val="right" w:pos="9638" w:leader="dot"/>
        </w:tabs>
        <w:spacing w:after="20"/>
        <w:ind w:left="200" w:right="0"/>
      </w:pPr>
      <w:r>
        <w:rPr>
          <w:rFonts w:ascii="Verdana" w:cs="Verdana" w:eastAsia="Verdana" w:hAnsi="Verdana"/>
          <w:sz w:val="19"/>
          <w:szCs w:val="19"/>
        </w:rPr>
        <w:t xml:space="preserve">Survey</w:t>
      </w:r>
      <w:r>
        <w:rPr>
          <w:rFonts w:ascii="Verdana" w:cs="Verdana" w:eastAsia="Verdana" w:hAnsi="Verdana"/>
          <w:sz w:val="19"/>
          <w:szCs w:val="19"/>
        </w:rPr>
        <w:t xml:space="preserve">	145, 158, 167-168, 170-171</w:t>
      </w:r>
    </w:p>
    <w:p>
      <w:pPr>
        <w:keepNext/>
        <w:spacing w:after="40" w:before="160"/>
      </w:pPr>
      <w:r>
        <w:rPr>
          <w:rFonts w:ascii="Verdana" w:cs="Verdana" w:eastAsia="Verdana" w:hAnsi="Verdana"/>
          <w:b/>
          <w:bCs/>
          <w:color w:val="92400E"/>
          <w:sz w:val="22"/>
          <w:szCs w:val="22"/>
        </w:rPr>
        <w:t xml:space="preserve">T</w:t>
      </w:r>
    </w:p>
    <w:p>
      <w:pPr>
        <w:tabs>
          <w:tab w:val="right" w:pos="9638" w:leader="dot"/>
        </w:tabs>
        <w:spacing w:after="20"/>
        <w:ind w:left="200" w:right="0"/>
      </w:pPr>
      <w:r>
        <w:rPr>
          <w:rFonts w:ascii="Verdana" w:cs="Verdana" w:eastAsia="Verdana" w:hAnsi="Verdana"/>
          <w:sz w:val="19"/>
          <w:szCs w:val="19"/>
        </w:rPr>
        <w:t xml:space="preserve">Tax audit (section 63)</w:t>
      </w:r>
      <w:r>
        <w:rPr>
          <w:rFonts w:ascii="Verdana" w:cs="Verdana" w:eastAsia="Verdana" w:hAnsi="Verdana"/>
          <w:sz w:val="19"/>
          <w:szCs w:val="19"/>
        </w:rPr>
        <w:t xml:space="preserve">	42, 49, 54, 109, 113, 160, 194</w:t>
      </w:r>
    </w:p>
    <w:p>
      <w:pPr>
        <w:tabs>
          <w:tab w:val="right" w:pos="9638" w:leader="dot"/>
        </w:tabs>
        <w:spacing w:after="20"/>
        <w:ind w:left="200" w:right="0"/>
      </w:pPr>
      <w:r>
        <w:rPr>
          <w:rFonts w:ascii="Verdana" w:cs="Verdana" w:eastAsia="Verdana" w:hAnsi="Verdana"/>
          <w:sz w:val="19"/>
          <w:szCs w:val="19"/>
        </w:rPr>
        <w:t xml:space="preserve">Tax planning</w:t>
      </w:r>
      <w:r>
        <w:rPr>
          <w:rFonts w:ascii="Verdana" w:cs="Verdana" w:eastAsia="Verdana" w:hAnsi="Verdana"/>
          <w:sz w:val="19"/>
          <w:szCs w:val="19"/>
        </w:rPr>
        <w:t xml:space="preserve">	13-15, 74, 87</w:t>
      </w:r>
    </w:p>
    <w:p>
      <w:pPr>
        <w:tabs>
          <w:tab w:val="right" w:pos="9638" w:leader="dot"/>
        </w:tabs>
        <w:spacing w:after="20"/>
        <w:ind w:left="200" w:right="0"/>
      </w:pPr>
      <w:r>
        <w:rPr>
          <w:rFonts w:ascii="Verdana" w:cs="Verdana" w:eastAsia="Verdana" w:hAnsi="Verdana"/>
          <w:sz w:val="19"/>
          <w:szCs w:val="19"/>
        </w:rPr>
        <w:t xml:space="preserve">Tax Year (section 3)</w:t>
      </w:r>
      <w:r>
        <w:rPr>
          <w:rFonts w:ascii="Verdana" w:cs="Verdana" w:eastAsia="Verdana" w:hAnsi="Verdana"/>
          <w:sz w:val="19"/>
          <w:szCs w:val="19"/>
        </w:rPr>
        <w:t xml:space="preserve">	10, 14, 17-18, 54, 131</w:t>
      </w:r>
    </w:p>
    <w:p>
      <w:pPr>
        <w:tabs>
          <w:tab w:val="right" w:pos="9638" w:leader="dot"/>
        </w:tabs>
        <w:spacing w:after="20"/>
        <w:ind w:left="200" w:right="0"/>
      </w:pPr>
      <w:r>
        <w:rPr>
          <w:rFonts w:ascii="Verdana" w:cs="Verdana" w:eastAsia="Verdana" w:hAnsi="Verdana"/>
          <w:sz w:val="19"/>
          <w:szCs w:val="19"/>
        </w:rPr>
        <w:t xml:space="preserve">TCS (section 394)</w:t>
      </w:r>
      <w:r>
        <w:rPr>
          <w:rFonts w:ascii="Verdana" w:cs="Verdana" w:eastAsia="Verdana" w:hAnsi="Verdana"/>
          <w:sz w:val="19"/>
          <w:szCs w:val="19"/>
        </w:rPr>
        <w:t xml:space="preserve">	10, 107, 131, 145, 147, 150, 152</w:t>
      </w:r>
    </w:p>
    <w:p>
      <w:pPr>
        <w:tabs>
          <w:tab w:val="right" w:pos="9638" w:leader="dot"/>
        </w:tabs>
        <w:spacing w:after="20"/>
        <w:ind w:left="200" w:right="0"/>
      </w:pPr>
      <w:r>
        <w:rPr>
          <w:rFonts w:ascii="Verdana" w:cs="Verdana" w:eastAsia="Verdana" w:hAnsi="Verdana"/>
          <w:sz w:val="19"/>
          <w:szCs w:val="19"/>
        </w:rPr>
        <w:t xml:space="preserve">TDS (sections 392 to 397)</w:t>
      </w:r>
      <w:r>
        <w:rPr>
          <w:rFonts w:ascii="Verdana" w:cs="Verdana" w:eastAsia="Verdana" w:hAnsi="Verdana"/>
          <w:sz w:val="19"/>
          <w:szCs w:val="19"/>
        </w:rPr>
        <w:t xml:space="preserve">	44, 133, 145, 147, 150, 153, 194</w:t>
      </w:r>
    </w:p>
    <w:p>
      <w:pPr>
        <w:tabs>
          <w:tab w:val="right" w:pos="9638" w:leader="dot"/>
        </w:tabs>
        <w:spacing w:after="20"/>
        <w:ind w:left="200" w:right="0"/>
      </w:pPr>
      <w:r>
        <w:rPr>
          <w:rFonts w:ascii="Verdana" w:cs="Verdana" w:eastAsia="Verdana" w:hAnsi="Verdana"/>
          <w:sz w:val="19"/>
          <w:szCs w:val="19"/>
        </w:rPr>
        <w:t xml:space="preserve">Thin capitalisation (section 177)</w:t>
      </w:r>
      <w:r>
        <w:rPr>
          <w:rFonts w:ascii="Verdana" w:cs="Verdana" w:eastAsia="Verdana" w:hAnsi="Verdana"/>
          <w:sz w:val="19"/>
          <w:szCs w:val="19"/>
        </w:rPr>
        <w:t xml:space="preserve">	56, 112, 142-144</w:t>
      </w:r>
    </w:p>
    <w:p>
      <w:pPr>
        <w:tabs>
          <w:tab w:val="right" w:pos="9638" w:leader="dot"/>
        </w:tabs>
        <w:spacing w:after="20"/>
        <w:ind w:left="200" w:right="0"/>
      </w:pPr>
      <w:r>
        <w:rPr>
          <w:rFonts w:ascii="Verdana" w:cs="Verdana" w:eastAsia="Verdana" w:hAnsi="Verdana"/>
          <w:sz w:val="19"/>
          <w:szCs w:val="19"/>
        </w:rPr>
        <w:t xml:space="preserve">Transfer pricing</w:t>
      </w:r>
      <w:r>
        <w:rPr>
          <w:rFonts w:ascii="Verdana" w:cs="Verdana" w:eastAsia="Verdana" w:hAnsi="Verdana"/>
          <w:sz w:val="19"/>
          <w:szCs w:val="19"/>
        </w:rPr>
        <w:t xml:space="preserve">	110, 135-137, 139, 141, 191</w:t>
      </w:r>
    </w:p>
    <w:p>
      <w:pPr>
        <w:tabs>
          <w:tab w:val="right" w:pos="9638" w:leader="dot"/>
        </w:tabs>
        <w:spacing w:after="20"/>
        <w:ind w:left="200" w:right="0"/>
      </w:pPr>
      <w:r>
        <w:rPr>
          <w:rFonts w:ascii="Verdana" w:cs="Verdana" w:eastAsia="Verdana" w:hAnsi="Verdana"/>
          <w:sz w:val="19"/>
          <w:szCs w:val="19"/>
        </w:rPr>
        <w:t xml:space="preserve">Transition from the 1961 Act</w:t>
      </w:r>
      <w:r>
        <w:rPr>
          <w:rFonts w:ascii="Verdana" w:cs="Verdana" w:eastAsia="Verdana" w:hAnsi="Verdana"/>
          <w:sz w:val="19"/>
          <w:szCs w:val="19"/>
        </w:rPr>
        <w:t xml:space="preserve">	10-12, 16-18, 102</w:t>
      </w:r>
    </w:p>
    <w:p>
      <w:pPr>
        <w:tabs>
          <w:tab w:val="right" w:pos="9638" w:leader="dot"/>
        </w:tabs>
        <w:spacing w:after="20"/>
        <w:ind w:left="200" w:right="0"/>
      </w:pPr>
      <w:r>
        <w:rPr>
          <w:rFonts w:ascii="Verdana" w:cs="Verdana" w:eastAsia="Verdana" w:hAnsi="Verdana"/>
          <w:sz w:val="19"/>
          <w:szCs w:val="19"/>
        </w:rPr>
        <w:t xml:space="preserve">Treaties (DTAA)</w:t>
      </w:r>
      <w:r>
        <w:rPr>
          <w:rFonts w:ascii="Verdana" w:cs="Verdana" w:eastAsia="Verdana" w:hAnsi="Verdana"/>
          <w:sz w:val="19"/>
          <w:szCs w:val="19"/>
        </w:rPr>
        <w:t xml:space="preserve">	22, 125-127, 129-130, 143</w:t>
      </w:r>
    </w:p>
    <w:p>
      <w:pPr>
        <w:tabs>
          <w:tab w:val="right" w:pos="9638" w:leader="dot"/>
        </w:tabs>
        <w:spacing w:after="20"/>
        <w:ind w:left="200" w:right="0"/>
      </w:pPr>
      <w:r>
        <w:rPr>
          <w:rFonts w:ascii="Verdana" w:cs="Verdana" w:eastAsia="Verdana" w:hAnsi="Verdana"/>
          <w:sz w:val="19"/>
          <w:szCs w:val="19"/>
        </w:rPr>
        <w:t xml:space="preserve">Trusts, private</w:t>
      </w:r>
      <w:r>
        <w:rPr>
          <w:rFonts w:ascii="Verdana" w:cs="Verdana" w:eastAsia="Verdana" w:hAnsi="Verdana"/>
          <w:sz w:val="19"/>
          <w:szCs w:val="19"/>
        </w:rPr>
        <w:t xml:space="preserve">	91-92</w:t>
      </w:r>
    </w:p>
    <w:p>
      <w:pPr>
        <w:keepNext/>
        <w:spacing w:after="40" w:before="160"/>
      </w:pPr>
      <w:r>
        <w:rPr>
          <w:rFonts w:ascii="Verdana" w:cs="Verdana" w:eastAsia="Verdana" w:hAnsi="Verdana"/>
          <w:b/>
          <w:bCs/>
          <w:color w:val="92400E"/>
          <w:sz w:val="22"/>
          <w:szCs w:val="22"/>
        </w:rPr>
        <w:t xml:space="preserve">U</w:t>
      </w:r>
    </w:p>
    <w:p>
      <w:pPr>
        <w:tabs>
          <w:tab w:val="right" w:pos="9638" w:leader="dot"/>
        </w:tabs>
        <w:spacing w:after="20"/>
        <w:ind w:left="200" w:right="0"/>
      </w:pPr>
      <w:r>
        <w:rPr>
          <w:rFonts w:ascii="Verdana" w:cs="Verdana" w:eastAsia="Verdana" w:hAnsi="Verdana"/>
          <w:sz w:val="19"/>
          <w:szCs w:val="19"/>
        </w:rPr>
        <w:t xml:space="preserve">Unabsorbed depreciation</w:t>
      </w:r>
      <w:r>
        <w:rPr>
          <w:rFonts w:ascii="Verdana" w:cs="Verdana" w:eastAsia="Verdana" w:hAnsi="Verdana"/>
          <w:sz w:val="19"/>
          <w:szCs w:val="19"/>
        </w:rPr>
        <w:t xml:space="preserve">	53, 77, 104, 106, 122, 187-188</w:t>
      </w:r>
    </w:p>
    <w:p>
      <w:pPr>
        <w:tabs>
          <w:tab w:val="right" w:pos="9638" w:leader="dot"/>
        </w:tabs>
        <w:spacing w:after="20"/>
        <w:ind w:left="200" w:right="0"/>
      </w:pPr>
      <w:r>
        <w:rPr>
          <w:rFonts w:ascii="Verdana" w:cs="Verdana" w:eastAsia="Verdana" w:hAnsi="Verdana"/>
          <w:sz w:val="19"/>
          <w:szCs w:val="19"/>
        </w:rPr>
        <w:t xml:space="preserve">Unexplained credits and investments</w:t>
      </w:r>
      <w:r>
        <w:rPr>
          <w:rFonts w:ascii="Verdana" w:cs="Verdana" w:eastAsia="Verdana" w:hAnsi="Verdana"/>
          <w:sz w:val="19"/>
          <w:szCs w:val="19"/>
        </w:rPr>
        <w:t xml:space="preserve">	11, 74-76, 109, 113</w:t>
      </w:r>
    </w:p>
    <w:p>
      <w:pPr>
        <w:keepNext/>
        <w:spacing w:after="40" w:before="160"/>
      </w:pPr>
      <w:r>
        <w:rPr>
          <w:rFonts w:ascii="Verdana" w:cs="Verdana" w:eastAsia="Verdana" w:hAnsi="Verdana"/>
          <w:b/>
          <w:bCs/>
          <w:color w:val="92400E"/>
          <w:sz w:val="22"/>
          <w:szCs w:val="22"/>
        </w:rPr>
        <w:t xml:space="preserve">V</w:t>
      </w:r>
    </w:p>
    <w:p>
      <w:pPr>
        <w:tabs>
          <w:tab w:val="right" w:pos="9638" w:leader="dot"/>
        </w:tabs>
        <w:spacing w:after="20"/>
        <w:ind w:left="200" w:right="0"/>
      </w:pPr>
      <w:r>
        <w:rPr>
          <w:rFonts w:ascii="Verdana" w:cs="Verdana" w:eastAsia="Verdana" w:hAnsi="Verdana"/>
          <w:sz w:val="19"/>
          <w:szCs w:val="19"/>
        </w:rPr>
        <w:t xml:space="preserve">Virtual digital assets</w:t>
      </w:r>
      <w:r>
        <w:rPr>
          <w:rFonts w:ascii="Verdana" w:cs="Verdana" w:eastAsia="Verdana" w:hAnsi="Verdana"/>
          <w:sz w:val="19"/>
          <w:szCs w:val="19"/>
        </w:rPr>
        <w:t xml:space="preserve">	48, 55, 71, 77, 146, 150</w:t>
      </w:r>
    </w:p>
    <w:p>
      <w:pPr>
        <w:tabs>
          <w:tab w:val="right" w:pos="9638" w:leader="dot"/>
        </w:tabs>
        <w:spacing w:after="20"/>
        <w:ind w:left="200" w:right="0"/>
      </w:pPr>
      <w:r>
        <w:rPr>
          <w:rFonts w:ascii="Verdana" w:cs="Verdana" w:eastAsia="Verdana" w:hAnsi="Verdana"/>
          <w:sz w:val="19"/>
          <w:szCs w:val="19"/>
        </w:rPr>
        <w:t xml:space="preserve">Voluntary retirement (VRS)</w:t>
      </w:r>
      <w:r>
        <w:rPr>
          <w:rFonts w:ascii="Verdana" w:cs="Verdana" w:eastAsia="Verdana" w:hAnsi="Verdana"/>
          <w:sz w:val="19"/>
          <w:szCs w:val="19"/>
        </w:rPr>
        <w:t xml:space="preserve">	26, 29, 35, 42, 47</w:t>
      </w:r>
    </w:p>
    <w:p>
      <w:pPr>
        <w:keepNext/>
        <w:spacing w:after="40" w:before="160"/>
      </w:pPr>
      <w:r>
        <w:rPr>
          <w:rFonts w:ascii="Verdana" w:cs="Verdana" w:eastAsia="Verdana" w:hAnsi="Verdana"/>
          <w:b/>
          <w:bCs/>
          <w:color w:val="92400E"/>
          <w:sz w:val="22"/>
          <w:szCs w:val="22"/>
        </w:rPr>
        <w:t xml:space="preserve">W</w:t>
      </w:r>
    </w:p>
    <w:p>
      <w:pPr>
        <w:tabs>
          <w:tab w:val="right" w:pos="9638" w:leader="dot"/>
        </w:tabs>
        <w:spacing w:after="20"/>
        <w:ind w:left="200" w:right="0"/>
      </w:pPr>
      <w:r>
        <w:rPr>
          <w:rFonts w:ascii="Verdana" w:cs="Verdana" w:eastAsia="Verdana" w:hAnsi="Verdana"/>
          <w:sz w:val="19"/>
          <w:szCs w:val="19"/>
        </w:rPr>
        <w:t xml:space="preserve">Winnings from lottery and games</w:t>
      </w:r>
      <w:r>
        <w:rPr>
          <w:rFonts w:ascii="Verdana" w:cs="Verdana" w:eastAsia="Verdana" w:hAnsi="Verdana"/>
          <w:sz w:val="19"/>
          <w:szCs w:val="19"/>
        </w:rPr>
        <w:t xml:space="preserve">	13, 66-69, 150-151</w:t>
      </w:r>
    </w:p>
    <w:p>
      <w:pPr>
        <w:tabs>
          <w:tab w:val="right" w:pos="9638" w:leader="dot"/>
        </w:tabs>
        <w:spacing w:after="20"/>
        <w:ind w:left="200" w:right="0"/>
      </w:pPr>
      <w:r>
        <w:rPr>
          <w:rFonts w:ascii="Verdana" w:cs="Verdana" w:eastAsia="Verdana" w:hAnsi="Verdana"/>
          <w:sz w:val="19"/>
          <w:szCs w:val="19"/>
        </w:rPr>
        <w:t xml:space="preserve">Withholding on payments to non-residents (section 393(2))</w:t>
      </w:r>
      <w:r>
        <w:rPr>
          <w:rFonts w:ascii="Verdana" w:cs="Verdana" w:eastAsia="Verdana" w:hAnsi="Verdana"/>
          <w:sz w:val="19"/>
          <w:szCs w:val="19"/>
        </w:rPr>
        <w:t xml:space="preserve">	72, 119, 126-127, 132-134</w:t>
      </w:r>
    </w:p>
    <w:sectPr>
      <w:headerReference w:type="default" r:id="rId7"/>
      <w:footerReference w:type="default" r:id="rId8"/>
      <w:pgSz w:w="11906" w:h="16838" w:orient="portrait"/>
      <w:pgMar w:top="1300" w:right="1134" w:bottom="13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Verdana" w:cs="Verdana" w:eastAsia="Verdana" w:hAnsi="Verdana"/>
        <w:color w:val="808080"/>
        <w:sz w:val="16"/>
        <w:szCs w:val="16"/>
      </w:rPr>
      <w:t xml:space="preserve">First Edition, 28 September 2026</w:t>
    </w:r>
    <w:r>
      <w:rPr>
        <w:rFonts w:ascii="Verdana" w:cs="Verdana" w:eastAsia="Verdana" w:hAnsi="Verdana"/>
        <w:color w:val="80808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pPr>
    <w:r>
      <w:rPr>
        <w:rFonts w:ascii="Verdana" w:cs="Verdana" w:eastAsia="Verdana" w:hAnsi="Verdana"/>
        <w:color w:val="808080"/>
        <w:sz w:val="16"/>
        <w:szCs w:val="16"/>
      </w:rPr>
      <w:t xml:space="preserve">Income-tax Act, 2025: The Professional's Master Guide</w:t>
    </w:r>
    <w:r>
      <w:rPr>
        <w:rFonts w:ascii="Verdana" w:cs="Verdana" w:eastAsia="Verdana" w:hAnsi="Verdana"/>
        <w:color w:val="808080"/>
        <w:sz w:val="16"/>
        <w:szCs w:val="16"/>
      </w:rPr>
      <w:t xml:space="preserve">	Vipin Nair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o"/>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Part">
    <w:name w:val="TocPart"/>
    <w:basedOn w:val="Normal"/>
    <w:next w:val="Normal"/>
  </w:style>
  <w:style w:type="paragraph" w:styleId="Heading1">
    <w:name w:val="Heading 1"/>
    <w:basedOn w:val="Normal"/>
    <w:next w:val="Normal"/>
    <w:qFormat/>
    <w:pPr>
      <w:spacing w:after="200"/>
      <w:outlineLvl w:val="0"/>
    </w:pPr>
    <w:rPr>
      <w:rFonts w:ascii="Verdana" w:cs="Verdana" w:eastAsia="Verdana" w:hAnsi="Verdana"/>
      <w:b/>
      <w:bCs/>
      <w:color w:val="92400E"/>
      <w:sz w:val="34"/>
      <w:szCs w:val="34"/>
    </w:rPr>
  </w:style>
  <w:style w:type="paragraph" w:styleId="Heading2">
    <w:name w:val="Heading 2"/>
    <w:basedOn w:val="Normal"/>
    <w:next w:val="Normal"/>
    <w:qFormat/>
    <w:pPr>
      <w:spacing w:after="120" w:before="240"/>
      <w:outlineLvl w:val="1"/>
    </w:pPr>
    <w:rPr>
      <w:rFonts w:ascii="Verdana" w:cs="Verdana" w:eastAsia="Verdana" w:hAnsi="Verdana"/>
      <w:b/>
      <w:bCs/>
      <w:color w:val="D97706"/>
      <w:sz w:val="26"/>
      <w:szCs w:val="26"/>
    </w:rPr>
  </w:style>
  <w:style w:type="paragraph" w:styleId="Heading3">
    <w:name w:val="Heading 3"/>
    <w:basedOn w:val="Normal"/>
    <w:next w:val="Normal"/>
    <w:qFormat/>
    <w:pPr>
      <w:outlineLvl w:val="2"/>
    </w:pPr>
    <w:rPr>
      <w:rFonts w:ascii="Verdana" w:cs="Verdana" w:eastAsia="Verdana" w:hAnsi="Verdana"/>
      <w:b/>
      <w:bCs/>
      <w:color w:val="9240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Income-tax Act, 2025: The Professional's Master Guide</dc:title>
  <dc:creator>Vipin Nair</dc:creator>
  <dc:description>First Edition, 28 September 2026</dc:description>
  <cp:lastModifiedBy>Vipin Nair</cp:lastModifiedBy>
  <cp:revision>1</cp:revision>
  <dcterms:created xsi:type="dcterms:W3CDTF">2026-09-29T01:41:07.715Z</dcterms:created>
  <dcterms:modified xsi:type="dcterms:W3CDTF">2026-09-29T01:41:07.716Z</dcterms:modified>
</cp:coreProperties>
</file>

<file path=docProps/custom.xml><?xml version="1.0" encoding="utf-8"?>
<Properties xmlns="http://schemas.openxmlformats.org/officeDocument/2006/custom-properties" xmlns:vt="http://schemas.openxmlformats.org/officeDocument/2006/docPropsVTypes"/>
</file>