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160" w:before="0"/>
        <w:jc w:val="center"/>
      </w:pPr>
      <w:r>
        <w:rPr>
          <w:rFonts w:ascii="Verdana" w:cs="Verdana" w:eastAsia="Verdana" w:hAnsi="Verdana"/>
          <w:b/>
          <w:bCs/>
          <w:color w:val="92400E"/>
          <w:sz w:val="56"/>
          <w:szCs w:val="56"/>
        </w:rPr>
        <w:t xml:space="preserve">GOODS AND SERVICES TAX</w:t>
      </w:r>
    </w:p>
    <w:p>
      <w:pPr>
        <w:spacing w:after="160" w:before="0"/>
        <w:jc w:val="center"/>
      </w:pPr>
      <w:r>
        <w:rPr>
          <w:rFonts w:ascii="Verdana" w:cs="Verdana" w:eastAsia="Verdana" w:hAnsi="Verdana"/>
          <w:color w:val="D97706"/>
          <w:sz w:val="38"/>
          <w:szCs w:val="38"/>
        </w:rPr>
        <w:t xml:space="preserve">The Professional's Master Guide</w:t>
      </w:r>
    </w:p>
    <w:p>
      <w:pPr>
        <w:spacing w:after="500" w:before="0"/>
        <w:jc w:val="center"/>
      </w:pPr>
      <w:r>
        <w:rPr>
          <w:rFonts w:ascii="Verdana" w:cs="Verdana" w:eastAsia="Verdana" w:hAnsi="Verdana"/>
          <w:i/>
          <w:iCs/>
          <w:sz w:val="26"/>
          <w:szCs w:val="26"/>
        </w:rPr>
        <w:t xml:space="preserve">Law, Practice and Worked Illustrations</w:t>
      </w:r>
    </w:p>
    <w:p>
      <w:pPr>
        <w:pBdr>
          <w:top w:val="single" w:color="92400E" w:sz="8" w:space="14"/>
        </w:pBdr>
        <w:spacing w:after="120"/>
        <w:jc w:val="center"/>
      </w:pPr>
      <w:r>
        <w:rPr>
          <w:rFonts w:ascii="Verdana" w:cs="Verdana" w:eastAsia="Verdana" w:hAnsi="Verdana"/>
          <w:color w:val="404040"/>
          <w:sz w:val="20"/>
          <w:szCs w:val="20"/>
        </w:rPr>
        <w:t xml:space="preserve">Supply and Levy  |  Valuation  |  Place of Supply  |  Input Tax Credit  |  Registration</w:t>
      </w:r>
    </w:p>
    <w:p>
      <w:pPr>
        <w:spacing w:after="500" w:before="0"/>
        <w:jc w:val="center"/>
      </w:pPr>
      <w:r>
        <w:rPr>
          <w:rFonts w:ascii="Verdana" w:cs="Verdana" w:eastAsia="Verdana" w:hAnsi="Verdana"/>
          <w:color w:val="404040"/>
          <w:sz w:val="20"/>
          <w:szCs w:val="20"/>
        </w:rPr>
        <w:t xml:space="preserve">Returns and Refunds  |  Sector Topics  |  Assessment and Appeals  |  Accounting and Reconciliation</w:t>
      </w:r>
    </w:p>
    <w:p>
      <w:pPr>
        <w:spacing w:after="1400" w:before="0"/>
        <w:jc w:val="center"/>
      </w:pPr>
      <w:r>
        <w:rPr>
          <w:rFonts w:ascii="Verdana" w:cs="Verdana" w:eastAsia="Verdana" w:hAnsi="Verdana"/>
          <w:sz w:val="22"/>
          <w:szCs w:val="22"/>
        </w:rPr>
        <w:t xml:space="preserve">Covers GST 2.0 and the law as amended by the Finance Act, 2026</w:t>
      </w:r>
    </w:p>
    <w:p>
      <w:pPr>
        <w:spacing w:after="120" w:before="0"/>
        <w:jc w:val="center"/>
      </w:pPr>
      <w:r>
        <w:rPr>
          <w:rFonts w:ascii="Verdana" w:cs="Verdana" w:eastAsia="Verdana" w:hAnsi="Verdana"/>
          <w:b/>
          <w:bCs/>
          <w:color w:val="92400E"/>
          <w:sz w:val="34"/>
          <w:szCs w:val="34"/>
        </w:rPr>
        <w:t xml:space="preserve">Vipin Nair</w:t>
      </w:r>
    </w:p>
    <w:p>
      <w:pPr>
        <w:spacing w:after="120" w:before="0"/>
        <w:jc w:val="center"/>
      </w:pPr>
      <w:r>
        <w:rPr>
          <w:rFonts w:ascii="Verdana" w:cs="Verdana" w:eastAsia="Verdana" w:hAnsi="Verdana"/>
          <w:color w:val="404040"/>
          <w:sz w:val="22"/>
          <w:szCs w:val="22"/>
        </w:rPr>
        <w:t xml:space="preserve">First Edition  |  28 September 2026</w:t>
      </w:r>
    </w:p>
    <w:p>
      <w:pPr>
        <w:pageBreakBefore/>
        <w:spacing w:before="5000"/>
      </w:pPr>
    </w:p>
    <w:p>
      <w:pPr>
        <w:spacing w:after="120"/>
      </w:pPr>
      <w:r>
        <w:rPr>
          <w:rFonts w:ascii="Verdana" w:cs="Verdana" w:eastAsia="Verdana" w:hAnsi="Verdana"/>
          <w:b/>
          <w:bCs/>
          <w:color w:val="404040"/>
          <w:sz w:val="19"/>
          <w:szCs w:val="19"/>
        </w:rPr>
        <w:t xml:space="preserve">Goods and Services Tax: The Professional's Master Guide</w:t>
      </w:r>
    </w:p>
    <w:p>
      <w:pPr>
        <w:spacing w:after="120"/>
      </w:pPr>
      <w:r>
        <w:rPr>
          <w:rFonts w:ascii="Verdana" w:cs="Verdana" w:eastAsia="Verdana" w:hAnsi="Verdana"/>
          <w:color w:val="404040"/>
          <w:sz w:val="19"/>
          <w:szCs w:val="19"/>
        </w:rPr>
        <w:t xml:space="preserve">Author: </w:t>
      </w:r>
      <w:r>
        <w:rPr>
          <w:rFonts w:ascii="Verdana" w:cs="Verdana" w:eastAsia="Verdana" w:hAnsi="Verdana"/>
          <w:b/>
          <w:bCs/>
          <w:color w:val="404040"/>
          <w:sz w:val="19"/>
          <w:szCs w:val="19"/>
        </w:rPr>
        <w:t xml:space="preserve">Vipin Nair</w:t>
      </w:r>
    </w:p>
    <w:p>
      <w:pPr>
        <w:spacing w:after="120"/>
      </w:pPr>
      <w:r>
        <w:rPr>
          <w:rFonts w:ascii="Verdana" w:cs="Verdana" w:eastAsia="Verdana" w:hAnsi="Verdana"/>
          <w:color w:val="404040"/>
          <w:sz w:val="19"/>
          <w:szCs w:val="19"/>
        </w:rPr>
        <w:t xml:space="preserve">First Edition: 28 September 2026</w:t>
      </w:r>
    </w:p>
    <w:p>
      <w:pPr>
        <w:spacing w:after="120"/>
      </w:pPr>
      <w:r>
        <w:rPr>
          <w:rFonts w:ascii="Verdana" w:cs="Verdana" w:eastAsia="Verdana" w:hAnsi="Verdana"/>
          <w:color w:val="404040"/>
          <w:sz w:val="19"/>
          <w:szCs w:val="19"/>
        </w:rPr>
        <w:t xml:space="preserve">Law stated as on: 28 September 2026 (CGST Act, 2017, IGST Act, 2017 and the Rules, as amended up to the Finance Act, 2026, with rate notifications issued for GST 2.0)</w:t>
      </w:r>
    </w:p>
    <w:p>
      <w:pPr>
        <w:spacing w:after="120"/>
      </w:pPr>
      <w:r>
        <w:rPr>
          <w:rFonts w:ascii="Verdana" w:cs="Verdana" w:eastAsia="Verdana" w:hAnsi="Verdana"/>
          <w:color w:val="404040"/>
          <w:sz w:val="19"/>
          <w:szCs w:val="19"/>
        </w:rPr>
        <w:t xml:space="preserve">Copyright 2026 Vipin Nair. All rights reserved. No part of this publication may be reproduced, stored or transmitted in any form or by any means without the prior written permission of the author, except for brief quotations with acknowledgement.</w:t>
      </w:r>
    </w:p>
    <w:p>
      <w:pPr>
        <w:spacing w:after="120"/>
      </w:pPr>
      <w:r>
        <w:rPr>
          <w:rFonts w:ascii="Verdana" w:cs="Verdana" w:eastAsia="Verdana" w:hAnsi="Verdana"/>
          <w:b/>
          <w:bCs/>
          <w:color w:val="404040"/>
          <w:sz w:val="19"/>
          <w:szCs w:val="19"/>
        </w:rPr>
        <w:t xml:space="preserve">Disclaimer:</w:t>
      </w:r>
      <w:r>
        <w:rPr>
          <w:rFonts w:ascii="Verdana" w:cs="Verdana" w:eastAsia="Verdana" w:hAnsi="Verdana"/>
          <w:color w:val="404040"/>
          <w:sz w:val="19"/>
          <w:szCs w:val="19"/>
        </w:rPr>
        <w:t xml:space="preserve"> This guide is intended for study and general professional reference. It does not constitute legal or tax advice for any specific situation. Every effort has been made to state the law accurately, but rates, thresholds, forms and due dates change through notifications, circulars and portal advisories, and some amendments made by the Finance Act, 2026 await notification. Readers should refer to the Acts, the Rules and official notifications, and apply professional judgment before acting. The author accepts no liability for any loss arising from reliance on this publication.</w:t>
      </w:r>
    </w:p>
    <w:p>
      <w:pPr>
        <w:spacing w:after="120"/>
      </w:pPr>
      <w:r>
        <w:rPr>
          <w:rFonts w:ascii="Verdana" w:cs="Verdana" w:eastAsia="Verdana" w:hAnsi="Verdana"/>
          <w:color w:val="404040"/>
          <w:sz w:val="19"/>
          <w:szCs w:val="19"/>
        </w:rPr>
        <w:t xml:space="preserve">All names used in the illustrations are fictitious. Any resemblance to real persons or entities is coincidental.</w:t>
      </w:r>
    </w:p>
    <w:p>
      <w:pPr>
        <w:pStyle w:val="Heading1"/>
        <w:pageBreakBefore/>
        <w:spacing w:after="200"/>
      </w:pPr>
      <w:r>
        <w:rPr>
          <w:rFonts w:ascii="Verdana" w:cs="Verdana" w:eastAsia="Verdana" w:hAnsi="Verdana"/>
        </w:rPr>
        <w:t xml:space="preserve">Preface</w:t>
      </w:r>
    </w:p>
    <w:p>
      <w:pPr>
        <w:spacing w:after="120" w:line="276"/>
        <w:jc w:val="both"/>
      </w:pPr>
      <w:r>
        <w:rPr>
          <w:rFonts w:ascii="Verdana" w:cs="Verdana" w:eastAsia="Verdana" w:hAnsi="Verdana"/>
        </w:rPr>
        <w:t xml:space="preserve">GST completed nine years on 1 July 2026. In that time the law has changed more often than most of us can remember: new returns, new tables, new rules on credit, e-invoicing, the Invoice Management System, a fresh demand section, and in September 2025 the largest rate rationalisation since launch. The GST Appellate Tribunal has finally started work. For a practising professional, keeping a single, reliable picture of the law has become a job in itself.</w:t>
      </w:r>
    </w:p>
    <w:p>
      <w:pPr>
        <w:spacing w:after="120" w:line="276"/>
        <w:jc w:val="both"/>
      </w:pPr>
      <w:r>
        <w:rPr>
          <w:rFonts w:ascii="Verdana" w:cs="Verdana" w:eastAsia="Verdana" w:hAnsi="Verdana"/>
        </w:rPr>
        <w:t xml:space="preserve">This guide was written to be that picture. It explains the GST law in plain words, one concept at a time, with the section and rule beside each point and worked illustrations built the way a working paper is built. It does not stop at quoting the provision. It explains why the rule exists, how it plays out in returns and books, what the department usually questions, and what the courts have said.</w:t>
      </w:r>
    </w:p>
    <w:p>
      <w:pPr>
        <w:spacing w:after="120" w:line="276"/>
        <w:jc w:val="both"/>
      </w:pPr>
      <w:r>
        <w:rPr>
          <w:rFonts w:ascii="Verdana" w:cs="Verdana" w:eastAsia="Verdana" w:hAnsi="Verdana"/>
        </w:rPr>
        <w:t xml:space="preserve">The coverage runs from the constitutional base and the meaning of supply, through valuation, time and place of supply, input tax credit, registration, invoices, returns, payment and refunds, to sector topics, assessment, investigation, appeals, penalties, accounting and reconciliation. Fifteen comprehensive case studies bring the chapters together, and the appendices collect the section map, rates, forms, due dates, time limits, practice questions, checklists and specimen replies.</w:t>
      </w:r>
    </w:p>
    <w:p>
      <w:pPr>
        <w:spacing w:after="120" w:line="276"/>
        <w:jc w:val="both"/>
      </w:pPr>
      <w:r>
        <w:rPr>
          <w:rFonts w:ascii="Verdana" w:cs="Verdana" w:eastAsia="Verdana" w:hAnsi="Verdana"/>
        </w:rPr>
        <w:t xml:space="preserve">The law is stated as on 28 September 2026. Where an amendment has been enacted but not notified, or where the position is still settling in the courts, the text says so. Suggestions and corrections from readers are welcome and will be taken into the next edition. Readers who also handle direct tax work may use this book alongside the companion guide on the Income-tax Act, 2025.</w:t>
      </w:r>
    </w:p>
    <w:p>
      <w:pPr>
        <w:spacing w:after="40" w:before="300"/>
        <w:jc w:val="right"/>
      </w:pPr>
      <w:r>
        <w:rPr>
          <w:rFonts w:ascii="Verdana" w:cs="Verdana" w:eastAsia="Verdana" w:hAnsi="Verdana"/>
          <w:b/>
          <w:bCs/>
          <w:sz w:val="22"/>
          <w:szCs w:val="22"/>
        </w:rPr>
        <w:t xml:space="preserve">Vipin Nair</w:t>
      </w:r>
    </w:p>
    <w:p>
      <w:pPr>
        <w:jc w:val="right"/>
      </w:pPr>
      <w:r>
        <w:rPr>
          <w:rFonts w:ascii="Verdana" w:cs="Verdana" w:eastAsia="Verdana" w:hAnsi="Verdana"/>
          <w:color w:val="404040"/>
          <w:sz w:val="20"/>
          <w:szCs w:val="20"/>
        </w:rPr>
        <w:t xml:space="preserve">Ahmedabad, 28 September 2026</w:t>
      </w:r>
    </w:p>
    <w:p>
      <w:pPr>
        <w:pStyle w:val="Heading1"/>
        <w:pageBreakBefore/>
        <w:spacing w:after="200"/>
      </w:pPr>
      <w:r>
        <w:rPr>
          <w:rFonts w:ascii="Verdana" w:cs="Verdana" w:eastAsia="Verdana" w:hAnsi="Verdana"/>
        </w:rPr>
        <w:t xml:space="preserve">How to Use This Guide</w:t>
      </w:r>
    </w:p>
    <w:p>
      <w:pPr>
        <w:spacing w:after="120" w:line="276"/>
        <w:jc w:val="both"/>
      </w:pPr>
      <w:r>
        <w:rPr>
          <w:rFonts w:ascii="Verdana" w:cs="Verdana" w:eastAsia="Verdana" w:hAnsi="Verdana"/>
        </w:rPr>
        <w:t xml:space="preserve">Each chapter follows the same pattern:</w:t>
      </w:r>
    </w:p>
    <w:p>
      <w:pPr>
        <w:pStyle w:val="ListParagraph"/>
        <w:numPr>
          <w:ilvl w:val="0"/>
          <w:numId w:val="2"/>
        </w:numPr>
        <w:spacing w:after="60" w:line="264"/>
      </w:pPr>
      <w:r>
        <w:rPr>
          <w:rFonts w:ascii="Verdana" w:cs="Verdana" w:eastAsia="Verdana" w:hAnsi="Verdana"/>
          <w:b/>
          <w:bCs/>
        </w:rPr>
        <w:t xml:space="preserve">The law in plain words</w:t>
      </w:r>
      <w:r>
        <w:rPr>
          <w:rFonts w:ascii="Verdana" w:cs="Verdana" w:eastAsia="Verdana" w:hAnsi="Verdana"/>
        </w:rPr>
        <w:t xml:space="preserve">, with references to the CGST Act, the IGST Act and the CGST Rules.</w:t>
      </w:r>
    </w:p>
    <w:p>
      <w:pPr>
        <w:pStyle w:val="ListParagraph"/>
        <w:numPr>
          <w:ilvl w:val="0"/>
          <w:numId w:val="2"/>
        </w:numPr>
        <w:spacing w:after="60" w:line="264"/>
      </w:pPr>
      <w:r>
        <w:rPr>
          <w:rFonts w:ascii="Verdana" w:cs="Verdana" w:eastAsia="Verdana" w:hAnsi="Verdana"/>
          <w:b/>
          <w:bCs/>
        </w:rPr>
        <w:t xml:space="preserve">Illustrations</w:t>
      </w:r>
      <w:r>
        <w:rPr>
          <w:rFonts w:ascii="Verdana" w:cs="Verdana" w:eastAsia="Verdana" w:hAnsi="Verdana"/>
        </w:rPr>
        <w:t xml:space="preserve"> with real numbers. Every calculation is shown step by step and numbered through the book.</w:t>
      </w:r>
    </w:p>
    <w:p>
      <w:pPr>
        <w:pStyle w:val="ListParagraph"/>
        <w:numPr>
          <w:ilvl w:val="0"/>
          <w:numId w:val="2"/>
        </w:numPr>
        <w:spacing w:after="60" w:line="264"/>
      </w:pPr>
      <w:r>
        <w:rPr>
          <w:rFonts w:ascii="Verdana" w:cs="Verdana" w:eastAsia="Verdana" w:hAnsi="Verdana"/>
          <w:b/>
          <w:bCs/>
        </w:rPr>
        <w:t xml:space="preserve">Key point</w:t>
      </w:r>
      <w:r>
        <w:rPr>
          <w:rFonts w:ascii="Verdana" w:cs="Verdana" w:eastAsia="Verdana" w:hAnsi="Verdana"/>
        </w:rPr>
        <w:t xml:space="preserve"> boxes for the issues that most often go wrong in practice.</w:t>
      </w:r>
    </w:p>
    <w:p>
      <w:pPr>
        <w:pStyle w:val="ListParagraph"/>
        <w:numPr>
          <w:ilvl w:val="0"/>
          <w:numId w:val="2"/>
        </w:numPr>
        <w:spacing w:after="60" w:line="264"/>
      </w:pPr>
      <w:r>
        <w:rPr>
          <w:rFonts w:ascii="Verdana" w:cs="Verdana" w:eastAsia="Verdana" w:hAnsi="Verdana"/>
          <w:b/>
          <w:bCs/>
        </w:rPr>
        <w:t xml:space="preserve">Practice notes</w:t>
      </w:r>
      <w:r>
        <w:rPr>
          <w:rFonts w:ascii="Verdana" w:cs="Verdana" w:eastAsia="Verdana" w:hAnsi="Verdana"/>
        </w:rPr>
        <w:t xml:space="preserve"> for client work, audits, notices and documentation.</w:t>
      </w:r>
    </w:p>
    <w:p>
      <w:pPr>
        <w:pStyle w:val="ListParagraph"/>
        <w:numPr>
          <w:ilvl w:val="0"/>
          <w:numId w:val="2"/>
        </w:numPr>
        <w:spacing w:after="60" w:line="264"/>
      </w:pPr>
      <w:r>
        <w:rPr>
          <w:rFonts w:ascii="Verdana" w:cs="Verdana" w:eastAsia="Verdana" w:hAnsi="Verdana"/>
          <w:b/>
          <w:bCs/>
        </w:rPr>
        <w:t xml:space="preserve">Judicial view</w:t>
      </w:r>
      <w:r>
        <w:rPr>
          <w:rFonts w:ascii="Verdana" w:cs="Verdana" w:eastAsia="Verdana" w:hAnsi="Verdana"/>
        </w:rPr>
        <w:t xml:space="preserve"> boxes summarising the rulings that matter, collected again in the Digest of Rulings (Appendix E) and the Table of Cases.</w:t>
      </w:r>
    </w:p>
    <w:p>
      <w:pPr>
        <w:pStyle w:val="ListParagraph"/>
        <w:numPr>
          <w:ilvl w:val="0"/>
          <w:numId w:val="2"/>
        </w:numPr>
        <w:spacing w:after="60" w:line="264"/>
      </w:pPr>
      <w:r>
        <w:rPr>
          <w:rFonts w:ascii="Verdana" w:cs="Verdana" w:eastAsia="Verdana" w:hAnsi="Verdana"/>
          <w:b/>
          <w:bCs/>
        </w:rPr>
        <w:t xml:space="preserve">Chapter summary</w:t>
      </w:r>
      <w:r>
        <w:rPr>
          <w:rFonts w:ascii="Verdana" w:cs="Verdana" w:eastAsia="Verdana" w:hAnsi="Verdana"/>
        </w:rPr>
        <w:t xml:space="preserve"> boxes for quick revision.</w:t>
      </w:r>
    </w:p>
    <w:p>
      <w:pPr>
        <w:spacing w:after="120" w:line="276"/>
        <w:jc w:val="both"/>
      </w:pPr>
      <w:r>
        <w:rPr>
          <w:rFonts w:ascii="Verdana" w:cs="Verdana" w:eastAsia="Verdana" w:hAnsi="Verdana"/>
        </w:rPr>
        <w:t xml:space="preserve">The guide is arranged in ten parts and a set of appendices:</w:t>
      </w:r>
    </w:p>
    <w:p>
      <w:pPr>
        <w:pStyle w:val="ListParagraph"/>
        <w:numPr>
          <w:ilvl w:val="0"/>
          <w:numId w:val="2"/>
        </w:numPr>
        <w:spacing w:after="60" w:line="264"/>
      </w:pPr>
      <w:r>
        <w:rPr>
          <w:rFonts w:ascii="Verdana" w:cs="Verdana" w:eastAsia="Verdana" w:hAnsi="Verdana"/>
          <w:b/>
          <w:bCs/>
        </w:rPr>
        <w:t xml:space="preserve">Part A, Foundations:</w:t>
      </w:r>
      <w:r>
        <w:rPr>
          <w:rFonts w:ascii="Verdana" w:cs="Verdana" w:eastAsia="Verdana" w:hAnsi="Verdana"/>
        </w:rPr>
        <w:t xml:space="preserve"> GST at a glance, the Constitution and the GST Council, GST 2.0 and recent reforms, and key definitions.</w:t>
      </w:r>
    </w:p>
    <w:p>
      <w:pPr>
        <w:pStyle w:val="ListParagraph"/>
        <w:numPr>
          <w:ilvl w:val="0"/>
          <w:numId w:val="2"/>
        </w:numPr>
        <w:spacing w:after="60" w:line="264"/>
      </w:pPr>
      <w:r>
        <w:rPr>
          <w:rFonts w:ascii="Verdana" w:cs="Verdana" w:eastAsia="Verdana" w:hAnsi="Verdana"/>
          <w:b/>
          <w:bCs/>
        </w:rPr>
        <w:t xml:space="preserve">Part B, Supply and Levy:</w:t>
      </w:r>
      <w:r>
        <w:rPr>
          <w:rFonts w:ascii="Verdana" w:cs="Verdana" w:eastAsia="Verdana" w:hAnsi="Verdana"/>
        </w:rPr>
        <w:t xml:space="preserve"> supply, composite and mixed supply, levy, exemptions and reverse charge, classification and rates, and the composition scheme.</w:t>
      </w:r>
    </w:p>
    <w:p>
      <w:pPr>
        <w:pStyle w:val="ListParagraph"/>
        <w:numPr>
          <w:ilvl w:val="0"/>
          <w:numId w:val="2"/>
        </w:numPr>
        <w:spacing w:after="60" w:line="264"/>
      </w:pPr>
      <w:r>
        <w:rPr>
          <w:rFonts w:ascii="Verdana" w:cs="Verdana" w:eastAsia="Verdana" w:hAnsi="Verdana"/>
          <w:b/>
          <w:bCs/>
        </w:rPr>
        <w:t xml:space="preserve">Part C, Time, Value and Place of Supply:</w:t>
      </w:r>
      <w:r>
        <w:rPr>
          <w:rFonts w:ascii="Verdana" w:cs="Verdana" w:eastAsia="Verdana" w:hAnsi="Verdana"/>
        </w:rPr>
        <w:t xml:space="preserve"> time of supply, valuation, place of supply for domestic and cross-border transactions, imports, exports, SEZ and deemed exports.</w:t>
      </w:r>
    </w:p>
    <w:p>
      <w:pPr>
        <w:pStyle w:val="ListParagraph"/>
        <w:numPr>
          <w:ilvl w:val="0"/>
          <w:numId w:val="2"/>
        </w:numPr>
        <w:spacing w:after="60" w:line="264"/>
      </w:pPr>
      <w:r>
        <w:rPr>
          <w:rFonts w:ascii="Verdana" w:cs="Verdana" w:eastAsia="Verdana" w:hAnsi="Verdana"/>
          <w:b/>
          <w:bCs/>
        </w:rPr>
        <w:t xml:space="preserve">Part D, Input Tax Credit:</w:t>
      </w:r>
      <w:r>
        <w:rPr>
          <w:rFonts w:ascii="Verdana" w:cs="Verdana" w:eastAsia="Verdana" w:hAnsi="Verdana"/>
        </w:rPr>
        <w:t xml:space="preserve"> conditions, blocked credits, apportionment and reversal, special cases, ISD, job work, and ITC matching through IMS.</w:t>
      </w:r>
    </w:p>
    <w:p>
      <w:pPr>
        <w:pStyle w:val="ListParagraph"/>
        <w:numPr>
          <w:ilvl w:val="0"/>
          <w:numId w:val="2"/>
        </w:numPr>
        <w:spacing w:after="60" w:line="264"/>
      </w:pPr>
      <w:r>
        <w:rPr>
          <w:rFonts w:ascii="Verdana" w:cs="Verdana" w:eastAsia="Verdana" w:hAnsi="Verdana"/>
          <w:b/>
          <w:bCs/>
        </w:rPr>
        <w:t xml:space="preserve">Part E, Registration, Invoices and Records:</w:t>
      </w:r>
      <w:r>
        <w:rPr>
          <w:rFonts w:ascii="Verdana" w:cs="Verdana" w:eastAsia="Verdana" w:hAnsi="Verdana"/>
        </w:rPr>
        <w:t xml:space="preserve"> registration, invoices and notes, e-invoicing, e-way bills and records.</w:t>
      </w:r>
    </w:p>
    <w:p>
      <w:pPr>
        <w:pStyle w:val="ListParagraph"/>
        <w:numPr>
          <w:ilvl w:val="0"/>
          <w:numId w:val="2"/>
        </w:numPr>
        <w:spacing w:after="60" w:line="264"/>
      </w:pPr>
      <w:r>
        <w:rPr>
          <w:rFonts w:ascii="Verdana" w:cs="Verdana" w:eastAsia="Verdana" w:hAnsi="Verdana"/>
          <w:b/>
          <w:bCs/>
        </w:rPr>
        <w:t xml:space="preserve">Part F, Returns, Payment and Refunds:</w:t>
      </w:r>
      <w:r>
        <w:rPr>
          <w:rFonts w:ascii="Verdana" w:cs="Verdana" w:eastAsia="Verdana" w:hAnsi="Verdana"/>
        </w:rPr>
        <w:t xml:space="preserve"> returns, payment, interest, TDS and TCS, and refunds.</w:t>
      </w:r>
    </w:p>
    <w:p>
      <w:pPr>
        <w:pStyle w:val="ListParagraph"/>
        <w:numPr>
          <w:ilvl w:val="0"/>
          <w:numId w:val="2"/>
        </w:numPr>
        <w:spacing w:after="60" w:line="264"/>
      </w:pPr>
      <w:r>
        <w:rPr>
          <w:rFonts w:ascii="Verdana" w:cs="Verdana" w:eastAsia="Verdana" w:hAnsi="Verdana"/>
          <w:b/>
          <w:bCs/>
        </w:rPr>
        <w:t xml:space="preserve">Part G, Sector and Special Topics:</w:t>
      </w:r>
      <w:r>
        <w:rPr>
          <w:rFonts w:ascii="Verdana" w:cs="Verdana" w:eastAsia="Verdana" w:hAnsi="Verdana"/>
        </w:rPr>
        <w:t xml:space="preserve"> real estate, e-commerce, financial services, employees and group companies, hospitality and logistics, education, health and charities, MSMEs and restructuring.</w:t>
      </w:r>
    </w:p>
    <w:p>
      <w:pPr>
        <w:pStyle w:val="ListParagraph"/>
        <w:numPr>
          <w:ilvl w:val="0"/>
          <w:numId w:val="2"/>
        </w:numPr>
        <w:spacing w:after="60" w:line="264"/>
      </w:pPr>
      <w:r>
        <w:rPr>
          <w:rFonts w:ascii="Verdana" w:cs="Verdana" w:eastAsia="Verdana" w:hAnsi="Verdana"/>
          <w:b/>
          <w:bCs/>
        </w:rPr>
        <w:t xml:space="preserve">Part H, Assessment, Investigation and Disputes:</w:t>
      </w:r>
      <w:r>
        <w:rPr>
          <w:rFonts w:ascii="Verdana" w:cs="Verdana" w:eastAsia="Verdana" w:hAnsi="Verdana"/>
        </w:rPr>
        <w:t xml:space="preserve"> assessment and audit, demands, search and arrest, advance rulings, appeals, penalties and anti-profiteering.</w:t>
      </w:r>
    </w:p>
    <w:p>
      <w:pPr>
        <w:pStyle w:val="ListParagraph"/>
        <w:numPr>
          <w:ilvl w:val="0"/>
          <w:numId w:val="2"/>
        </w:numPr>
        <w:spacing w:after="60" w:line="264"/>
      </w:pPr>
      <w:r>
        <w:rPr>
          <w:rFonts w:ascii="Verdana" w:cs="Verdana" w:eastAsia="Verdana" w:hAnsi="Verdana"/>
          <w:b/>
          <w:bCs/>
        </w:rPr>
        <w:t xml:space="preserve">Part I, Accounting, Reconciliation and Practice:</w:t>
      </w:r>
      <w:r>
        <w:rPr>
          <w:rFonts w:ascii="Verdana" w:cs="Verdana" w:eastAsia="Verdana" w:hAnsi="Verdana"/>
        </w:rPr>
        <w:t xml:space="preserve"> GST in the books, reconciliations and year-end closing, and handling notices.</w:t>
      </w:r>
    </w:p>
    <w:p>
      <w:pPr>
        <w:pStyle w:val="ListParagraph"/>
        <w:numPr>
          <w:ilvl w:val="0"/>
          <w:numId w:val="2"/>
        </w:numPr>
        <w:spacing w:after="60" w:line="264"/>
      </w:pPr>
      <w:r>
        <w:rPr>
          <w:rFonts w:ascii="Verdana" w:cs="Verdana" w:eastAsia="Verdana" w:hAnsi="Verdana"/>
          <w:b/>
          <w:bCs/>
        </w:rPr>
        <w:t xml:space="preserve">Part J, Comprehensive Case Studies:</w:t>
      </w:r>
      <w:r>
        <w:rPr>
          <w:rFonts w:ascii="Verdana" w:cs="Verdana" w:eastAsia="Verdana" w:hAnsi="Verdana"/>
        </w:rPr>
        <w:t xml:space="preserve"> fifteen complete computations and compliance walk-throughs.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Rates in the illustrations are those in force after GST 2.0 (22 September 2025) unless an earlier period is stated. Confirm the HSN or SAC specific entry in the current rate notification before advising a client.</w:t>
            </w:r>
          </w:p>
          <w:p>
            <w:pPr>
              <w:spacing w:after="60" w:line="260"/>
            </w:pPr>
            <w:r>
              <w:rPr>
                <w:rFonts w:ascii="Verdana" w:cs="Verdana" w:eastAsia="Verdana" w:hAnsi="Verdana"/>
                <w:sz w:val="20"/>
                <w:szCs w:val="20"/>
              </w:rPr>
              <w:t xml:space="preserve">Some Finance Act, 2026 amendments (post-sale discounts and provisional refunds) are enacted but not yet notified. The text flags each one.</w:t>
            </w:r>
          </w:p>
        </w:tc>
      </w:tr>
    </w:tbl>
    <w:p>
      <w:pPr>
        <w:spacing w:after="60"/>
      </w:pPr>
    </w:p>
    <w:p>
      <w:pPr>
        <w:pageBreakBefore/>
        <w:spacing w:after="160"/>
      </w:pPr>
      <w:r>
        <w:rPr>
          <w:rFonts w:ascii="Verdana" w:cs="Verdana" w:eastAsia="Verdana" w:hAnsi="Verdana"/>
          <w:b/>
          <w:bCs/>
          <w:color w:val="92400E"/>
          <w:sz w:val="34"/>
          <w:szCs w:val="34"/>
        </w:rPr>
        <w:t xml:space="preserve">Contents</w:t>
      </w:r>
    </w:p>
    <w:p>
      <w:r>
        <w:fldChar w:fldCharType="begin"/>
      </w:r>
      <w:r>
        <w:instrText xml:space="preserve"> TOC \t "TocPart,1,Heading 1,2" \h \z \u </w:instrText>
      </w:r>
      <w:r>
        <w:fldChar w:fldCharType="separate"/>
      </w:r>
    </w:p>
    <w:p>
      <w:pPr>
        <w:tabs>
          <w:tab w:val="right" w:pos="9638"/>
        </w:tabs>
        <w:spacing w:after="80"/>
      </w:pPr>
      <w:r>
        <w:rPr>
          <w:rFonts w:ascii="Verdana" w:cs="Verdana" w:eastAsia="Verdana" w:hAnsi="Verdana"/>
          <w:b/>
          <w:bCs/>
          <w:color w:val="595959"/>
          <w:sz w:val="18"/>
          <w:szCs w:val="18"/>
        </w:rPr>
        <w:t xml:space="preserve">	Page</w:t>
      </w:r>
    </w:p>
    <w:p>
      <w:pPr>
        <w:tabs>
          <w:tab w:val="right" w:pos="9638" w:leader="dot"/>
        </w:tabs>
        <w:spacing w:after="60"/>
        <w:ind w:left="0" w:right="0"/>
      </w:pPr>
      <w:r>
        <w:rPr>
          <w:rFonts w:ascii="Verdana" w:cs="Verdana" w:eastAsia="Verdana" w:hAnsi="Verdana"/>
          <w:b/>
          <w:bCs/>
          <w:color w:val="92400E"/>
          <w:sz w:val="20"/>
          <w:szCs w:val="20"/>
        </w:rPr>
        <w:t xml:space="preserve">PART A: FOUNDATIONS</w:t>
      </w:r>
      <w:r>
        <w:rPr>
          <w:rFonts w:ascii="Verdana" w:cs="Verdana" w:eastAsia="Verdana" w:hAnsi="Verdana"/>
          <w:b/>
          <w:bCs/>
          <w:color w:val="92400E"/>
          <w:sz w:val="20"/>
          <w:szCs w:val="20"/>
        </w:rPr>
        <w:t xml:space="preserve">	12</w:t>
      </w:r>
    </w:p>
    <w:p>
      <w:pPr>
        <w:tabs>
          <w:tab w:val="right" w:pos="9638" w:leader="dot"/>
        </w:tabs>
        <w:spacing w:after="30"/>
        <w:ind w:left="300" w:right="0"/>
      </w:pPr>
      <w:r>
        <w:rPr>
          <w:rFonts w:ascii="Verdana" w:cs="Verdana" w:eastAsia="Verdana" w:hAnsi="Verdana"/>
          <w:sz w:val="20"/>
          <w:szCs w:val="20"/>
        </w:rPr>
        <w:t xml:space="preserve">1. GST at a Glance</w:t>
      </w:r>
      <w:r>
        <w:rPr>
          <w:rFonts w:ascii="Verdana" w:cs="Verdana" w:eastAsia="Verdana" w:hAnsi="Verdana"/>
          <w:sz w:val="20"/>
          <w:szCs w:val="20"/>
        </w:rPr>
        <w:t xml:space="preserve">	12</w:t>
      </w:r>
    </w:p>
    <w:p>
      <w:pPr>
        <w:tabs>
          <w:tab w:val="right" w:pos="9638" w:leader="dot"/>
        </w:tabs>
        <w:spacing w:after="30"/>
        <w:ind w:left="300" w:right="0"/>
      </w:pPr>
      <w:r>
        <w:rPr>
          <w:rFonts w:ascii="Verdana" w:cs="Verdana" w:eastAsia="Verdana" w:hAnsi="Verdana"/>
          <w:sz w:val="20"/>
          <w:szCs w:val="20"/>
        </w:rPr>
        <w:t xml:space="preserve">2. Constitutional Framework and the GST Council</w:t>
      </w:r>
      <w:r>
        <w:rPr>
          <w:rFonts w:ascii="Verdana" w:cs="Verdana" w:eastAsia="Verdana" w:hAnsi="Verdana"/>
          <w:sz w:val="20"/>
          <w:szCs w:val="20"/>
        </w:rPr>
        <w:t xml:space="preserve">	17</w:t>
      </w:r>
    </w:p>
    <w:p>
      <w:pPr>
        <w:tabs>
          <w:tab w:val="right" w:pos="9638" w:leader="dot"/>
        </w:tabs>
        <w:spacing w:after="30"/>
        <w:ind w:left="300" w:right="0"/>
      </w:pPr>
      <w:r>
        <w:rPr>
          <w:rFonts w:ascii="Verdana" w:cs="Verdana" w:eastAsia="Verdana" w:hAnsi="Verdana"/>
          <w:sz w:val="20"/>
          <w:szCs w:val="20"/>
        </w:rPr>
        <w:t xml:space="preserve">3. GST 2.0 and Recent Reforms (2025 to 2026)</w:t>
      </w:r>
      <w:r>
        <w:rPr>
          <w:rFonts w:ascii="Verdana" w:cs="Verdana" w:eastAsia="Verdana" w:hAnsi="Verdana"/>
          <w:sz w:val="20"/>
          <w:szCs w:val="20"/>
        </w:rPr>
        <w:t xml:space="preserve">	23</w:t>
      </w:r>
    </w:p>
    <w:p>
      <w:pPr>
        <w:tabs>
          <w:tab w:val="right" w:pos="9638" w:leader="dot"/>
        </w:tabs>
        <w:spacing w:after="30"/>
        <w:ind w:left="300" w:right="0"/>
      </w:pPr>
      <w:r>
        <w:rPr>
          <w:rFonts w:ascii="Verdana" w:cs="Verdana" w:eastAsia="Verdana" w:hAnsi="Verdana"/>
          <w:sz w:val="20"/>
          <w:szCs w:val="20"/>
        </w:rPr>
        <w:t xml:space="preserve">4. Key Definitions (Section 2)</w:t>
      </w:r>
      <w:r>
        <w:rPr>
          <w:rFonts w:ascii="Verdana" w:cs="Verdana" w:eastAsia="Verdana" w:hAnsi="Verdana"/>
          <w:sz w:val="20"/>
          <w:szCs w:val="20"/>
        </w:rPr>
        <w:t xml:space="preserve">	30</w:t>
      </w:r>
    </w:p>
    <w:p>
      <w:pPr>
        <w:tabs>
          <w:tab w:val="right" w:pos="9638" w:leader="dot"/>
        </w:tabs>
        <w:spacing w:after="60"/>
        <w:ind w:left="0" w:right="0"/>
      </w:pPr>
      <w:r>
        <w:rPr>
          <w:rFonts w:ascii="Verdana" w:cs="Verdana" w:eastAsia="Verdana" w:hAnsi="Verdana"/>
          <w:b/>
          <w:bCs/>
          <w:color w:val="92400E"/>
          <w:sz w:val="20"/>
          <w:szCs w:val="20"/>
        </w:rPr>
        <w:t xml:space="preserve">PART B: SUPPLY AND LEVY</w:t>
      </w:r>
      <w:r>
        <w:rPr>
          <w:rFonts w:ascii="Verdana" w:cs="Verdana" w:eastAsia="Verdana" w:hAnsi="Verdana"/>
          <w:b/>
          <w:bCs/>
          <w:color w:val="92400E"/>
          <w:sz w:val="20"/>
          <w:szCs w:val="20"/>
        </w:rPr>
        <w:t xml:space="preserve">	37</w:t>
      </w:r>
    </w:p>
    <w:p>
      <w:pPr>
        <w:tabs>
          <w:tab w:val="right" w:pos="9638" w:leader="dot"/>
        </w:tabs>
        <w:spacing w:after="30"/>
        <w:ind w:left="300" w:right="0"/>
      </w:pPr>
      <w:r>
        <w:rPr>
          <w:rFonts w:ascii="Verdana" w:cs="Verdana" w:eastAsia="Verdana" w:hAnsi="Verdana"/>
          <w:sz w:val="20"/>
          <w:szCs w:val="20"/>
        </w:rPr>
        <w:t xml:space="preserve">5. Meaning and Scope of Supply (Section 7 and Schedules I, II and III)</w:t>
      </w:r>
      <w:r>
        <w:rPr>
          <w:rFonts w:ascii="Verdana" w:cs="Verdana" w:eastAsia="Verdana" w:hAnsi="Verdana"/>
          <w:sz w:val="20"/>
          <w:szCs w:val="20"/>
        </w:rPr>
        <w:t xml:space="preserve">	37</w:t>
      </w:r>
    </w:p>
    <w:p>
      <w:pPr>
        <w:tabs>
          <w:tab w:val="right" w:pos="9638" w:leader="dot"/>
        </w:tabs>
        <w:spacing w:after="30"/>
        <w:ind w:left="300" w:right="0"/>
      </w:pPr>
      <w:r>
        <w:rPr>
          <w:rFonts w:ascii="Verdana" w:cs="Verdana" w:eastAsia="Verdana" w:hAnsi="Verdana"/>
          <w:sz w:val="20"/>
          <w:szCs w:val="20"/>
        </w:rPr>
        <w:t xml:space="preserve">6. Composite and Mixed Supply (Section 8)</w:t>
      </w:r>
      <w:r>
        <w:rPr>
          <w:rFonts w:ascii="Verdana" w:cs="Verdana" w:eastAsia="Verdana" w:hAnsi="Verdana"/>
          <w:sz w:val="20"/>
          <w:szCs w:val="20"/>
        </w:rPr>
        <w:t xml:space="preserve">	46</w:t>
      </w:r>
    </w:p>
    <w:p>
      <w:pPr>
        <w:tabs>
          <w:tab w:val="right" w:pos="9638" w:leader="dot"/>
        </w:tabs>
        <w:spacing w:after="30"/>
        <w:ind w:left="300" w:right="0"/>
      </w:pPr>
      <w:r>
        <w:rPr>
          <w:rFonts w:ascii="Verdana" w:cs="Verdana" w:eastAsia="Verdana" w:hAnsi="Verdana"/>
          <w:sz w:val="20"/>
          <w:szCs w:val="20"/>
        </w:rPr>
        <w:t xml:space="preserve">7. Levy, Exemptions and Reverse Charge (Sections 9 and 11; IGST Section 5)</w:t>
      </w:r>
      <w:r>
        <w:rPr>
          <w:rFonts w:ascii="Verdana" w:cs="Verdana" w:eastAsia="Verdana" w:hAnsi="Verdana"/>
          <w:sz w:val="20"/>
          <w:szCs w:val="20"/>
        </w:rPr>
        <w:t xml:space="preserve">	50</w:t>
      </w:r>
    </w:p>
    <w:p>
      <w:pPr>
        <w:tabs>
          <w:tab w:val="right" w:pos="9638" w:leader="dot"/>
        </w:tabs>
        <w:spacing w:after="30"/>
        <w:ind w:left="300" w:right="0"/>
      </w:pPr>
      <w:r>
        <w:rPr>
          <w:rFonts w:ascii="Verdana" w:cs="Verdana" w:eastAsia="Verdana" w:hAnsi="Verdana"/>
          <w:sz w:val="20"/>
          <w:szCs w:val="20"/>
        </w:rPr>
        <w:t xml:space="preserve">8. Classification and Rates</w:t>
      </w:r>
      <w:r>
        <w:rPr>
          <w:rFonts w:ascii="Verdana" w:cs="Verdana" w:eastAsia="Verdana" w:hAnsi="Verdana"/>
          <w:sz w:val="20"/>
          <w:szCs w:val="20"/>
        </w:rPr>
        <w:t xml:space="preserve">	55</w:t>
      </w:r>
    </w:p>
    <w:p>
      <w:pPr>
        <w:tabs>
          <w:tab w:val="right" w:pos="9638" w:leader="dot"/>
        </w:tabs>
        <w:spacing w:after="30"/>
        <w:ind w:left="300" w:right="0"/>
      </w:pPr>
      <w:r>
        <w:rPr>
          <w:rFonts w:ascii="Verdana" w:cs="Verdana" w:eastAsia="Verdana" w:hAnsi="Verdana"/>
          <w:sz w:val="20"/>
          <w:szCs w:val="20"/>
        </w:rPr>
        <w:t xml:space="preserve">9. Composition Scheme (Sections 10 and 10(2A))</w:t>
      </w:r>
      <w:r>
        <w:rPr>
          <w:rFonts w:ascii="Verdana" w:cs="Verdana" w:eastAsia="Verdana" w:hAnsi="Verdana"/>
          <w:sz w:val="20"/>
          <w:szCs w:val="20"/>
        </w:rPr>
        <w:t xml:space="preserve">	59</w:t>
      </w:r>
    </w:p>
    <w:p>
      <w:pPr>
        <w:tabs>
          <w:tab w:val="right" w:pos="9638" w:leader="dot"/>
        </w:tabs>
        <w:spacing w:after="60"/>
        <w:ind w:left="0" w:right="0"/>
      </w:pPr>
      <w:r>
        <w:rPr>
          <w:rFonts w:ascii="Verdana" w:cs="Verdana" w:eastAsia="Verdana" w:hAnsi="Verdana"/>
          <w:b/>
          <w:bCs/>
          <w:color w:val="92400E"/>
          <w:sz w:val="20"/>
          <w:szCs w:val="20"/>
        </w:rPr>
        <w:t xml:space="preserve">PART C: TIME, VALUE AND PLACE OF SUPPLY</w:t>
      </w:r>
      <w:r>
        <w:rPr>
          <w:rFonts w:ascii="Verdana" w:cs="Verdana" w:eastAsia="Verdana" w:hAnsi="Verdana"/>
          <w:b/>
          <w:bCs/>
          <w:color w:val="92400E"/>
          <w:sz w:val="20"/>
          <w:szCs w:val="20"/>
        </w:rPr>
        <w:t xml:space="preserve">	64</w:t>
      </w:r>
    </w:p>
    <w:p>
      <w:pPr>
        <w:tabs>
          <w:tab w:val="right" w:pos="9638" w:leader="dot"/>
        </w:tabs>
        <w:spacing w:after="30"/>
        <w:ind w:left="300" w:right="0"/>
      </w:pPr>
      <w:r>
        <w:rPr>
          <w:rFonts w:ascii="Verdana" w:cs="Verdana" w:eastAsia="Verdana" w:hAnsi="Verdana"/>
          <w:sz w:val="20"/>
          <w:szCs w:val="20"/>
        </w:rPr>
        <w:t xml:space="preserve">10. Time of Supply (Sections 12, 13 and 14)</w:t>
      </w:r>
      <w:r>
        <w:rPr>
          <w:rFonts w:ascii="Verdana" w:cs="Verdana" w:eastAsia="Verdana" w:hAnsi="Verdana"/>
          <w:sz w:val="20"/>
          <w:szCs w:val="20"/>
        </w:rPr>
        <w:t xml:space="preserve">	64</w:t>
      </w:r>
    </w:p>
    <w:p>
      <w:pPr>
        <w:tabs>
          <w:tab w:val="right" w:pos="9638" w:leader="dot"/>
        </w:tabs>
        <w:spacing w:after="30"/>
        <w:ind w:left="300" w:right="0"/>
      </w:pPr>
      <w:r>
        <w:rPr>
          <w:rFonts w:ascii="Verdana" w:cs="Verdana" w:eastAsia="Verdana" w:hAnsi="Verdana"/>
          <w:sz w:val="20"/>
          <w:szCs w:val="20"/>
        </w:rPr>
        <w:t xml:space="preserve">11. Value of Supply (Section 15 and Rules 27 to 35)</w:t>
      </w:r>
      <w:r>
        <w:rPr>
          <w:rFonts w:ascii="Verdana" w:cs="Verdana" w:eastAsia="Verdana" w:hAnsi="Verdana"/>
          <w:sz w:val="20"/>
          <w:szCs w:val="20"/>
        </w:rPr>
        <w:t xml:space="preserve">	69</w:t>
      </w:r>
    </w:p>
    <w:p>
      <w:pPr>
        <w:tabs>
          <w:tab w:val="right" w:pos="9638" w:leader="dot"/>
        </w:tabs>
        <w:spacing w:after="30"/>
        <w:ind w:left="300" w:right="0"/>
      </w:pPr>
      <w:r>
        <w:rPr>
          <w:rFonts w:ascii="Verdana" w:cs="Verdana" w:eastAsia="Verdana" w:hAnsi="Verdana"/>
          <w:sz w:val="20"/>
          <w:szCs w:val="20"/>
        </w:rPr>
        <w:t xml:space="preserve">12. Place of Supply: Domestic Transactions (IGST Sections 7, 8, 10 and 12)</w:t>
      </w:r>
      <w:r>
        <w:rPr>
          <w:rFonts w:ascii="Verdana" w:cs="Verdana" w:eastAsia="Verdana" w:hAnsi="Verdana"/>
          <w:sz w:val="20"/>
          <w:szCs w:val="20"/>
        </w:rPr>
        <w:t xml:space="preserve">	76</w:t>
      </w:r>
    </w:p>
    <w:p>
      <w:pPr>
        <w:tabs>
          <w:tab w:val="right" w:pos="9638" w:leader="dot"/>
        </w:tabs>
        <w:spacing w:after="30"/>
        <w:ind w:left="300" w:right="0"/>
      </w:pPr>
      <w:r>
        <w:rPr>
          <w:rFonts w:ascii="Verdana" w:cs="Verdana" w:eastAsia="Verdana" w:hAnsi="Verdana"/>
          <w:sz w:val="20"/>
          <w:szCs w:val="20"/>
        </w:rPr>
        <w:t xml:space="preserve">13. Place of Supply: Cross-Border Services (IGST Section 13) and OIDAR</w:t>
      </w:r>
      <w:r>
        <w:rPr>
          <w:rFonts w:ascii="Verdana" w:cs="Verdana" w:eastAsia="Verdana" w:hAnsi="Verdana"/>
          <w:sz w:val="20"/>
          <w:szCs w:val="20"/>
        </w:rPr>
        <w:t xml:space="preserve">	83</w:t>
      </w:r>
    </w:p>
    <w:p>
      <w:pPr>
        <w:tabs>
          <w:tab w:val="right" w:pos="9638" w:leader="dot"/>
        </w:tabs>
        <w:spacing w:after="30"/>
        <w:ind w:left="300" w:right="0"/>
      </w:pPr>
      <w:r>
        <w:rPr>
          <w:rFonts w:ascii="Verdana" w:cs="Verdana" w:eastAsia="Verdana" w:hAnsi="Verdana"/>
          <w:sz w:val="20"/>
          <w:szCs w:val="20"/>
        </w:rPr>
        <w:t xml:space="preserve">14. Imports, Exports, SEZ and Deemed Exports</w:t>
      </w:r>
      <w:r>
        <w:rPr>
          <w:rFonts w:ascii="Verdana" w:cs="Verdana" w:eastAsia="Verdana" w:hAnsi="Verdana"/>
          <w:sz w:val="20"/>
          <w:szCs w:val="20"/>
        </w:rPr>
        <w:t xml:space="preserve">	88</w:t>
      </w:r>
    </w:p>
    <w:p>
      <w:pPr>
        <w:tabs>
          <w:tab w:val="right" w:pos="9638" w:leader="dot"/>
        </w:tabs>
        <w:spacing w:after="60"/>
        <w:ind w:left="0" w:right="0"/>
      </w:pPr>
      <w:r>
        <w:rPr>
          <w:rFonts w:ascii="Verdana" w:cs="Verdana" w:eastAsia="Verdana" w:hAnsi="Verdana"/>
          <w:b/>
          <w:bCs/>
          <w:color w:val="92400E"/>
          <w:sz w:val="20"/>
          <w:szCs w:val="20"/>
        </w:rPr>
        <w:t xml:space="preserve">PART D: INPUT TAX CREDIT</w:t>
      </w:r>
      <w:r>
        <w:rPr>
          <w:rFonts w:ascii="Verdana" w:cs="Verdana" w:eastAsia="Verdana" w:hAnsi="Verdana"/>
          <w:b/>
          <w:bCs/>
          <w:color w:val="92400E"/>
          <w:sz w:val="20"/>
          <w:szCs w:val="20"/>
        </w:rPr>
        <w:t xml:space="preserve">	93</w:t>
      </w:r>
    </w:p>
    <w:p>
      <w:pPr>
        <w:tabs>
          <w:tab w:val="right" w:pos="9638" w:leader="dot"/>
        </w:tabs>
        <w:spacing w:after="30"/>
        <w:ind w:left="300" w:right="0"/>
      </w:pPr>
      <w:r>
        <w:rPr>
          <w:rFonts w:ascii="Verdana" w:cs="Verdana" w:eastAsia="Verdana" w:hAnsi="Verdana"/>
          <w:sz w:val="20"/>
          <w:szCs w:val="20"/>
        </w:rPr>
        <w:t xml:space="preserve">15. Input Tax Credit: Concept and Conditions (Section 16)</w:t>
      </w:r>
      <w:r>
        <w:rPr>
          <w:rFonts w:ascii="Verdana" w:cs="Verdana" w:eastAsia="Verdana" w:hAnsi="Verdana"/>
          <w:sz w:val="20"/>
          <w:szCs w:val="20"/>
        </w:rPr>
        <w:t xml:space="preserve">	93</w:t>
      </w:r>
    </w:p>
    <w:p>
      <w:pPr>
        <w:tabs>
          <w:tab w:val="right" w:pos="9638" w:leader="dot"/>
        </w:tabs>
        <w:spacing w:after="30"/>
        <w:ind w:left="300" w:right="0"/>
      </w:pPr>
      <w:r>
        <w:rPr>
          <w:rFonts w:ascii="Verdana" w:cs="Verdana" w:eastAsia="Verdana" w:hAnsi="Verdana"/>
          <w:sz w:val="20"/>
          <w:szCs w:val="20"/>
        </w:rPr>
        <w:t xml:space="preserve">16. Blocked Credits (Section 17(5))</w:t>
      </w:r>
      <w:r>
        <w:rPr>
          <w:rFonts w:ascii="Verdana" w:cs="Verdana" w:eastAsia="Verdana" w:hAnsi="Verdana"/>
          <w:sz w:val="20"/>
          <w:szCs w:val="20"/>
        </w:rPr>
        <w:t xml:space="preserve">	100</w:t>
      </w:r>
    </w:p>
    <w:p>
      <w:pPr>
        <w:tabs>
          <w:tab w:val="right" w:pos="9638" w:leader="dot"/>
        </w:tabs>
        <w:spacing w:after="30"/>
        <w:ind w:left="300" w:right="0"/>
      </w:pPr>
      <w:r>
        <w:rPr>
          <w:rFonts w:ascii="Verdana" w:cs="Verdana" w:eastAsia="Verdana" w:hAnsi="Verdana"/>
          <w:sz w:val="20"/>
          <w:szCs w:val="20"/>
        </w:rPr>
        <w:t xml:space="preserve">17. Apportionment and Reversal of Credit (Sections 17 and 18; Rules 42, 43 and 44)</w:t>
      </w:r>
      <w:r>
        <w:rPr>
          <w:rFonts w:ascii="Verdana" w:cs="Verdana" w:eastAsia="Verdana" w:hAnsi="Verdana"/>
          <w:sz w:val="20"/>
          <w:szCs w:val="20"/>
        </w:rPr>
        <w:t xml:space="preserve">	105</w:t>
      </w:r>
    </w:p>
    <w:p>
      <w:pPr>
        <w:tabs>
          <w:tab w:val="right" w:pos="9638" w:leader="dot"/>
        </w:tabs>
        <w:spacing w:after="30"/>
        <w:ind w:left="300" w:right="0"/>
      </w:pPr>
      <w:r>
        <w:rPr>
          <w:rFonts w:ascii="Verdana" w:cs="Verdana" w:eastAsia="Verdana" w:hAnsi="Verdana"/>
          <w:sz w:val="20"/>
          <w:szCs w:val="20"/>
        </w:rPr>
        <w:t xml:space="preserve">18. Special Cases of Input Tax Credit (Sections 18, 19, 20 and 143)</w:t>
      </w:r>
      <w:r>
        <w:rPr>
          <w:rFonts w:ascii="Verdana" w:cs="Verdana" w:eastAsia="Verdana" w:hAnsi="Verdana"/>
          <w:sz w:val="20"/>
          <w:szCs w:val="20"/>
        </w:rPr>
        <w:t xml:space="preserve">	111</w:t>
      </w:r>
    </w:p>
    <w:p>
      <w:pPr>
        <w:tabs>
          <w:tab w:val="right" w:pos="9638" w:leader="dot"/>
        </w:tabs>
        <w:spacing w:after="30"/>
        <w:ind w:left="300" w:right="0"/>
      </w:pPr>
      <w:r>
        <w:rPr>
          <w:rFonts w:ascii="Verdana" w:cs="Verdana" w:eastAsia="Verdana" w:hAnsi="Verdana"/>
          <w:sz w:val="20"/>
          <w:szCs w:val="20"/>
        </w:rPr>
        <w:t xml:space="preserve">19. ITC Matching, IMS and Credit Restrictions</w:t>
      </w:r>
      <w:r>
        <w:rPr>
          <w:rFonts w:ascii="Verdana" w:cs="Verdana" w:eastAsia="Verdana" w:hAnsi="Verdana"/>
          <w:sz w:val="20"/>
          <w:szCs w:val="20"/>
        </w:rPr>
        <w:t xml:space="preserve">	115</w:t>
      </w:r>
    </w:p>
    <w:p>
      <w:pPr>
        <w:tabs>
          <w:tab w:val="right" w:pos="9638" w:leader="dot"/>
        </w:tabs>
        <w:spacing w:after="60"/>
        <w:ind w:left="0" w:right="0"/>
      </w:pPr>
      <w:r>
        <w:rPr>
          <w:rFonts w:ascii="Verdana" w:cs="Verdana" w:eastAsia="Verdana" w:hAnsi="Verdana"/>
          <w:b/>
          <w:bCs/>
          <w:color w:val="92400E"/>
          <w:sz w:val="20"/>
          <w:szCs w:val="20"/>
        </w:rPr>
        <w:t xml:space="preserve">PART E: REGISTRATION, INVOICES AND RECORDS</w:t>
      </w:r>
      <w:r>
        <w:rPr>
          <w:rFonts w:ascii="Verdana" w:cs="Verdana" w:eastAsia="Verdana" w:hAnsi="Verdana"/>
          <w:b/>
          <w:bCs/>
          <w:color w:val="92400E"/>
          <w:sz w:val="20"/>
          <w:szCs w:val="20"/>
        </w:rPr>
        <w:t xml:space="preserve">	120</w:t>
      </w:r>
    </w:p>
    <w:p>
      <w:pPr>
        <w:tabs>
          <w:tab w:val="right" w:pos="9638" w:leader="dot"/>
        </w:tabs>
        <w:spacing w:after="30"/>
        <w:ind w:left="300" w:right="0"/>
      </w:pPr>
      <w:r>
        <w:rPr>
          <w:rFonts w:ascii="Verdana" w:cs="Verdana" w:eastAsia="Verdana" w:hAnsi="Verdana"/>
          <w:sz w:val="20"/>
          <w:szCs w:val="20"/>
        </w:rPr>
        <w:t xml:space="preserve">20. Registration (Sections 22 to 30)</w:t>
      </w:r>
      <w:r>
        <w:rPr>
          <w:rFonts w:ascii="Verdana" w:cs="Verdana" w:eastAsia="Verdana" w:hAnsi="Verdana"/>
          <w:sz w:val="20"/>
          <w:szCs w:val="20"/>
        </w:rPr>
        <w:t xml:space="preserve">	120</w:t>
      </w:r>
    </w:p>
    <w:p>
      <w:pPr>
        <w:tabs>
          <w:tab w:val="right" w:pos="9638" w:leader="dot"/>
        </w:tabs>
        <w:spacing w:after="30"/>
        <w:ind w:left="300" w:right="0"/>
      </w:pPr>
      <w:r>
        <w:rPr>
          <w:rFonts w:ascii="Verdana" w:cs="Verdana" w:eastAsia="Verdana" w:hAnsi="Verdana"/>
          <w:sz w:val="20"/>
          <w:szCs w:val="20"/>
        </w:rPr>
        <w:t xml:space="preserve">21. Tax Invoice, Credit and Debit Notes (Sections 31 to 34)</w:t>
      </w:r>
      <w:r>
        <w:rPr>
          <w:rFonts w:ascii="Verdana" w:cs="Verdana" w:eastAsia="Verdana" w:hAnsi="Verdana"/>
          <w:sz w:val="20"/>
          <w:szCs w:val="20"/>
        </w:rPr>
        <w:t xml:space="preserve">	126</w:t>
      </w:r>
    </w:p>
    <w:p>
      <w:pPr>
        <w:tabs>
          <w:tab w:val="right" w:pos="9638" w:leader="dot"/>
        </w:tabs>
        <w:spacing w:after="30"/>
        <w:ind w:left="300" w:right="0"/>
      </w:pPr>
      <w:r>
        <w:rPr>
          <w:rFonts w:ascii="Verdana" w:cs="Verdana" w:eastAsia="Verdana" w:hAnsi="Verdana"/>
          <w:sz w:val="20"/>
          <w:szCs w:val="20"/>
        </w:rPr>
        <w:t xml:space="preserve">22. E-Invoicing and E-Way Bills</w:t>
      </w:r>
      <w:r>
        <w:rPr>
          <w:rFonts w:ascii="Verdana" w:cs="Verdana" w:eastAsia="Verdana" w:hAnsi="Verdana"/>
          <w:sz w:val="20"/>
          <w:szCs w:val="20"/>
        </w:rPr>
        <w:t xml:space="preserve">	130</w:t>
      </w:r>
    </w:p>
    <w:p>
      <w:pPr>
        <w:tabs>
          <w:tab w:val="right" w:pos="9638" w:leader="dot"/>
        </w:tabs>
        <w:spacing w:after="30"/>
        <w:ind w:left="300" w:right="0"/>
      </w:pPr>
      <w:r>
        <w:rPr>
          <w:rFonts w:ascii="Verdana" w:cs="Verdana" w:eastAsia="Verdana" w:hAnsi="Verdana"/>
          <w:sz w:val="20"/>
          <w:szCs w:val="20"/>
        </w:rPr>
        <w:t xml:space="preserve">23. Accounts and Records (Sections 35 and 36)</w:t>
      </w:r>
      <w:r>
        <w:rPr>
          <w:rFonts w:ascii="Verdana" w:cs="Verdana" w:eastAsia="Verdana" w:hAnsi="Verdana"/>
          <w:sz w:val="20"/>
          <w:szCs w:val="20"/>
        </w:rPr>
        <w:t xml:space="preserve">	135</w:t>
      </w:r>
    </w:p>
    <w:p>
      <w:pPr>
        <w:tabs>
          <w:tab w:val="right" w:pos="9638" w:leader="dot"/>
        </w:tabs>
        <w:spacing w:after="60"/>
        <w:ind w:left="0" w:right="0"/>
      </w:pPr>
      <w:r>
        <w:rPr>
          <w:rFonts w:ascii="Verdana" w:cs="Verdana" w:eastAsia="Verdana" w:hAnsi="Verdana"/>
          <w:b/>
          <w:bCs/>
          <w:color w:val="92400E"/>
          <w:sz w:val="20"/>
          <w:szCs w:val="20"/>
        </w:rPr>
        <w:t xml:space="preserve">PART F: RETURNS, PAYMENT AND REFUNDS</w:t>
      </w:r>
      <w:r>
        <w:rPr>
          <w:rFonts w:ascii="Verdana" w:cs="Verdana" w:eastAsia="Verdana" w:hAnsi="Verdana"/>
          <w:b/>
          <w:bCs/>
          <w:color w:val="92400E"/>
          <w:sz w:val="20"/>
          <w:szCs w:val="20"/>
        </w:rPr>
        <w:t xml:space="preserve">	137</w:t>
      </w:r>
    </w:p>
    <w:p>
      <w:pPr>
        <w:tabs>
          <w:tab w:val="right" w:pos="9638" w:leader="dot"/>
        </w:tabs>
        <w:spacing w:after="30"/>
        <w:ind w:left="300" w:right="0"/>
      </w:pPr>
      <w:r>
        <w:rPr>
          <w:rFonts w:ascii="Verdana" w:cs="Verdana" w:eastAsia="Verdana" w:hAnsi="Verdana"/>
          <w:sz w:val="20"/>
          <w:szCs w:val="20"/>
        </w:rPr>
        <w:t xml:space="preserve">24. Returns (Sections 37 to 48)</w:t>
      </w:r>
      <w:r>
        <w:rPr>
          <w:rFonts w:ascii="Verdana" w:cs="Verdana" w:eastAsia="Verdana" w:hAnsi="Verdana"/>
          <w:sz w:val="20"/>
          <w:szCs w:val="20"/>
        </w:rPr>
        <w:t xml:space="preserve">	137</w:t>
      </w:r>
    </w:p>
    <w:p>
      <w:pPr>
        <w:tabs>
          <w:tab w:val="right" w:pos="9638" w:leader="dot"/>
        </w:tabs>
        <w:spacing w:after="30"/>
        <w:ind w:left="300" w:right="0"/>
      </w:pPr>
      <w:r>
        <w:rPr>
          <w:rFonts w:ascii="Verdana" w:cs="Verdana" w:eastAsia="Verdana" w:hAnsi="Verdana"/>
          <w:sz w:val="20"/>
          <w:szCs w:val="20"/>
        </w:rPr>
        <w:t xml:space="preserve">25. Payment of Tax, Interest, TDS and TCS (Sections 49 to 53)</w:t>
      </w:r>
      <w:r>
        <w:rPr>
          <w:rFonts w:ascii="Verdana" w:cs="Verdana" w:eastAsia="Verdana" w:hAnsi="Verdana"/>
          <w:sz w:val="20"/>
          <w:szCs w:val="20"/>
        </w:rPr>
        <w:t xml:space="preserve">	141</w:t>
      </w:r>
    </w:p>
    <w:p>
      <w:pPr>
        <w:tabs>
          <w:tab w:val="right" w:pos="9638" w:leader="dot"/>
        </w:tabs>
        <w:spacing w:after="30"/>
        <w:ind w:left="300" w:right="0"/>
      </w:pPr>
      <w:r>
        <w:rPr>
          <w:rFonts w:ascii="Verdana" w:cs="Verdana" w:eastAsia="Verdana" w:hAnsi="Verdana"/>
          <w:sz w:val="20"/>
          <w:szCs w:val="20"/>
        </w:rPr>
        <w:t xml:space="preserve">26. Refunds (Sections 54 to 58)</w:t>
      </w:r>
      <w:r>
        <w:rPr>
          <w:rFonts w:ascii="Verdana" w:cs="Verdana" w:eastAsia="Verdana" w:hAnsi="Verdana"/>
          <w:sz w:val="20"/>
          <w:szCs w:val="20"/>
        </w:rPr>
        <w:t xml:space="preserve">	144</w:t>
      </w:r>
    </w:p>
    <w:p>
      <w:pPr>
        <w:tabs>
          <w:tab w:val="right" w:pos="9638" w:leader="dot"/>
        </w:tabs>
        <w:spacing w:after="60"/>
        <w:ind w:left="0" w:right="0"/>
      </w:pPr>
      <w:r>
        <w:rPr>
          <w:rFonts w:ascii="Verdana" w:cs="Verdana" w:eastAsia="Verdana" w:hAnsi="Verdana"/>
          <w:b/>
          <w:bCs/>
          <w:color w:val="92400E"/>
          <w:sz w:val="20"/>
          <w:szCs w:val="20"/>
        </w:rPr>
        <w:t xml:space="preserve">PART G: SECTOR AND SPECIAL TOPICS</w:t>
      </w:r>
      <w:r>
        <w:rPr>
          <w:rFonts w:ascii="Verdana" w:cs="Verdana" w:eastAsia="Verdana" w:hAnsi="Verdana"/>
          <w:b/>
          <w:bCs/>
          <w:color w:val="92400E"/>
          <w:sz w:val="20"/>
          <w:szCs w:val="20"/>
        </w:rPr>
        <w:t xml:space="preserve">	149</w:t>
      </w:r>
    </w:p>
    <w:p>
      <w:pPr>
        <w:tabs>
          <w:tab w:val="right" w:pos="9638" w:leader="dot"/>
        </w:tabs>
        <w:spacing w:after="30"/>
        <w:ind w:left="300" w:right="0"/>
      </w:pPr>
      <w:r>
        <w:rPr>
          <w:rFonts w:ascii="Verdana" w:cs="Verdana" w:eastAsia="Verdana" w:hAnsi="Verdana"/>
          <w:sz w:val="20"/>
          <w:szCs w:val="20"/>
        </w:rPr>
        <w:t xml:space="preserve">27. Real Estate and Construction</w:t>
      </w:r>
      <w:r>
        <w:rPr>
          <w:rFonts w:ascii="Verdana" w:cs="Verdana" w:eastAsia="Verdana" w:hAnsi="Verdana"/>
          <w:sz w:val="20"/>
          <w:szCs w:val="20"/>
        </w:rPr>
        <w:t xml:space="preserve">	149</w:t>
      </w:r>
    </w:p>
    <w:p>
      <w:pPr>
        <w:tabs>
          <w:tab w:val="right" w:pos="9638" w:leader="dot"/>
        </w:tabs>
        <w:spacing w:after="30"/>
        <w:ind w:left="300" w:right="0"/>
      </w:pPr>
      <w:r>
        <w:rPr>
          <w:rFonts w:ascii="Verdana" w:cs="Verdana" w:eastAsia="Verdana" w:hAnsi="Verdana"/>
          <w:sz w:val="20"/>
          <w:szCs w:val="20"/>
        </w:rPr>
        <w:t xml:space="preserve">28. E-Commerce, Digital Services and Online Gaming</w:t>
      </w:r>
      <w:r>
        <w:rPr>
          <w:rFonts w:ascii="Verdana" w:cs="Verdana" w:eastAsia="Verdana" w:hAnsi="Verdana"/>
          <w:sz w:val="20"/>
          <w:szCs w:val="20"/>
        </w:rPr>
        <w:t xml:space="preserve">	156</w:t>
      </w:r>
    </w:p>
    <w:p>
      <w:pPr>
        <w:tabs>
          <w:tab w:val="right" w:pos="9638" w:leader="dot"/>
        </w:tabs>
        <w:spacing w:after="30"/>
        <w:ind w:left="300" w:right="0"/>
      </w:pPr>
      <w:r>
        <w:rPr>
          <w:rFonts w:ascii="Verdana" w:cs="Verdana" w:eastAsia="Verdana" w:hAnsi="Verdana"/>
          <w:sz w:val="20"/>
          <w:szCs w:val="20"/>
        </w:rPr>
        <w:t xml:space="preserve">29. Financial Services, Banking and Insurance</w:t>
      </w:r>
      <w:r>
        <w:rPr>
          <w:rFonts w:ascii="Verdana" w:cs="Verdana" w:eastAsia="Verdana" w:hAnsi="Verdana"/>
          <w:sz w:val="20"/>
          <w:szCs w:val="20"/>
        </w:rPr>
        <w:t xml:space="preserve">	160</w:t>
      </w:r>
    </w:p>
    <w:p>
      <w:pPr>
        <w:tabs>
          <w:tab w:val="right" w:pos="9638" w:leader="dot"/>
        </w:tabs>
        <w:spacing w:after="30"/>
        <w:ind w:left="300" w:right="0"/>
      </w:pPr>
      <w:r>
        <w:rPr>
          <w:rFonts w:ascii="Verdana" w:cs="Verdana" w:eastAsia="Verdana" w:hAnsi="Verdana"/>
          <w:sz w:val="20"/>
          <w:szCs w:val="20"/>
        </w:rPr>
        <w:t xml:space="preserve">30. Employees, Directors and Group Companies</w:t>
      </w:r>
      <w:r>
        <w:rPr>
          <w:rFonts w:ascii="Verdana" w:cs="Verdana" w:eastAsia="Verdana" w:hAnsi="Verdana"/>
          <w:sz w:val="20"/>
          <w:szCs w:val="20"/>
        </w:rPr>
        <w:t xml:space="preserve">	163</w:t>
      </w:r>
    </w:p>
    <w:p>
      <w:pPr>
        <w:tabs>
          <w:tab w:val="right" w:pos="9638" w:leader="dot"/>
        </w:tabs>
        <w:spacing w:after="30"/>
        <w:ind w:left="300" w:right="0"/>
      </w:pPr>
      <w:r>
        <w:rPr>
          <w:rFonts w:ascii="Verdana" w:cs="Verdana" w:eastAsia="Verdana" w:hAnsi="Verdana"/>
          <w:sz w:val="20"/>
          <w:szCs w:val="20"/>
        </w:rPr>
        <w:t xml:space="preserve">31. Hospitality, Travel, Transport and Logistics</w:t>
      </w:r>
      <w:r>
        <w:rPr>
          <w:rFonts w:ascii="Verdana" w:cs="Verdana" w:eastAsia="Verdana" w:hAnsi="Verdana"/>
          <w:sz w:val="20"/>
          <w:szCs w:val="20"/>
        </w:rPr>
        <w:t xml:space="preserve">	166</w:t>
      </w:r>
    </w:p>
    <w:p>
      <w:pPr>
        <w:tabs>
          <w:tab w:val="right" w:pos="9638" w:leader="dot"/>
        </w:tabs>
        <w:spacing w:after="30"/>
        <w:ind w:left="300" w:right="0"/>
      </w:pPr>
      <w:r>
        <w:rPr>
          <w:rFonts w:ascii="Verdana" w:cs="Verdana" w:eastAsia="Verdana" w:hAnsi="Verdana"/>
          <w:sz w:val="20"/>
          <w:szCs w:val="20"/>
        </w:rPr>
        <w:t xml:space="preserve">32. Education, Healthcare, Charities, Grants and Government</w:t>
      </w:r>
      <w:r>
        <w:rPr>
          <w:rFonts w:ascii="Verdana" w:cs="Verdana" w:eastAsia="Verdana" w:hAnsi="Verdana"/>
          <w:sz w:val="20"/>
          <w:szCs w:val="20"/>
        </w:rPr>
        <w:t xml:space="preserve">	169</w:t>
      </w:r>
    </w:p>
    <w:p>
      <w:pPr>
        <w:tabs>
          <w:tab w:val="right" w:pos="9638" w:leader="dot"/>
        </w:tabs>
        <w:spacing w:after="30"/>
        <w:ind w:left="300" w:right="0"/>
      </w:pPr>
      <w:r>
        <w:rPr>
          <w:rFonts w:ascii="Verdana" w:cs="Verdana" w:eastAsia="Verdana" w:hAnsi="Verdana"/>
          <w:sz w:val="20"/>
          <w:szCs w:val="20"/>
        </w:rPr>
        <w:t xml:space="preserve">33. MSMEs, Professionals and Startups</w:t>
      </w:r>
      <w:r>
        <w:rPr>
          <w:rFonts w:ascii="Verdana" w:cs="Verdana" w:eastAsia="Verdana" w:hAnsi="Verdana"/>
          <w:sz w:val="20"/>
          <w:szCs w:val="20"/>
        </w:rPr>
        <w:t xml:space="preserve">	172</w:t>
      </w:r>
    </w:p>
    <w:p>
      <w:pPr>
        <w:tabs>
          <w:tab w:val="right" w:pos="9638" w:leader="dot"/>
        </w:tabs>
        <w:spacing w:after="30"/>
        <w:ind w:left="300" w:right="0"/>
      </w:pPr>
      <w:r>
        <w:rPr>
          <w:rFonts w:ascii="Verdana" w:cs="Verdana" w:eastAsia="Verdana" w:hAnsi="Verdana"/>
          <w:sz w:val="20"/>
          <w:szCs w:val="20"/>
        </w:rPr>
        <w:t xml:space="preserve">34. Business Restructuring, Transfers and Insolvency</w:t>
      </w:r>
      <w:r>
        <w:rPr>
          <w:rFonts w:ascii="Verdana" w:cs="Verdana" w:eastAsia="Verdana" w:hAnsi="Verdana"/>
          <w:sz w:val="20"/>
          <w:szCs w:val="20"/>
        </w:rPr>
        <w:t xml:space="preserve">	175</w:t>
      </w:r>
    </w:p>
    <w:p>
      <w:pPr>
        <w:tabs>
          <w:tab w:val="right" w:pos="9638" w:leader="dot"/>
        </w:tabs>
        <w:spacing w:after="60"/>
        <w:ind w:left="0" w:right="0"/>
      </w:pPr>
      <w:r>
        <w:rPr>
          <w:rFonts w:ascii="Verdana" w:cs="Verdana" w:eastAsia="Verdana" w:hAnsi="Verdana"/>
          <w:b/>
          <w:bCs/>
          <w:color w:val="92400E"/>
          <w:sz w:val="20"/>
          <w:szCs w:val="20"/>
        </w:rPr>
        <w:t xml:space="preserve">PART H: ASSESSMENT, INVESTIGATION AND DISPUTES</w:t>
      </w:r>
      <w:r>
        <w:rPr>
          <w:rFonts w:ascii="Verdana" w:cs="Verdana" w:eastAsia="Verdana" w:hAnsi="Verdana"/>
          <w:b/>
          <w:bCs/>
          <w:color w:val="92400E"/>
          <w:sz w:val="20"/>
          <w:szCs w:val="20"/>
        </w:rPr>
        <w:t xml:space="preserve">	178</w:t>
      </w:r>
    </w:p>
    <w:p>
      <w:pPr>
        <w:tabs>
          <w:tab w:val="right" w:pos="9638" w:leader="dot"/>
        </w:tabs>
        <w:spacing w:after="30"/>
        <w:ind w:left="300" w:right="0"/>
      </w:pPr>
      <w:r>
        <w:rPr>
          <w:rFonts w:ascii="Verdana" w:cs="Verdana" w:eastAsia="Verdana" w:hAnsi="Verdana"/>
          <w:sz w:val="20"/>
          <w:szCs w:val="20"/>
        </w:rPr>
        <w:t xml:space="preserve">35. Assessment, Scrutiny and Audit (Sections 59 to 66)</w:t>
      </w:r>
      <w:r>
        <w:rPr>
          <w:rFonts w:ascii="Verdana" w:cs="Verdana" w:eastAsia="Verdana" w:hAnsi="Verdana"/>
          <w:sz w:val="20"/>
          <w:szCs w:val="20"/>
        </w:rPr>
        <w:t xml:space="preserve">	178</w:t>
      </w:r>
    </w:p>
    <w:p>
      <w:pPr>
        <w:tabs>
          <w:tab w:val="right" w:pos="9638" w:leader="dot"/>
        </w:tabs>
        <w:spacing w:after="30"/>
        <w:ind w:left="300" w:right="0"/>
      </w:pPr>
      <w:r>
        <w:rPr>
          <w:rFonts w:ascii="Verdana" w:cs="Verdana" w:eastAsia="Verdana" w:hAnsi="Verdana"/>
          <w:sz w:val="20"/>
          <w:szCs w:val="20"/>
        </w:rPr>
        <w:t xml:space="preserve">36. Demands and Recovery (Sections 73 to 84, 128A)</w:t>
      </w:r>
      <w:r>
        <w:rPr>
          <w:rFonts w:ascii="Verdana" w:cs="Verdana" w:eastAsia="Verdana" w:hAnsi="Verdana"/>
          <w:sz w:val="20"/>
          <w:szCs w:val="20"/>
        </w:rPr>
        <w:t xml:space="preserve">	186</w:t>
      </w:r>
    </w:p>
    <w:p>
      <w:pPr>
        <w:tabs>
          <w:tab w:val="right" w:pos="9638" w:leader="dot"/>
        </w:tabs>
        <w:spacing w:after="30"/>
        <w:ind w:left="300" w:right="0"/>
      </w:pPr>
      <w:r>
        <w:rPr>
          <w:rFonts w:ascii="Verdana" w:cs="Verdana" w:eastAsia="Verdana" w:hAnsi="Verdana"/>
          <w:sz w:val="20"/>
          <w:szCs w:val="20"/>
        </w:rPr>
        <w:t xml:space="preserve">37. Inspection, Search, Seizure, Summons and Arrest (Sections 67 to 72, 132)</w:t>
      </w:r>
      <w:r>
        <w:rPr>
          <w:rFonts w:ascii="Verdana" w:cs="Verdana" w:eastAsia="Verdana" w:hAnsi="Verdana"/>
          <w:sz w:val="20"/>
          <w:szCs w:val="20"/>
        </w:rPr>
        <w:t xml:space="preserve">	193</w:t>
      </w:r>
    </w:p>
    <w:p>
      <w:pPr>
        <w:tabs>
          <w:tab w:val="right" w:pos="9638" w:leader="dot"/>
        </w:tabs>
        <w:spacing w:after="30"/>
        <w:ind w:left="300" w:right="0"/>
      </w:pPr>
      <w:r>
        <w:rPr>
          <w:rFonts w:ascii="Verdana" w:cs="Verdana" w:eastAsia="Verdana" w:hAnsi="Verdana"/>
          <w:sz w:val="20"/>
          <w:szCs w:val="20"/>
        </w:rPr>
        <w:t xml:space="preserve">38. Advance Rulings (Sections 95 to 106)</w:t>
      </w:r>
      <w:r>
        <w:rPr>
          <w:rFonts w:ascii="Verdana" w:cs="Verdana" w:eastAsia="Verdana" w:hAnsi="Verdana"/>
          <w:sz w:val="20"/>
          <w:szCs w:val="20"/>
        </w:rPr>
        <w:t xml:space="preserve">	197</w:t>
      </w:r>
    </w:p>
    <w:p>
      <w:pPr>
        <w:tabs>
          <w:tab w:val="right" w:pos="9638" w:leader="dot"/>
        </w:tabs>
        <w:spacing w:after="30"/>
        <w:ind w:left="300" w:right="0"/>
      </w:pPr>
      <w:r>
        <w:rPr>
          <w:rFonts w:ascii="Verdana" w:cs="Verdana" w:eastAsia="Verdana" w:hAnsi="Verdana"/>
          <w:sz w:val="20"/>
          <w:szCs w:val="20"/>
        </w:rPr>
        <w:t xml:space="preserve">39. Appeals and Revision (Sections 107 to 121)</w:t>
      </w:r>
      <w:r>
        <w:rPr>
          <w:rFonts w:ascii="Verdana" w:cs="Verdana" w:eastAsia="Verdana" w:hAnsi="Verdana"/>
          <w:sz w:val="20"/>
          <w:szCs w:val="20"/>
        </w:rPr>
        <w:t xml:space="preserve">	200</w:t>
      </w:r>
    </w:p>
    <w:p>
      <w:pPr>
        <w:tabs>
          <w:tab w:val="right" w:pos="9638" w:leader="dot"/>
        </w:tabs>
        <w:spacing w:after="30"/>
        <w:ind w:left="300" w:right="0"/>
      </w:pPr>
      <w:r>
        <w:rPr>
          <w:rFonts w:ascii="Verdana" w:cs="Verdana" w:eastAsia="Verdana" w:hAnsi="Verdana"/>
          <w:sz w:val="20"/>
          <w:szCs w:val="20"/>
        </w:rPr>
        <w:t xml:space="preserve">40. Offences, Penalties, Late Fees and Prosecution (Sections 122 to 138)</w:t>
      </w:r>
      <w:r>
        <w:rPr>
          <w:rFonts w:ascii="Verdana" w:cs="Verdana" w:eastAsia="Verdana" w:hAnsi="Verdana"/>
          <w:sz w:val="20"/>
          <w:szCs w:val="20"/>
        </w:rPr>
        <w:t xml:space="preserve">	204</w:t>
      </w:r>
    </w:p>
    <w:p>
      <w:pPr>
        <w:tabs>
          <w:tab w:val="right" w:pos="9638" w:leader="dot"/>
        </w:tabs>
        <w:spacing w:after="30"/>
        <w:ind w:left="300" w:right="0"/>
      </w:pPr>
      <w:r>
        <w:rPr>
          <w:rFonts w:ascii="Verdana" w:cs="Verdana" w:eastAsia="Verdana" w:hAnsi="Verdana"/>
          <w:sz w:val="20"/>
          <w:szCs w:val="20"/>
        </w:rPr>
        <w:t xml:space="preserve">41. Anti-Profiteering (Section 171) and Rate-Cut Pricing</w:t>
      </w:r>
      <w:r>
        <w:rPr>
          <w:rFonts w:ascii="Verdana" w:cs="Verdana" w:eastAsia="Verdana" w:hAnsi="Verdana"/>
          <w:sz w:val="20"/>
          <w:szCs w:val="20"/>
        </w:rPr>
        <w:t xml:space="preserve">	207</w:t>
      </w:r>
    </w:p>
    <w:p>
      <w:pPr>
        <w:tabs>
          <w:tab w:val="right" w:pos="9638" w:leader="dot"/>
        </w:tabs>
        <w:spacing w:after="60"/>
        <w:ind w:left="0" w:right="0"/>
      </w:pPr>
      <w:r>
        <w:rPr>
          <w:rFonts w:ascii="Verdana" w:cs="Verdana" w:eastAsia="Verdana" w:hAnsi="Verdana"/>
          <w:b/>
          <w:bCs/>
          <w:color w:val="92400E"/>
          <w:sz w:val="20"/>
          <w:szCs w:val="20"/>
        </w:rPr>
        <w:t xml:space="preserve">PART I: ACCOUNTING, RECONCILIATION AND PRACTICE</w:t>
      </w:r>
      <w:r>
        <w:rPr>
          <w:rFonts w:ascii="Verdana" w:cs="Verdana" w:eastAsia="Verdana" w:hAnsi="Verdana"/>
          <w:b/>
          <w:bCs/>
          <w:color w:val="92400E"/>
          <w:sz w:val="20"/>
          <w:szCs w:val="20"/>
        </w:rPr>
        <w:t xml:space="preserve">	210</w:t>
      </w:r>
    </w:p>
    <w:p>
      <w:pPr>
        <w:tabs>
          <w:tab w:val="right" w:pos="9638" w:leader="dot"/>
        </w:tabs>
        <w:spacing w:after="30"/>
        <w:ind w:left="300" w:right="0"/>
      </w:pPr>
      <w:r>
        <w:rPr>
          <w:rFonts w:ascii="Verdana" w:cs="Verdana" w:eastAsia="Verdana" w:hAnsi="Verdana"/>
          <w:sz w:val="20"/>
          <w:szCs w:val="20"/>
        </w:rPr>
        <w:t xml:space="preserve">42. GST in Books of Account and Financial Statements</w:t>
      </w:r>
      <w:r>
        <w:rPr>
          <w:rFonts w:ascii="Verdana" w:cs="Verdana" w:eastAsia="Verdana" w:hAnsi="Verdana"/>
          <w:sz w:val="20"/>
          <w:szCs w:val="20"/>
        </w:rPr>
        <w:t xml:space="preserve">	210</w:t>
      </w:r>
    </w:p>
    <w:p>
      <w:pPr>
        <w:tabs>
          <w:tab w:val="right" w:pos="9638" w:leader="dot"/>
        </w:tabs>
        <w:spacing w:after="30"/>
        <w:ind w:left="300" w:right="0"/>
      </w:pPr>
      <w:r>
        <w:rPr>
          <w:rFonts w:ascii="Verdana" w:cs="Verdana" w:eastAsia="Verdana" w:hAnsi="Verdana"/>
          <w:sz w:val="20"/>
          <w:szCs w:val="20"/>
        </w:rPr>
        <w:t xml:space="preserve">43. Reconciliations and Year-End Closing</w:t>
      </w:r>
      <w:r>
        <w:rPr>
          <w:rFonts w:ascii="Verdana" w:cs="Verdana" w:eastAsia="Verdana" w:hAnsi="Verdana"/>
          <w:sz w:val="20"/>
          <w:szCs w:val="20"/>
        </w:rPr>
        <w:t xml:space="preserve">	213</w:t>
      </w:r>
    </w:p>
    <w:p>
      <w:pPr>
        <w:tabs>
          <w:tab w:val="right" w:pos="9638" w:leader="dot"/>
        </w:tabs>
        <w:spacing w:after="30"/>
        <w:ind w:left="300" w:right="0"/>
      </w:pPr>
      <w:r>
        <w:rPr>
          <w:rFonts w:ascii="Verdana" w:cs="Verdana" w:eastAsia="Verdana" w:hAnsi="Verdana"/>
          <w:sz w:val="20"/>
          <w:szCs w:val="20"/>
        </w:rPr>
        <w:t xml:space="preserve">44. Handling Notices and Managing Litigation</w:t>
      </w:r>
      <w:r>
        <w:rPr>
          <w:rFonts w:ascii="Verdana" w:cs="Verdana" w:eastAsia="Verdana" w:hAnsi="Verdana"/>
          <w:sz w:val="20"/>
          <w:szCs w:val="20"/>
        </w:rPr>
        <w:t xml:space="preserve">	216</w:t>
      </w:r>
    </w:p>
    <w:p>
      <w:pPr>
        <w:tabs>
          <w:tab w:val="right" w:pos="9638" w:leader="dot"/>
        </w:tabs>
        <w:spacing w:after="60"/>
        <w:ind w:left="0" w:right="0"/>
      </w:pPr>
      <w:r>
        <w:rPr>
          <w:rFonts w:ascii="Verdana" w:cs="Verdana" w:eastAsia="Verdana" w:hAnsi="Verdana"/>
          <w:b/>
          <w:bCs/>
          <w:color w:val="92400E"/>
          <w:sz w:val="20"/>
          <w:szCs w:val="20"/>
        </w:rPr>
        <w:t xml:space="preserve">PART J: COMPREHENSIVE CASE STUDIES</w:t>
      </w:r>
      <w:r>
        <w:rPr>
          <w:rFonts w:ascii="Verdana" w:cs="Verdana" w:eastAsia="Verdana" w:hAnsi="Verdana"/>
          <w:b/>
          <w:bCs/>
          <w:color w:val="92400E"/>
          <w:sz w:val="20"/>
          <w:szCs w:val="20"/>
        </w:rPr>
        <w:t xml:space="preserve">	219</w:t>
      </w:r>
    </w:p>
    <w:p>
      <w:pPr>
        <w:tabs>
          <w:tab w:val="right" w:pos="9638" w:leader="dot"/>
        </w:tabs>
        <w:spacing w:after="30"/>
        <w:ind w:left="300" w:right="0"/>
      </w:pPr>
      <w:r>
        <w:rPr>
          <w:rFonts w:ascii="Verdana" w:cs="Verdana" w:eastAsia="Verdana" w:hAnsi="Verdana"/>
          <w:sz w:val="20"/>
          <w:szCs w:val="20"/>
        </w:rPr>
        <w:t xml:space="preserve">45. Case Study 1: Monthly GSTR-3B of a Trading Company</w:t>
      </w:r>
      <w:r>
        <w:rPr>
          <w:rFonts w:ascii="Verdana" w:cs="Verdana" w:eastAsia="Verdana" w:hAnsi="Verdana"/>
          <w:sz w:val="20"/>
          <w:szCs w:val="20"/>
        </w:rPr>
        <w:t xml:space="preserve">	219</w:t>
      </w:r>
    </w:p>
    <w:p>
      <w:pPr>
        <w:tabs>
          <w:tab w:val="right" w:pos="9638" w:leader="dot"/>
        </w:tabs>
        <w:spacing w:after="30"/>
        <w:ind w:left="300" w:right="0"/>
      </w:pPr>
      <w:r>
        <w:rPr>
          <w:rFonts w:ascii="Verdana" w:cs="Verdana" w:eastAsia="Verdana" w:hAnsi="Verdana"/>
          <w:sz w:val="20"/>
          <w:szCs w:val="20"/>
        </w:rPr>
        <w:t xml:space="preserve">46. Case Study 2: Manufacturer with Taxable and Exempt Supplies</w:t>
      </w:r>
      <w:r>
        <w:rPr>
          <w:rFonts w:ascii="Verdana" w:cs="Verdana" w:eastAsia="Verdana" w:hAnsi="Verdana"/>
          <w:sz w:val="20"/>
          <w:szCs w:val="20"/>
        </w:rPr>
        <w:t xml:space="preserve">	223</w:t>
      </w:r>
    </w:p>
    <w:p>
      <w:pPr>
        <w:tabs>
          <w:tab w:val="right" w:pos="9638" w:leader="dot"/>
        </w:tabs>
        <w:spacing w:after="30"/>
        <w:ind w:left="300" w:right="0"/>
      </w:pPr>
      <w:r>
        <w:rPr>
          <w:rFonts w:ascii="Verdana" w:cs="Verdana" w:eastAsia="Verdana" w:hAnsi="Verdana"/>
          <w:sz w:val="20"/>
          <w:szCs w:val="20"/>
        </w:rPr>
        <w:t xml:space="preserve">47. Case Study 3: IT Services Exporter and Refund under Rule 89(4)</w:t>
      </w:r>
      <w:r>
        <w:rPr>
          <w:rFonts w:ascii="Verdana" w:cs="Verdana" w:eastAsia="Verdana" w:hAnsi="Verdana"/>
          <w:sz w:val="20"/>
          <w:szCs w:val="20"/>
        </w:rPr>
        <w:t xml:space="preserve">	226</w:t>
      </w:r>
    </w:p>
    <w:p>
      <w:pPr>
        <w:tabs>
          <w:tab w:val="right" w:pos="9638" w:leader="dot"/>
        </w:tabs>
        <w:spacing w:after="30"/>
        <w:ind w:left="300" w:right="0"/>
      </w:pPr>
      <w:r>
        <w:rPr>
          <w:rFonts w:ascii="Verdana" w:cs="Verdana" w:eastAsia="Verdana" w:hAnsi="Verdana"/>
          <w:sz w:val="20"/>
          <w:szCs w:val="20"/>
        </w:rPr>
        <w:t xml:space="preserve">48. Case Study 4: Textile Unit with Inverted Duty Structure after GST 2.0</w:t>
      </w:r>
      <w:r>
        <w:rPr>
          <w:rFonts w:ascii="Verdana" w:cs="Verdana" w:eastAsia="Verdana" w:hAnsi="Verdana"/>
          <w:sz w:val="20"/>
          <w:szCs w:val="20"/>
        </w:rPr>
        <w:t xml:space="preserve">	229</w:t>
      </w:r>
    </w:p>
    <w:p>
      <w:pPr>
        <w:tabs>
          <w:tab w:val="right" w:pos="9638" w:leader="dot"/>
        </w:tabs>
        <w:spacing w:after="30"/>
        <w:ind w:left="300" w:right="0"/>
      </w:pPr>
      <w:r>
        <w:rPr>
          <w:rFonts w:ascii="Verdana" w:cs="Verdana" w:eastAsia="Verdana" w:hAnsi="Verdana"/>
          <w:sz w:val="20"/>
          <w:szCs w:val="20"/>
        </w:rPr>
        <w:t xml:space="preserve">49. Case Study 5: Residential Real Estate Project</w:t>
      </w:r>
      <w:r>
        <w:rPr>
          <w:rFonts w:ascii="Verdana" w:cs="Verdana" w:eastAsia="Verdana" w:hAnsi="Verdana"/>
          <w:sz w:val="20"/>
          <w:szCs w:val="20"/>
        </w:rPr>
        <w:t xml:space="preserve">	232</w:t>
      </w:r>
    </w:p>
    <w:p>
      <w:pPr>
        <w:tabs>
          <w:tab w:val="right" w:pos="9638" w:leader="dot"/>
        </w:tabs>
        <w:spacing w:after="30"/>
        <w:ind w:left="300" w:right="0"/>
      </w:pPr>
      <w:r>
        <w:rPr>
          <w:rFonts w:ascii="Verdana" w:cs="Verdana" w:eastAsia="Verdana" w:hAnsi="Verdana"/>
          <w:sz w:val="20"/>
          <w:szCs w:val="20"/>
        </w:rPr>
        <w:t xml:space="preserve">50. Case Study 6: Hotel with Restaurant, Banquet and Catering</w:t>
      </w:r>
      <w:r>
        <w:rPr>
          <w:rFonts w:ascii="Verdana" w:cs="Verdana" w:eastAsia="Verdana" w:hAnsi="Verdana"/>
          <w:sz w:val="20"/>
          <w:szCs w:val="20"/>
        </w:rPr>
        <w:t xml:space="preserve">	235</w:t>
      </w:r>
    </w:p>
    <w:p>
      <w:pPr>
        <w:tabs>
          <w:tab w:val="right" w:pos="9638" w:leader="dot"/>
        </w:tabs>
        <w:spacing w:after="30"/>
        <w:ind w:left="300" w:right="0"/>
      </w:pPr>
      <w:r>
        <w:rPr>
          <w:rFonts w:ascii="Verdana" w:cs="Verdana" w:eastAsia="Verdana" w:hAnsi="Verdana"/>
          <w:sz w:val="20"/>
          <w:szCs w:val="20"/>
        </w:rPr>
        <w:t xml:space="preserve">51. Case Study 7: E-commerce Seller on a Marketplace</w:t>
      </w:r>
      <w:r>
        <w:rPr>
          <w:rFonts w:ascii="Verdana" w:cs="Verdana" w:eastAsia="Verdana" w:hAnsi="Verdana"/>
          <w:sz w:val="20"/>
          <w:szCs w:val="20"/>
        </w:rPr>
        <w:t xml:space="preserve">	238</w:t>
      </w:r>
    </w:p>
    <w:p>
      <w:pPr>
        <w:tabs>
          <w:tab w:val="right" w:pos="9638" w:leader="dot"/>
        </w:tabs>
        <w:spacing w:after="30"/>
        <w:ind w:left="300" w:right="0"/>
      </w:pPr>
      <w:r>
        <w:rPr>
          <w:rFonts w:ascii="Verdana" w:cs="Verdana" w:eastAsia="Verdana" w:hAnsi="Verdana"/>
          <w:sz w:val="20"/>
          <w:szCs w:val="20"/>
        </w:rPr>
        <w:t xml:space="preserve">52. Case Study 8: Startup Incubator as a Section 8 Company</w:t>
      </w:r>
      <w:r>
        <w:rPr>
          <w:rFonts w:ascii="Verdana" w:cs="Verdana" w:eastAsia="Verdana" w:hAnsi="Verdana"/>
          <w:sz w:val="20"/>
          <w:szCs w:val="20"/>
        </w:rPr>
        <w:t xml:space="preserve">	241</w:t>
      </w:r>
    </w:p>
    <w:p>
      <w:pPr>
        <w:tabs>
          <w:tab w:val="right" w:pos="9638" w:leader="dot"/>
        </w:tabs>
        <w:spacing w:after="30"/>
        <w:ind w:left="300" w:right="0"/>
      </w:pPr>
      <w:r>
        <w:rPr>
          <w:rFonts w:ascii="Verdana" w:cs="Verdana" w:eastAsia="Verdana" w:hAnsi="Verdana"/>
          <w:sz w:val="20"/>
          <w:szCs w:val="20"/>
        </w:rPr>
        <w:t xml:space="preserve">53. Case Study 9: Group Cross Charge, Corporate Guarantee, Secondment and Directors</w:t>
      </w:r>
      <w:r>
        <w:rPr>
          <w:rFonts w:ascii="Verdana" w:cs="Verdana" w:eastAsia="Verdana" w:hAnsi="Verdana"/>
          <w:sz w:val="20"/>
          <w:szCs w:val="20"/>
        </w:rPr>
        <w:t xml:space="preserve">	244</w:t>
      </w:r>
    </w:p>
    <w:p>
      <w:pPr>
        <w:tabs>
          <w:tab w:val="right" w:pos="9638" w:leader="dot"/>
        </w:tabs>
        <w:spacing w:after="30"/>
        <w:ind w:left="300" w:right="0"/>
      </w:pPr>
      <w:r>
        <w:rPr>
          <w:rFonts w:ascii="Verdana" w:cs="Verdana" w:eastAsia="Verdana" w:hAnsi="Verdana"/>
          <w:sz w:val="20"/>
          <w:szCs w:val="20"/>
        </w:rPr>
        <w:t xml:space="preserve">54. Case Study 10: Importer and Distributor</w:t>
      </w:r>
      <w:r>
        <w:rPr>
          <w:rFonts w:ascii="Verdana" w:cs="Verdana" w:eastAsia="Verdana" w:hAnsi="Verdana"/>
          <w:sz w:val="20"/>
          <w:szCs w:val="20"/>
        </w:rPr>
        <w:t xml:space="preserve">	247</w:t>
      </w:r>
    </w:p>
    <w:p>
      <w:pPr>
        <w:tabs>
          <w:tab w:val="right" w:pos="9638" w:leader="dot"/>
        </w:tabs>
        <w:spacing w:after="30"/>
        <w:ind w:left="300" w:right="0"/>
      </w:pPr>
      <w:r>
        <w:rPr>
          <w:rFonts w:ascii="Verdana" w:cs="Verdana" w:eastAsia="Verdana" w:hAnsi="Verdana"/>
          <w:sz w:val="20"/>
          <w:szCs w:val="20"/>
        </w:rPr>
        <w:t xml:space="preserve">55. Case Study 11: Transport Operator Choosing the GTA Option</w:t>
      </w:r>
      <w:r>
        <w:rPr>
          <w:rFonts w:ascii="Verdana" w:cs="Verdana" w:eastAsia="Verdana" w:hAnsi="Verdana"/>
          <w:sz w:val="20"/>
          <w:szCs w:val="20"/>
        </w:rPr>
        <w:t xml:space="preserve">	250</w:t>
      </w:r>
    </w:p>
    <w:p>
      <w:pPr>
        <w:tabs>
          <w:tab w:val="right" w:pos="9638" w:leader="dot"/>
        </w:tabs>
        <w:spacing w:after="30"/>
        <w:ind w:left="300" w:right="0"/>
      </w:pPr>
      <w:r>
        <w:rPr>
          <w:rFonts w:ascii="Verdana" w:cs="Verdana" w:eastAsia="Verdana" w:hAnsi="Verdana"/>
          <w:sz w:val="20"/>
          <w:szCs w:val="20"/>
        </w:rPr>
        <w:t xml:space="preserve">56. Case Study 12: Show Cause Notice under Section 74A</w:t>
      </w:r>
      <w:r>
        <w:rPr>
          <w:rFonts w:ascii="Verdana" w:cs="Verdana" w:eastAsia="Verdana" w:hAnsi="Verdana"/>
          <w:sz w:val="20"/>
          <w:szCs w:val="20"/>
        </w:rPr>
        <w:t xml:space="preserve">	252</w:t>
      </w:r>
    </w:p>
    <w:p>
      <w:pPr>
        <w:tabs>
          <w:tab w:val="right" w:pos="9638" w:leader="dot"/>
        </w:tabs>
        <w:spacing w:after="30"/>
        <w:ind w:left="300" w:right="0"/>
      </w:pPr>
      <w:r>
        <w:rPr>
          <w:rFonts w:ascii="Verdana" w:cs="Verdana" w:eastAsia="Verdana" w:hAnsi="Verdana"/>
          <w:sz w:val="20"/>
          <w:szCs w:val="20"/>
        </w:rPr>
        <w:t xml:space="preserve">57. Case Study 13: Annual Return and Reconciliation for FY 2025-26</w:t>
      </w:r>
      <w:r>
        <w:rPr>
          <w:rFonts w:ascii="Verdana" w:cs="Verdana" w:eastAsia="Verdana" w:hAnsi="Verdana"/>
          <w:sz w:val="20"/>
          <w:szCs w:val="20"/>
        </w:rPr>
        <w:t xml:space="preserve">	255</w:t>
      </w:r>
    </w:p>
    <w:p>
      <w:pPr>
        <w:tabs>
          <w:tab w:val="right" w:pos="9638" w:leader="dot"/>
        </w:tabs>
        <w:spacing w:after="30"/>
        <w:ind w:left="300" w:right="0"/>
      </w:pPr>
      <w:r>
        <w:rPr>
          <w:rFonts w:ascii="Verdana" w:cs="Verdana" w:eastAsia="Verdana" w:hAnsi="Verdana"/>
          <w:sz w:val="20"/>
          <w:szCs w:val="20"/>
        </w:rPr>
        <w:t xml:space="preserve">58. Case Study 14: Going Concern, Slump Sale or Itemised Sale</w:t>
      </w:r>
      <w:r>
        <w:rPr>
          <w:rFonts w:ascii="Verdana" w:cs="Verdana" w:eastAsia="Verdana" w:hAnsi="Verdana"/>
          <w:sz w:val="20"/>
          <w:szCs w:val="20"/>
        </w:rPr>
        <w:t xml:space="preserve">	258</w:t>
      </w:r>
    </w:p>
    <w:p>
      <w:pPr>
        <w:tabs>
          <w:tab w:val="right" w:pos="9638" w:leader="dot"/>
        </w:tabs>
        <w:spacing w:after="30"/>
        <w:ind w:left="300" w:right="0"/>
      </w:pPr>
      <w:r>
        <w:rPr>
          <w:rFonts w:ascii="Verdana" w:cs="Verdana" w:eastAsia="Verdana" w:hAnsi="Verdana"/>
          <w:sz w:val="20"/>
          <w:szCs w:val="20"/>
        </w:rPr>
        <w:t xml:space="preserve">59. Case Study 15: Composition or Regular Scheme for Small Businesses</w:t>
      </w:r>
      <w:r>
        <w:rPr>
          <w:rFonts w:ascii="Verdana" w:cs="Verdana" w:eastAsia="Verdana" w:hAnsi="Verdana"/>
          <w:sz w:val="20"/>
          <w:szCs w:val="20"/>
        </w:rPr>
        <w:t xml:space="preserve">	261</w:t>
      </w:r>
    </w:p>
    <w:p>
      <w:pPr>
        <w:tabs>
          <w:tab w:val="right" w:pos="9638" w:leader="dot"/>
        </w:tabs>
        <w:spacing w:after="30"/>
        <w:ind w:left="300" w:right="0"/>
      </w:pPr>
      <w:r>
        <w:rPr>
          <w:rFonts w:ascii="Verdana" w:cs="Verdana" w:eastAsia="Verdana" w:hAnsi="Verdana"/>
          <w:sz w:val="20"/>
          <w:szCs w:val="20"/>
        </w:rPr>
        <w:t xml:space="preserve">Appendix A: Section Map of the CGST Act, 2017</w:t>
      </w:r>
      <w:r>
        <w:rPr>
          <w:rFonts w:ascii="Verdana" w:cs="Verdana" w:eastAsia="Verdana" w:hAnsi="Verdana"/>
          <w:sz w:val="20"/>
          <w:szCs w:val="20"/>
        </w:rPr>
        <w:t xml:space="preserve">	263</w:t>
      </w:r>
    </w:p>
    <w:p>
      <w:pPr>
        <w:tabs>
          <w:tab w:val="right" w:pos="9638" w:leader="dot"/>
        </w:tabs>
        <w:spacing w:after="30"/>
        <w:ind w:left="300" w:right="0"/>
      </w:pPr>
      <w:r>
        <w:rPr>
          <w:rFonts w:ascii="Verdana" w:cs="Verdana" w:eastAsia="Verdana" w:hAnsi="Verdana"/>
          <w:sz w:val="20"/>
          <w:szCs w:val="20"/>
        </w:rPr>
        <w:t xml:space="preserve">Appendix B: Key CGST Rules at a Glance</w:t>
      </w:r>
      <w:r>
        <w:rPr>
          <w:rFonts w:ascii="Verdana" w:cs="Verdana" w:eastAsia="Verdana" w:hAnsi="Verdana"/>
          <w:sz w:val="20"/>
          <w:szCs w:val="20"/>
        </w:rPr>
        <w:t xml:space="preserve">	267</w:t>
      </w:r>
    </w:p>
    <w:p>
      <w:pPr>
        <w:tabs>
          <w:tab w:val="right" w:pos="9638" w:leader="dot"/>
        </w:tabs>
        <w:spacing w:after="30"/>
        <w:ind w:left="300" w:right="0"/>
      </w:pPr>
      <w:r>
        <w:rPr>
          <w:rFonts w:ascii="Verdana" w:cs="Verdana" w:eastAsia="Verdana" w:hAnsi="Verdana"/>
          <w:sz w:val="20"/>
          <w:szCs w:val="20"/>
        </w:rPr>
        <w:t xml:space="preserve">Appendix C: GST Rate Chart after GST 2.0</w:t>
      </w:r>
      <w:r>
        <w:rPr>
          <w:rFonts w:ascii="Verdana" w:cs="Verdana" w:eastAsia="Verdana" w:hAnsi="Verdana"/>
          <w:sz w:val="20"/>
          <w:szCs w:val="20"/>
        </w:rPr>
        <w:t xml:space="preserve">	270</w:t>
      </w:r>
    </w:p>
    <w:p>
      <w:pPr>
        <w:tabs>
          <w:tab w:val="right" w:pos="9638" w:leader="dot"/>
        </w:tabs>
        <w:spacing w:after="30"/>
        <w:ind w:left="300" w:right="0"/>
      </w:pPr>
      <w:r>
        <w:rPr>
          <w:rFonts w:ascii="Verdana" w:cs="Verdana" w:eastAsia="Verdana" w:hAnsi="Verdana"/>
          <w:sz w:val="20"/>
          <w:szCs w:val="20"/>
        </w:rPr>
        <w:t xml:space="preserve">Appendix D: Compliance Calendar</w:t>
      </w:r>
      <w:r>
        <w:rPr>
          <w:rFonts w:ascii="Verdana" w:cs="Verdana" w:eastAsia="Verdana" w:hAnsi="Verdana"/>
          <w:sz w:val="20"/>
          <w:szCs w:val="20"/>
        </w:rPr>
        <w:t xml:space="preserve">	273</w:t>
      </w:r>
    </w:p>
    <w:p>
      <w:pPr>
        <w:tabs>
          <w:tab w:val="right" w:pos="9638" w:leader="dot"/>
        </w:tabs>
        <w:spacing w:after="30"/>
        <w:ind w:left="300" w:right="0"/>
      </w:pPr>
      <w:r>
        <w:rPr>
          <w:rFonts w:ascii="Verdana" w:cs="Verdana" w:eastAsia="Verdana" w:hAnsi="Verdana"/>
          <w:sz w:val="20"/>
          <w:szCs w:val="20"/>
        </w:rPr>
        <w:t xml:space="preserve">Appendix E: Digest of Rulings</w:t>
      </w:r>
      <w:r>
        <w:rPr>
          <w:rFonts w:ascii="Verdana" w:cs="Verdana" w:eastAsia="Verdana" w:hAnsi="Verdana"/>
          <w:sz w:val="20"/>
          <w:szCs w:val="20"/>
        </w:rPr>
        <w:t xml:space="preserve">	275</w:t>
      </w:r>
    </w:p>
    <w:p>
      <w:pPr>
        <w:tabs>
          <w:tab w:val="right" w:pos="9638" w:leader="dot"/>
        </w:tabs>
        <w:spacing w:after="30"/>
        <w:ind w:left="300" w:right="0"/>
      </w:pPr>
      <w:r>
        <w:rPr>
          <w:rFonts w:ascii="Verdana" w:cs="Verdana" w:eastAsia="Verdana" w:hAnsi="Verdana"/>
          <w:sz w:val="20"/>
          <w:szCs w:val="20"/>
        </w:rPr>
        <w:t xml:space="preserve">Appendix F: GST Forms Guide</w:t>
      </w:r>
      <w:r>
        <w:rPr>
          <w:rFonts w:ascii="Verdana" w:cs="Verdana" w:eastAsia="Verdana" w:hAnsi="Verdana"/>
          <w:sz w:val="20"/>
          <w:szCs w:val="20"/>
        </w:rPr>
        <w:t xml:space="preserve">	280</w:t>
      </w:r>
    </w:p>
    <w:p>
      <w:pPr>
        <w:tabs>
          <w:tab w:val="right" w:pos="9638" w:leader="dot"/>
        </w:tabs>
        <w:spacing w:after="30"/>
        <w:ind w:left="300" w:right="0"/>
      </w:pPr>
      <w:r>
        <w:rPr>
          <w:rFonts w:ascii="Verdana" w:cs="Verdana" w:eastAsia="Verdana" w:hAnsi="Verdana"/>
          <w:sz w:val="20"/>
          <w:szCs w:val="20"/>
        </w:rPr>
        <w:t xml:space="preserve">Appendix G: Practice Questions with Answers</w:t>
      </w:r>
      <w:r>
        <w:rPr>
          <w:rFonts w:ascii="Verdana" w:cs="Verdana" w:eastAsia="Verdana" w:hAnsi="Verdana"/>
          <w:sz w:val="20"/>
          <w:szCs w:val="20"/>
        </w:rPr>
        <w:t xml:space="preserve">	283</w:t>
      </w:r>
    </w:p>
    <w:p>
      <w:pPr>
        <w:tabs>
          <w:tab w:val="right" w:pos="9638" w:leader="dot"/>
        </w:tabs>
        <w:spacing w:after="30"/>
        <w:ind w:left="300" w:right="0"/>
      </w:pPr>
      <w:r>
        <w:rPr>
          <w:rFonts w:ascii="Verdana" w:cs="Verdana" w:eastAsia="Verdana" w:hAnsi="Verdana"/>
          <w:sz w:val="20"/>
          <w:szCs w:val="20"/>
        </w:rPr>
        <w:t xml:space="preserve">Appendix H: Common Mistakes and How to Avoid Them</w:t>
      </w:r>
      <w:r>
        <w:rPr>
          <w:rFonts w:ascii="Verdana" w:cs="Verdana" w:eastAsia="Verdana" w:hAnsi="Verdana"/>
          <w:sz w:val="20"/>
          <w:szCs w:val="20"/>
        </w:rPr>
        <w:t xml:space="preserve">	291</w:t>
      </w:r>
    </w:p>
    <w:p>
      <w:pPr>
        <w:tabs>
          <w:tab w:val="right" w:pos="9638" w:leader="dot"/>
        </w:tabs>
        <w:spacing w:after="30"/>
        <w:ind w:left="300" w:right="0"/>
      </w:pPr>
      <w:r>
        <w:rPr>
          <w:rFonts w:ascii="Verdana" w:cs="Verdana" w:eastAsia="Verdana" w:hAnsi="Verdana"/>
          <w:sz w:val="20"/>
          <w:szCs w:val="20"/>
        </w:rPr>
        <w:t xml:space="preserve">Appendix I: Glossary</w:t>
      </w:r>
      <w:r>
        <w:rPr>
          <w:rFonts w:ascii="Verdana" w:cs="Verdana" w:eastAsia="Verdana" w:hAnsi="Verdana"/>
          <w:sz w:val="20"/>
          <w:szCs w:val="20"/>
        </w:rPr>
        <w:t xml:space="preserve">	293</w:t>
      </w:r>
    </w:p>
    <w:p>
      <w:pPr>
        <w:tabs>
          <w:tab w:val="right" w:pos="9638" w:leader="dot"/>
        </w:tabs>
        <w:spacing w:after="30"/>
        <w:ind w:left="300" w:right="0"/>
      </w:pPr>
      <w:r>
        <w:rPr>
          <w:rFonts w:ascii="Verdana" w:cs="Verdana" w:eastAsia="Verdana" w:hAnsi="Verdana"/>
          <w:sz w:val="20"/>
          <w:szCs w:val="20"/>
        </w:rPr>
        <w:t xml:space="preserve">Appendix J: Checklists</w:t>
      </w:r>
      <w:r>
        <w:rPr>
          <w:rFonts w:ascii="Verdana" w:cs="Verdana" w:eastAsia="Verdana" w:hAnsi="Verdana"/>
          <w:sz w:val="20"/>
          <w:szCs w:val="20"/>
        </w:rPr>
        <w:t xml:space="preserve">	295</w:t>
      </w:r>
    </w:p>
    <w:p>
      <w:pPr>
        <w:tabs>
          <w:tab w:val="right" w:pos="9638" w:leader="dot"/>
        </w:tabs>
        <w:spacing w:after="30"/>
        <w:ind w:left="300" w:right="0"/>
      </w:pPr>
      <w:r>
        <w:rPr>
          <w:rFonts w:ascii="Verdana" w:cs="Verdana" w:eastAsia="Verdana" w:hAnsi="Verdana"/>
          <w:sz w:val="20"/>
          <w:szCs w:val="20"/>
        </w:rPr>
        <w:t xml:space="preserve">Appendix K: Specimen Formats</w:t>
      </w:r>
      <w:r>
        <w:rPr>
          <w:rFonts w:ascii="Verdana" w:cs="Verdana" w:eastAsia="Verdana" w:hAnsi="Verdana"/>
          <w:sz w:val="20"/>
          <w:szCs w:val="20"/>
        </w:rPr>
        <w:t xml:space="preserve">	297</w:t>
      </w:r>
    </w:p>
    <w:p>
      <w:pPr>
        <w:tabs>
          <w:tab w:val="right" w:pos="9638" w:leader="dot"/>
        </w:tabs>
        <w:spacing w:after="30"/>
        <w:ind w:left="300" w:right="0"/>
      </w:pPr>
      <w:r>
        <w:rPr>
          <w:rFonts w:ascii="Verdana" w:cs="Verdana" w:eastAsia="Verdana" w:hAnsi="Verdana"/>
          <w:sz w:val="20"/>
          <w:szCs w:val="20"/>
        </w:rPr>
        <w:t xml:space="preserve">Appendix L: Time Limits Ready Reckoner</w:t>
      </w:r>
      <w:r>
        <w:rPr>
          <w:rFonts w:ascii="Verdana" w:cs="Verdana" w:eastAsia="Verdana" w:hAnsi="Verdana"/>
          <w:sz w:val="20"/>
          <w:szCs w:val="20"/>
        </w:rPr>
        <w:t xml:space="preserve">	299</w:t>
      </w:r>
    </w:p>
    <w:p>
      <w:pPr>
        <w:tabs>
          <w:tab w:val="right" w:pos="9638" w:leader="dot"/>
        </w:tabs>
        <w:spacing w:after="30"/>
        <w:ind w:left="300" w:right="0"/>
      </w:pPr>
      <w:r>
        <w:rPr>
          <w:rFonts w:ascii="Verdana" w:cs="Verdana" w:eastAsia="Verdana" w:hAnsi="Verdana"/>
          <w:sz w:val="20"/>
          <w:szCs w:val="20"/>
        </w:rPr>
        <w:t xml:space="preserve">Appendix M: Interest, Late Fee and Penalty Ready Reckoner</w:t>
      </w:r>
      <w:r>
        <w:rPr>
          <w:rFonts w:ascii="Verdana" w:cs="Verdana" w:eastAsia="Verdana" w:hAnsi="Verdana"/>
          <w:sz w:val="20"/>
          <w:szCs w:val="20"/>
        </w:rPr>
        <w:t xml:space="preserve">	301</w:t>
      </w:r>
    </w:p>
    <w:p>
      <w:pPr>
        <w:tabs>
          <w:tab w:val="right" w:pos="9638" w:leader="dot"/>
        </w:tabs>
        <w:spacing w:after="30"/>
        <w:ind w:left="300" w:right="0"/>
      </w:pPr>
      <w:r>
        <w:rPr>
          <w:rFonts w:ascii="Verdana" w:cs="Verdana" w:eastAsia="Verdana" w:hAnsi="Verdana"/>
          <w:sz w:val="20"/>
          <w:szCs w:val="20"/>
        </w:rPr>
        <w:t xml:space="preserve">Appendix N: HSN and SAC Quick Guide</w:t>
      </w:r>
      <w:r>
        <w:rPr>
          <w:rFonts w:ascii="Verdana" w:cs="Verdana" w:eastAsia="Verdana" w:hAnsi="Verdana"/>
          <w:sz w:val="20"/>
          <w:szCs w:val="20"/>
        </w:rPr>
        <w:t xml:space="preserve">	303</w:t>
      </w:r>
    </w:p>
    <w:p>
      <w:pPr>
        <w:tabs>
          <w:tab w:val="right" w:pos="9638" w:leader="dot"/>
        </w:tabs>
        <w:spacing w:after="30"/>
        <w:ind w:left="300" w:right="0"/>
      </w:pPr>
      <w:r>
        <w:rPr>
          <w:rFonts w:ascii="Verdana" w:cs="Verdana" w:eastAsia="Verdana" w:hAnsi="Verdana"/>
          <w:sz w:val="20"/>
          <w:szCs w:val="20"/>
        </w:rPr>
        <w:t xml:space="preserve">References</w:t>
      </w:r>
      <w:r>
        <w:rPr>
          <w:rFonts w:ascii="Verdana" w:cs="Verdana" w:eastAsia="Verdana" w:hAnsi="Verdana"/>
          <w:sz w:val="20"/>
          <w:szCs w:val="20"/>
        </w:rPr>
        <w:t xml:space="preserve">	304</w:t>
      </w:r>
    </w:p>
    <w:p>
      <w:pPr>
        <w:tabs>
          <w:tab w:val="right" w:pos="9638" w:leader="dot"/>
        </w:tabs>
        <w:spacing w:after="30"/>
        <w:ind w:left="300" w:right="0"/>
      </w:pPr>
      <w:r>
        <w:rPr>
          <w:rFonts w:ascii="Verdana" w:cs="Verdana" w:eastAsia="Verdana" w:hAnsi="Verdana"/>
          <w:sz w:val="20"/>
          <w:szCs w:val="20"/>
        </w:rPr>
        <w:t xml:space="preserve">Table of Cases</w:t>
      </w:r>
      <w:r>
        <w:rPr>
          <w:rFonts w:ascii="Verdana" w:cs="Verdana" w:eastAsia="Verdana" w:hAnsi="Verdana"/>
          <w:sz w:val="20"/>
          <w:szCs w:val="20"/>
        </w:rPr>
        <w:t xml:space="preserve">	305</w:t>
      </w:r>
    </w:p>
    <w:p>
      <w:pPr>
        <w:tabs>
          <w:tab w:val="right" w:pos="9638" w:leader="dot"/>
        </w:tabs>
        <w:spacing w:after="30"/>
        <w:ind w:left="300" w:right="0"/>
      </w:pPr>
      <w:r>
        <w:rPr>
          <w:rFonts w:ascii="Verdana" w:cs="Verdana" w:eastAsia="Verdana" w:hAnsi="Verdana"/>
          <w:sz w:val="20"/>
          <w:szCs w:val="20"/>
        </w:rPr>
        <w:t xml:space="preserve">Index</w:t>
      </w:r>
      <w:r>
        <w:rPr>
          <w:rFonts w:ascii="Verdana" w:cs="Verdana" w:eastAsia="Verdana" w:hAnsi="Verdana"/>
          <w:sz w:val="20"/>
          <w:szCs w:val="20"/>
        </w:rPr>
        <w:t xml:space="preserve">	307</w:t>
      </w:r>
    </w:p>
    <w:p>
      <w:r>
        <w:fldChar w:fldCharType="end"/>
      </w:r>
    </w:p>
    <w:p>
      <w:pPr>
        <w:pStyle w:val="Heading1"/>
        <w:pageBreakBefore/>
        <w:spacing w:after="200"/>
      </w:pPr>
      <w:r>
        <w:rPr>
          <w:rFonts w:ascii="Verdana" w:cs="Verdana" w:eastAsia="Verdana" w:hAnsi="Verdana"/>
        </w:rPr>
        <w:t xml:space="preserve">List of Illustrations</w:t>
      </w:r>
    </w:p>
    <w:p>
      <w:pPr>
        <w:spacing w:after="120"/>
      </w:pPr>
      <w:r>
        <w:rPr>
          <w:rFonts w:ascii="Verdana" w:cs="Verdana" w:eastAsia="Verdana" w:hAnsi="Verdana"/>
          <w:i/>
          <w:iCs/>
          <w:color w:val="404040"/>
          <w:sz w:val="19"/>
          <w:szCs w:val="19"/>
        </w:rPr>
        <w:t xml:space="preserve">Illustrations are numbered through the guide. The chapter number is shown in brackets.</w:t>
      </w:r>
    </w:p>
    <w:p>
      <w:pPr>
        <w:tabs>
          <w:tab w:val="right" w:pos="9638" w:leader="dot"/>
        </w:tabs>
        <w:spacing w:after="20"/>
        <w:ind w:left="300" w:right="0"/>
      </w:pPr>
      <w:r>
        <w:rPr>
          <w:rFonts w:ascii="Verdana" w:cs="Verdana" w:eastAsia="Verdana" w:hAnsi="Verdana"/>
          <w:sz w:val="19"/>
          <w:szCs w:val="19"/>
        </w:rPr>
        <w:t xml:space="preserve">1. Tax on tax under the old system (Chapter 1)</w:t>
      </w:r>
      <w:r>
        <w:rPr>
          <w:rFonts w:ascii="Verdana" w:cs="Verdana" w:eastAsia="Verdana" w:hAnsi="Verdana"/>
          <w:sz w:val="19"/>
          <w:szCs w:val="19"/>
        </w:rPr>
        <w:t xml:space="preserve">	13</w:t>
      </w:r>
    </w:p>
    <w:p>
      <w:pPr>
        <w:tabs>
          <w:tab w:val="right" w:pos="9638" w:leader="dot"/>
        </w:tabs>
        <w:spacing w:after="20"/>
        <w:ind w:left="300" w:right="0"/>
      </w:pPr>
      <w:r>
        <w:rPr>
          <w:rFonts w:ascii="Verdana" w:cs="Verdana" w:eastAsia="Verdana" w:hAnsi="Verdana"/>
          <w:sz w:val="19"/>
          <w:szCs w:val="19"/>
        </w:rPr>
        <w:t xml:space="preserve">2. Which tax applies (Chapter 1)</w:t>
      </w:r>
      <w:r>
        <w:rPr>
          <w:rFonts w:ascii="Verdana" w:cs="Verdana" w:eastAsia="Verdana" w:hAnsi="Verdana"/>
          <w:sz w:val="19"/>
          <w:szCs w:val="19"/>
        </w:rPr>
        <w:t xml:space="preserve">	13</w:t>
      </w:r>
    </w:p>
    <w:p>
      <w:pPr>
        <w:tabs>
          <w:tab w:val="right" w:pos="9638" w:leader="dot"/>
        </w:tabs>
        <w:spacing w:after="20"/>
        <w:ind w:left="300" w:right="0"/>
      </w:pPr>
      <w:r>
        <w:rPr>
          <w:rFonts w:ascii="Verdana" w:cs="Verdana" w:eastAsia="Verdana" w:hAnsi="Verdana"/>
          <w:sz w:val="19"/>
          <w:szCs w:val="19"/>
        </w:rPr>
        <w:t xml:space="preserve">3. Credit chain from manufacturer to consumer (Chapter 1)</w:t>
      </w:r>
      <w:r>
        <w:rPr>
          <w:rFonts w:ascii="Verdana" w:cs="Verdana" w:eastAsia="Verdana" w:hAnsi="Verdana"/>
          <w:sz w:val="19"/>
          <w:szCs w:val="19"/>
        </w:rPr>
        <w:t xml:space="preserve">	14</w:t>
      </w:r>
    </w:p>
    <w:p>
      <w:pPr>
        <w:tabs>
          <w:tab w:val="right" w:pos="9638" w:leader="dot"/>
        </w:tabs>
        <w:spacing w:after="20"/>
        <w:ind w:left="300" w:right="0"/>
      </w:pPr>
      <w:r>
        <w:rPr>
          <w:rFonts w:ascii="Verdana" w:cs="Verdana" w:eastAsia="Verdana" w:hAnsi="Verdana"/>
          <w:sz w:val="19"/>
          <w:szCs w:val="19"/>
        </w:rPr>
        <w:t xml:space="preserve">4. A bill with GST and non-GST items (Chapter 1)</w:t>
      </w:r>
      <w:r>
        <w:rPr>
          <w:rFonts w:ascii="Verdana" w:cs="Verdana" w:eastAsia="Verdana" w:hAnsi="Verdana"/>
          <w:sz w:val="19"/>
          <w:szCs w:val="19"/>
        </w:rPr>
        <w:t xml:space="preserve">	15</w:t>
      </w:r>
    </w:p>
    <w:p>
      <w:pPr>
        <w:tabs>
          <w:tab w:val="right" w:pos="9638" w:leader="dot"/>
        </w:tabs>
        <w:spacing w:after="20"/>
        <w:ind w:left="300" w:right="0"/>
      </w:pPr>
      <w:r>
        <w:rPr>
          <w:rFonts w:ascii="Verdana" w:cs="Verdana" w:eastAsia="Verdana" w:hAnsi="Verdana"/>
          <w:sz w:val="19"/>
          <w:szCs w:val="19"/>
        </w:rPr>
        <w:t xml:space="preserve">5. Weighted voting in the Council (Chapter 2)</w:t>
      </w:r>
      <w:r>
        <w:rPr>
          <w:rFonts w:ascii="Verdana" w:cs="Verdana" w:eastAsia="Verdana" w:hAnsi="Verdana"/>
          <w:sz w:val="19"/>
          <w:szCs w:val="19"/>
        </w:rPr>
        <w:t xml:space="preserve">	18</w:t>
      </w:r>
    </w:p>
    <w:p>
      <w:pPr>
        <w:tabs>
          <w:tab w:val="right" w:pos="9638" w:leader="dot"/>
        </w:tabs>
        <w:spacing w:after="20"/>
        <w:ind w:left="300" w:right="0"/>
      </w:pPr>
      <w:r>
        <w:rPr>
          <w:rFonts w:ascii="Verdana" w:cs="Verdana" w:eastAsia="Verdana" w:hAnsi="Verdana"/>
          <w:sz w:val="19"/>
          <w:szCs w:val="19"/>
        </w:rPr>
        <w:t xml:space="preserve">6. Double tax struck down in Mohit Minerals (Chapter 2)</w:t>
      </w:r>
      <w:r>
        <w:rPr>
          <w:rFonts w:ascii="Verdana" w:cs="Verdana" w:eastAsia="Verdana" w:hAnsi="Verdana"/>
          <w:sz w:val="19"/>
          <w:szCs w:val="19"/>
        </w:rPr>
        <w:t xml:space="preserve">	19</w:t>
      </w:r>
    </w:p>
    <w:p>
      <w:pPr>
        <w:tabs>
          <w:tab w:val="right" w:pos="9638" w:leader="dot"/>
        </w:tabs>
        <w:spacing w:after="20"/>
        <w:ind w:left="300" w:right="0"/>
      </w:pPr>
      <w:r>
        <w:rPr>
          <w:rFonts w:ascii="Verdana" w:cs="Verdana" w:eastAsia="Verdana" w:hAnsi="Verdana"/>
          <w:sz w:val="19"/>
          <w:szCs w:val="19"/>
        </w:rPr>
        <w:t xml:space="preserve">7. Scope of an advance ruling (Chapter 2)</w:t>
      </w:r>
      <w:r>
        <w:rPr>
          <w:rFonts w:ascii="Verdana" w:cs="Verdana" w:eastAsia="Verdana" w:hAnsi="Verdana"/>
          <w:sz w:val="19"/>
          <w:szCs w:val="19"/>
        </w:rPr>
        <w:t xml:space="preserve">	21</w:t>
      </w:r>
    </w:p>
    <w:p>
      <w:pPr>
        <w:tabs>
          <w:tab w:val="right" w:pos="9638" w:leader="dot"/>
        </w:tabs>
        <w:spacing w:after="20"/>
        <w:ind w:left="300" w:right="0"/>
      </w:pPr>
      <w:r>
        <w:rPr>
          <w:rFonts w:ascii="Verdana" w:cs="Verdana" w:eastAsia="Verdana" w:hAnsi="Verdana"/>
          <w:sz w:val="19"/>
          <w:szCs w:val="19"/>
        </w:rPr>
        <w:t xml:space="preserve">8. Effect of the rate cut on the consumer price (Chapter 3)</w:t>
      </w:r>
      <w:r>
        <w:rPr>
          <w:rFonts w:ascii="Verdana" w:cs="Verdana" w:eastAsia="Verdana" w:hAnsi="Verdana"/>
          <w:sz w:val="19"/>
          <w:szCs w:val="19"/>
        </w:rPr>
        <w:t xml:space="preserve">	24</w:t>
      </w:r>
    </w:p>
    <w:p>
      <w:pPr>
        <w:tabs>
          <w:tab w:val="right" w:pos="9638" w:leader="dot"/>
        </w:tabs>
        <w:spacing w:after="20"/>
        <w:ind w:left="300" w:right="0"/>
      </w:pPr>
      <w:r>
        <w:rPr>
          <w:rFonts w:ascii="Verdana" w:cs="Verdana" w:eastAsia="Verdana" w:hAnsi="Verdana"/>
          <w:sz w:val="19"/>
          <w:szCs w:val="19"/>
        </w:rPr>
        <w:t xml:space="preserve">9. Stock held on 21 September 2025 (Chapter 3)</w:t>
      </w:r>
      <w:r>
        <w:rPr>
          <w:rFonts w:ascii="Verdana" w:cs="Verdana" w:eastAsia="Verdana" w:hAnsi="Verdana"/>
          <w:sz w:val="19"/>
          <w:szCs w:val="19"/>
        </w:rPr>
        <w:t xml:space="preserve">	25</w:t>
      </w:r>
    </w:p>
    <w:p>
      <w:pPr>
        <w:tabs>
          <w:tab w:val="right" w:pos="9638" w:leader="dot"/>
        </w:tabs>
        <w:spacing w:after="20"/>
        <w:ind w:left="300" w:right="0"/>
      </w:pPr>
      <w:r>
        <w:rPr>
          <w:rFonts w:ascii="Verdana" w:cs="Verdana" w:eastAsia="Verdana" w:hAnsi="Verdana"/>
          <w:sz w:val="19"/>
          <w:szCs w:val="19"/>
        </w:rPr>
        <w:t xml:space="preserve">10. ITC reversal by a health insurer (Chapter 3)</w:t>
      </w:r>
      <w:r>
        <w:rPr>
          <w:rFonts w:ascii="Verdana" w:cs="Verdana" w:eastAsia="Verdana" w:hAnsi="Verdana"/>
          <w:sz w:val="19"/>
          <w:szCs w:val="19"/>
        </w:rPr>
        <w:t xml:space="preserve">	25</w:t>
      </w:r>
    </w:p>
    <w:p>
      <w:pPr>
        <w:tabs>
          <w:tab w:val="right" w:pos="9638" w:leader="dot"/>
        </w:tabs>
        <w:spacing w:after="20"/>
        <w:ind w:left="300" w:right="0"/>
      </w:pPr>
      <w:r>
        <w:rPr>
          <w:rFonts w:ascii="Verdana" w:cs="Verdana" w:eastAsia="Verdana" w:hAnsi="Verdana"/>
          <w:sz w:val="19"/>
          <w:szCs w:val="19"/>
        </w:rPr>
        <w:t xml:space="preserve">11. Cement supplied around 22 September 2025 (Chapter 3)</w:t>
      </w:r>
      <w:r>
        <w:rPr>
          <w:rFonts w:ascii="Verdana" w:cs="Verdana" w:eastAsia="Verdana" w:hAnsi="Verdana"/>
          <w:sz w:val="19"/>
          <w:szCs w:val="19"/>
        </w:rPr>
        <w:t xml:space="preserve">	26</w:t>
      </w:r>
    </w:p>
    <w:p>
      <w:pPr>
        <w:tabs>
          <w:tab w:val="right" w:pos="9638" w:leader="dot"/>
        </w:tabs>
        <w:spacing w:after="20"/>
        <w:ind w:left="300" w:right="0"/>
      </w:pPr>
      <w:r>
        <w:rPr>
          <w:rFonts w:ascii="Verdana" w:cs="Verdana" w:eastAsia="Verdana" w:hAnsi="Verdana"/>
          <w:sz w:val="19"/>
          <w:szCs w:val="19"/>
        </w:rPr>
        <w:t xml:space="preserve">12. Year-end discount under the present law (Chapter 3)</w:t>
      </w:r>
      <w:r>
        <w:rPr>
          <w:rFonts w:ascii="Verdana" w:cs="Verdana" w:eastAsia="Verdana" w:hAnsi="Verdana"/>
          <w:sz w:val="19"/>
          <w:szCs w:val="19"/>
        </w:rPr>
        <w:t xml:space="preserve">	28</w:t>
      </w:r>
    </w:p>
    <w:p>
      <w:pPr>
        <w:tabs>
          <w:tab w:val="right" w:pos="9638" w:leader="dot"/>
        </w:tabs>
        <w:spacing w:after="20"/>
        <w:ind w:left="300" w:right="0"/>
      </w:pPr>
      <w:r>
        <w:rPr>
          <w:rFonts w:ascii="Verdana" w:cs="Verdana" w:eastAsia="Verdana" w:hAnsi="Verdana"/>
          <w:sz w:val="19"/>
          <w:szCs w:val="19"/>
        </w:rPr>
        <w:t xml:space="preserve">13. Credit note after the section 34(2) amendment (Chapter 3)</w:t>
      </w:r>
      <w:r>
        <w:rPr>
          <w:rFonts w:ascii="Verdana" w:cs="Verdana" w:eastAsia="Verdana" w:hAnsi="Verdana"/>
          <w:sz w:val="19"/>
          <w:szCs w:val="19"/>
        </w:rPr>
        <w:t xml:space="preserve">	28</w:t>
      </w:r>
    </w:p>
    <w:p>
      <w:pPr>
        <w:tabs>
          <w:tab w:val="right" w:pos="9638" w:leader="dot"/>
        </w:tabs>
        <w:spacing w:after="20"/>
        <w:ind w:left="300" w:right="0"/>
      </w:pPr>
      <w:r>
        <w:rPr>
          <w:rFonts w:ascii="Verdana" w:cs="Verdana" w:eastAsia="Verdana" w:hAnsi="Verdana"/>
          <w:sz w:val="19"/>
          <w:szCs w:val="19"/>
        </w:rPr>
        <w:t xml:space="preserve">14. Government activity as business (Chapter 4)</w:t>
      </w:r>
      <w:r>
        <w:rPr>
          <w:rFonts w:ascii="Verdana" w:cs="Verdana" w:eastAsia="Verdana" w:hAnsi="Verdana"/>
          <w:sz w:val="19"/>
          <w:szCs w:val="19"/>
        </w:rPr>
        <w:t xml:space="preserve">	31</w:t>
      </w:r>
    </w:p>
    <w:p>
      <w:pPr>
        <w:tabs>
          <w:tab w:val="right" w:pos="9638" w:leader="dot"/>
        </w:tabs>
        <w:spacing w:after="20"/>
        <w:ind w:left="300" w:right="0"/>
      </w:pPr>
      <w:r>
        <w:rPr>
          <w:rFonts w:ascii="Verdana" w:cs="Verdana" w:eastAsia="Verdana" w:hAnsi="Verdana"/>
          <w:sz w:val="19"/>
          <w:szCs w:val="19"/>
        </w:rPr>
        <w:t xml:space="preserve">15. Deposits and Government subsidy (Chapter 4)</w:t>
      </w:r>
      <w:r>
        <w:rPr>
          <w:rFonts w:ascii="Verdana" w:cs="Verdana" w:eastAsia="Verdana" w:hAnsi="Verdana"/>
          <w:sz w:val="19"/>
          <w:szCs w:val="19"/>
        </w:rPr>
        <w:t xml:space="preserve">	32</w:t>
      </w:r>
    </w:p>
    <w:p>
      <w:pPr>
        <w:tabs>
          <w:tab w:val="right" w:pos="9638" w:leader="dot"/>
        </w:tabs>
        <w:spacing w:after="20"/>
        <w:ind w:left="300" w:right="0"/>
      </w:pPr>
      <w:r>
        <w:rPr>
          <w:rFonts w:ascii="Verdana" w:cs="Verdana" w:eastAsia="Verdana" w:hAnsi="Verdana"/>
          <w:sz w:val="19"/>
          <w:szCs w:val="19"/>
        </w:rPr>
        <w:t xml:space="preserve">16. Computing aggregate turnover (Chapter 4)</w:t>
      </w:r>
      <w:r>
        <w:rPr>
          <w:rFonts w:ascii="Verdana" w:cs="Verdana" w:eastAsia="Verdana" w:hAnsi="Verdana"/>
          <w:sz w:val="19"/>
          <w:szCs w:val="19"/>
        </w:rPr>
        <w:t xml:space="preserve">	33</w:t>
      </w:r>
    </w:p>
    <w:p>
      <w:pPr>
        <w:tabs>
          <w:tab w:val="right" w:pos="9638" w:leader="dot"/>
        </w:tabs>
        <w:spacing w:after="20"/>
        <w:ind w:left="300" w:right="0"/>
      </w:pPr>
      <w:r>
        <w:rPr>
          <w:rFonts w:ascii="Verdana" w:cs="Verdana" w:eastAsia="Verdana" w:hAnsi="Verdana"/>
          <w:sz w:val="19"/>
          <w:szCs w:val="19"/>
        </w:rPr>
        <w:t xml:space="preserve">17. Related companies and valuation (Chapter 4)</w:t>
      </w:r>
      <w:r>
        <w:rPr>
          <w:rFonts w:ascii="Verdana" w:cs="Verdana" w:eastAsia="Verdana" w:hAnsi="Verdana"/>
          <w:sz w:val="19"/>
          <w:szCs w:val="19"/>
        </w:rPr>
        <w:t xml:space="preserve">	34</w:t>
      </w:r>
    </w:p>
    <w:p>
      <w:pPr>
        <w:tabs>
          <w:tab w:val="right" w:pos="9638" w:leader="dot"/>
        </w:tabs>
        <w:spacing w:after="20"/>
        <w:ind w:left="300" w:right="0"/>
      </w:pPr>
      <w:r>
        <w:rPr>
          <w:rFonts w:ascii="Verdana" w:cs="Verdana" w:eastAsia="Verdana" w:hAnsi="Verdana"/>
          <w:sz w:val="19"/>
          <w:szCs w:val="19"/>
        </w:rPr>
        <w:t xml:space="preserve">18. Stock transfer to a branch (Chapter 4)</w:t>
      </w:r>
      <w:r>
        <w:rPr>
          <w:rFonts w:ascii="Verdana" w:cs="Verdana" w:eastAsia="Verdana" w:hAnsi="Verdana"/>
          <w:sz w:val="19"/>
          <w:szCs w:val="19"/>
        </w:rPr>
        <w:t xml:space="preserve">	34</w:t>
      </w:r>
    </w:p>
    <w:p>
      <w:pPr>
        <w:tabs>
          <w:tab w:val="right" w:pos="9638" w:leader="dot"/>
        </w:tabs>
        <w:spacing w:after="20"/>
        <w:ind w:left="300" w:right="0"/>
      </w:pPr>
      <w:r>
        <w:rPr>
          <w:rFonts w:ascii="Verdana" w:cs="Verdana" w:eastAsia="Verdana" w:hAnsi="Verdana"/>
          <w:sz w:val="19"/>
          <w:szCs w:val="19"/>
        </w:rPr>
        <w:t xml:space="preserve">19. Input or capital goods (Chapter 4)</w:t>
      </w:r>
      <w:r>
        <w:rPr>
          <w:rFonts w:ascii="Verdana" w:cs="Verdana" w:eastAsia="Verdana" w:hAnsi="Verdana"/>
          <w:sz w:val="19"/>
          <w:szCs w:val="19"/>
        </w:rPr>
        <w:t xml:space="preserve">	35</w:t>
      </w:r>
    </w:p>
    <w:p>
      <w:pPr>
        <w:tabs>
          <w:tab w:val="right" w:pos="9638" w:leader="dot"/>
        </w:tabs>
        <w:spacing w:after="20"/>
        <w:ind w:left="300" w:right="0"/>
      </w:pPr>
      <w:r>
        <w:rPr>
          <w:rFonts w:ascii="Verdana" w:cs="Verdana" w:eastAsia="Verdana" w:hAnsi="Verdana"/>
          <w:sz w:val="19"/>
          <w:szCs w:val="19"/>
        </w:rPr>
        <w:t xml:space="preserve">20. Zero-rated versus exempt (Chapter 4)</w:t>
      </w:r>
      <w:r>
        <w:rPr>
          <w:rFonts w:ascii="Verdana" w:cs="Verdana" w:eastAsia="Verdana" w:hAnsi="Verdana"/>
          <w:sz w:val="19"/>
          <w:szCs w:val="19"/>
        </w:rPr>
        <w:t xml:space="preserve">	36</w:t>
      </w:r>
    </w:p>
    <w:p>
      <w:pPr>
        <w:tabs>
          <w:tab w:val="right" w:pos="9638" w:leader="dot"/>
        </w:tabs>
        <w:spacing w:after="20"/>
        <w:ind w:left="300" w:right="0"/>
      </w:pPr>
      <w:r>
        <w:rPr>
          <w:rFonts w:ascii="Verdana" w:cs="Verdana" w:eastAsia="Verdana" w:hAnsi="Verdana"/>
          <w:sz w:val="19"/>
          <w:szCs w:val="19"/>
        </w:rPr>
        <w:t xml:space="preserve">21. Sale of old laptops by a business (Chapter 5)</w:t>
      </w:r>
      <w:r>
        <w:rPr>
          <w:rFonts w:ascii="Verdana" w:cs="Verdana" w:eastAsia="Verdana" w:hAnsi="Verdana"/>
          <w:sz w:val="19"/>
          <w:szCs w:val="19"/>
        </w:rPr>
        <w:t xml:space="preserve">	37</w:t>
      </w:r>
    </w:p>
    <w:p>
      <w:pPr>
        <w:tabs>
          <w:tab w:val="right" w:pos="9638" w:leader="dot"/>
        </w:tabs>
        <w:spacing w:after="20"/>
        <w:ind w:left="300" w:right="0"/>
      </w:pPr>
      <w:r>
        <w:rPr>
          <w:rFonts w:ascii="Verdana" w:cs="Verdana" w:eastAsia="Verdana" w:hAnsi="Verdana"/>
          <w:sz w:val="19"/>
          <w:szCs w:val="19"/>
        </w:rPr>
        <w:t xml:space="preserve">22. Resident welfare association charges (Chapter 5)</w:t>
      </w:r>
      <w:r>
        <w:rPr>
          <w:rFonts w:ascii="Verdana" w:cs="Verdana" w:eastAsia="Verdana" w:hAnsi="Verdana"/>
          <w:sz w:val="19"/>
          <w:szCs w:val="19"/>
        </w:rPr>
        <w:t xml:space="preserve">	38</w:t>
      </w:r>
    </w:p>
    <w:p>
      <w:pPr>
        <w:tabs>
          <w:tab w:val="right" w:pos="9638" w:leader="dot"/>
        </w:tabs>
        <w:spacing w:after="20"/>
        <w:ind w:left="300" w:right="0"/>
      </w:pPr>
      <w:r>
        <w:rPr>
          <w:rFonts w:ascii="Verdana" w:cs="Verdana" w:eastAsia="Verdana" w:hAnsi="Verdana"/>
          <w:sz w:val="19"/>
          <w:szCs w:val="19"/>
        </w:rPr>
        <w:t xml:space="preserve">23. Import of services by an individual and by a firm (Chapter 5)</w:t>
      </w:r>
      <w:r>
        <w:rPr>
          <w:rFonts w:ascii="Verdana" w:cs="Verdana" w:eastAsia="Verdana" w:hAnsi="Verdana"/>
          <w:sz w:val="19"/>
          <w:szCs w:val="19"/>
        </w:rPr>
        <w:t xml:space="preserve">	39</w:t>
      </w:r>
    </w:p>
    <w:p>
      <w:pPr>
        <w:tabs>
          <w:tab w:val="right" w:pos="9638" w:leader="dot"/>
        </w:tabs>
        <w:spacing w:after="20"/>
        <w:ind w:left="300" w:right="0"/>
      </w:pPr>
      <w:r>
        <w:rPr>
          <w:rFonts w:ascii="Verdana" w:cs="Verdana" w:eastAsia="Verdana" w:hAnsi="Verdana"/>
          <w:sz w:val="19"/>
          <w:szCs w:val="19"/>
        </w:rPr>
        <w:t xml:space="preserve">24. Business asset given away (Chapter 5)</w:t>
      </w:r>
      <w:r>
        <w:rPr>
          <w:rFonts w:ascii="Verdana" w:cs="Verdana" w:eastAsia="Verdana" w:hAnsi="Verdana"/>
          <w:sz w:val="19"/>
          <w:szCs w:val="19"/>
        </w:rPr>
        <w:t xml:space="preserve">	39</w:t>
      </w:r>
    </w:p>
    <w:p>
      <w:pPr>
        <w:tabs>
          <w:tab w:val="right" w:pos="9638" w:leader="dot"/>
        </w:tabs>
        <w:spacing w:after="20"/>
        <w:ind w:left="300" w:right="0"/>
      </w:pPr>
      <w:r>
        <w:rPr>
          <w:rFonts w:ascii="Verdana" w:cs="Verdana" w:eastAsia="Verdana" w:hAnsi="Verdana"/>
          <w:sz w:val="19"/>
          <w:szCs w:val="19"/>
        </w:rPr>
        <w:t xml:space="preserve">25. Gifts to employees (Chapter 5)</w:t>
      </w:r>
      <w:r>
        <w:rPr>
          <w:rFonts w:ascii="Verdana" w:cs="Verdana" w:eastAsia="Verdana" w:hAnsi="Verdana"/>
          <w:sz w:val="19"/>
          <w:szCs w:val="19"/>
        </w:rPr>
        <w:t xml:space="preserve">	40</w:t>
      </w:r>
    </w:p>
    <w:p>
      <w:pPr>
        <w:tabs>
          <w:tab w:val="right" w:pos="9638" w:leader="dot"/>
        </w:tabs>
        <w:spacing w:after="20"/>
        <w:ind w:left="300" w:right="0"/>
      </w:pPr>
      <w:r>
        <w:rPr>
          <w:rFonts w:ascii="Verdana" w:cs="Verdana" w:eastAsia="Verdana" w:hAnsi="Verdana"/>
          <w:sz w:val="19"/>
          <w:szCs w:val="19"/>
        </w:rPr>
        <w:t xml:space="preserve">26. Cross charge by head office (Chapter 5)</w:t>
      </w:r>
      <w:r>
        <w:rPr>
          <w:rFonts w:ascii="Verdana" w:cs="Verdana" w:eastAsia="Verdana" w:hAnsi="Verdana"/>
          <w:sz w:val="19"/>
          <w:szCs w:val="19"/>
        </w:rPr>
        <w:t xml:space="preserve">	40</w:t>
      </w:r>
    </w:p>
    <w:p>
      <w:pPr>
        <w:tabs>
          <w:tab w:val="right" w:pos="9638" w:leader="dot"/>
        </w:tabs>
        <w:spacing w:after="20"/>
        <w:ind w:left="300" w:right="0"/>
      </w:pPr>
      <w:r>
        <w:rPr>
          <w:rFonts w:ascii="Verdana" w:cs="Verdana" w:eastAsia="Verdana" w:hAnsi="Verdana"/>
          <w:sz w:val="19"/>
          <w:szCs w:val="19"/>
        </w:rPr>
        <w:t xml:space="preserve">27. Goods sent to an agent (Chapter 5)</w:t>
      </w:r>
      <w:r>
        <w:rPr>
          <w:rFonts w:ascii="Verdana" w:cs="Verdana" w:eastAsia="Verdana" w:hAnsi="Verdana"/>
          <w:sz w:val="19"/>
          <w:szCs w:val="19"/>
        </w:rPr>
        <w:t xml:space="preserve">	41</w:t>
      </w:r>
    </w:p>
    <w:p>
      <w:pPr>
        <w:tabs>
          <w:tab w:val="right" w:pos="9638" w:leader="dot"/>
        </w:tabs>
        <w:spacing w:after="20"/>
        <w:ind w:left="300" w:right="0"/>
      </w:pPr>
      <w:r>
        <w:rPr>
          <w:rFonts w:ascii="Verdana" w:cs="Verdana" w:eastAsia="Verdana" w:hAnsi="Verdana"/>
          <w:sz w:val="19"/>
          <w:szCs w:val="19"/>
        </w:rPr>
        <w:t xml:space="preserve">28. Flat sold before and after completion (Chapter 5)</w:t>
      </w:r>
      <w:r>
        <w:rPr>
          <w:rFonts w:ascii="Verdana" w:cs="Verdana" w:eastAsia="Verdana" w:hAnsi="Verdana"/>
          <w:sz w:val="19"/>
          <w:szCs w:val="19"/>
        </w:rPr>
        <w:t xml:space="preserve">	43</w:t>
      </w:r>
    </w:p>
    <w:p>
      <w:pPr>
        <w:tabs>
          <w:tab w:val="right" w:pos="9638" w:leader="dot"/>
        </w:tabs>
        <w:spacing w:after="20"/>
        <w:ind w:left="300" w:right="0"/>
      </w:pPr>
      <w:r>
        <w:rPr>
          <w:rFonts w:ascii="Verdana" w:cs="Verdana" w:eastAsia="Verdana" w:hAnsi="Verdana"/>
          <w:sz w:val="19"/>
          <w:szCs w:val="19"/>
        </w:rPr>
        <w:t xml:space="preserve">29. Merchanting trade (Chapter 5)</w:t>
      </w:r>
      <w:r>
        <w:rPr>
          <w:rFonts w:ascii="Verdana" w:cs="Verdana" w:eastAsia="Verdana" w:hAnsi="Verdana"/>
          <w:sz w:val="19"/>
          <w:szCs w:val="19"/>
        </w:rPr>
        <w:t xml:space="preserve">	43</w:t>
      </w:r>
    </w:p>
    <w:p>
      <w:pPr>
        <w:tabs>
          <w:tab w:val="right" w:pos="9638" w:leader="dot"/>
        </w:tabs>
        <w:spacing w:after="20"/>
        <w:ind w:left="300" w:right="0"/>
      </w:pPr>
      <w:r>
        <w:rPr>
          <w:rFonts w:ascii="Verdana" w:cs="Verdana" w:eastAsia="Verdana" w:hAnsi="Verdana"/>
          <w:sz w:val="19"/>
          <w:szCs w:val="19"/>
        </w:rPr>
        <w:t xml:space="preserve">30. Gift voucher redeemed for a shirt (Chapter 5)</w:t>
      </w:r>
      <w:r>
        <w:rPr>
          <w:rFonts w:ascii="Verdana" w:cs="Verdana" w:eastAsia="Verdana" w:hAnsi="Verdana"/>
          <w:sz w:val="19"/>
          <w:szCs w:val="19"/>
        </w:rPr>
        <w:t xml:space="preserve">	43</w:t>
      </w:r>
    </w:p>
    <w:p>
      <w:pPr>
        <w:tabs>
          <w:tab w:val="right" w:pos="9638" w:leader="dot"/>
        </w:tabs>
        <w:spacing w:after="20"/>
        <w:ind w:left="300" w:right="0"/>
      </w:pPr>
      <w:r>
        <w:rPr>
          <w:rFonts w:ascii="Verdana" w:cs="Verdana" w:eastAsia="Verdana" w:hAnsi="Verdana"/>
          <w:sz w:val="19"/>
          <w:szCs w:val="19"/>
        </w:rPr>
        <w:t xml:space="preserve">31. Which recoveries attract GST (Chapter 5)</w:t>
      </w:r>
      <w:r>
        <w:rPr>
          <w:rFonts w:ascii="Verdana" w:cs="Verdana" w:eastAsia="Verdana" w:hAnsi="Verdana"/>
          <w:sz w:val="19"/>
          <w:szCs w:val="19"/>
        </w:rPr>
        <w:t xml:space="preserve">	45</w:t>
      </w:r>
    </w:p>
    <w:p>
      <w:pPr>
        <w:tabs>
          <w:tab w:val="right" w:pos="9638" w:leader="dot"/>
        </w:tabs>
        <w:spacing w:after="20"/>
        <w:ind w:left="300" w:right="0"/>
      </w:pPr>
      <w:r>
        <w:rPr>
          <w:rFonts w:ascii="Verdana" w:cs="Verdana" w:eastAsia="Verdana" w:hAnsi="Verdana"/>
          <w:sz w:val="19"/>
          <w:szCs w:val="19"/>
        </w:rPr>
        <w:t xml:space="preserve">32. Hotel room with breakfast (Chapter 6)</w:t>
      </w:r>
      <w:r>
        <w:rPr>
          <w:rFonts w:ascii="Verdana" w:cs="Verdana" w:eastAsia="Verdana" w:hAnsi="Verdana"/>
          <w:sz w:val="19"/>
          <w:szCs w:val="19"/>
        </w:rPr>
        <w:t xml:space="preserve">	47</w:t>
      </w:r>
    </w:p>
    <w:p>
      <w:pPr>
        <w:tabs>
          <w:tab w:val="right" w:pos="9638" w:leader="dot"/>
        </w:tabs>
        <w:spacing w:after="20"/>
        <w:ind w:left="300" w:right="0"/>
      </w:pPr>
      <w:r>
        <w:rPr>
          <w:rFonts w:ascii="Verdana" w:cs="Verdana" w:eastAsia="Verdana" w:hAnsi="Verdana"/>
          <w:sz w:val="19"/>
          <w:szCs w:val="19"/>
        </w:rPr>
        <w:t xml:space="preserve">33. Tractor sold with toolkit and free first service (Chapter 6)</w:t>
      </w:r>
      <w:r>
        <w:rPr>
          <w:rFonts w:ascii="Verdana" w:cs="Verdana" w:eastAsia="Verdana" w:hAnsi="Verdana"/>
          <w:sz w:val="19"/>
          <w:szCs w:val="19"/>
        </w:rPr>
        <w:t xml:space="preserve">	47</w:t>
      </w:r>
    </w:p>
    <w:p>
      <w:pPr>
        <w:tabs>
          <w:tab w:val="right" w:pos="9638" w:leader="dot"/>
        </w:tabs>
        <w:spacing w:after="20"/>
        <w:ind w:left="300" w:right="0"/>
      </w:pPr>
      <w:r>
        <w:rPr>
          <w:rFonts w:ascii="Verdana" w:cs="Verdana" w:eastAsia="Verdana" w:hAnsi="Verdana"/>
          <w:sz w:val="19"/>
          <w:szCs w:val="19"/>
        </w:rPr>
        <w:t xml:space="preserve">34. Festive hamper (Chapter 6)</w:t>
      </w:r>
      <w:r>
        <w:rPr>
          <w:rFonts w:ascii="Verdana" w:cs="Verdana" w:eastAsia="Verdana" w:hAnsi="Verdana"/>
          <w:sz w:val="19"/>
          <w:szCs w:val="19"/>
        </w:rPr>
        <w:t xml:space="preserve">	47</w:t>
      </w:r>
    </w:p>
    <w:p>
      <w:pPr>
        <w:tabs>
          <w:tab w:val="right" w:pos="9638" w:leader="dot"/>
        </w:tabs>
        <w:spacing w:after="20"/>
        <w:ind w:left="300" w:right="0"/>
      </w:pPr>
      <w:r>
        <w:rPr>
          <w:rFonts w:ascii="Verdana" w:cs="Verdana" w:eastAsia="Verdana" w:hAnsi="Verdana"/>
          <w:sz w:val="19"/>
          <w:szCs w:val="19"/>
        </w:rPr>
        <w:t xml:space="preserve">35. Coaching fee including books (Chapter 6)</w:t>
      </w:r>
      <w:r>
        <w:rPr>
          <w:rFonts w:ascii="Verdana" w:cs="Verdana" w:eastAsia="Verdana" w:hAnsi="Verdana"/>
          <w:sz w:val="19"/>
          <w:szCs w:val="19"/>
        </w:rPr>
        <w:t xml:space="preserve">	48</w:t>
      </w:r>
    </w:p>
    <w:p>
      <w:pPr>
        <w:tabs>
          <w:tab w:val="right" w:pos="9638" w:leader="dot"/>
        </w:tabs>
        <w:spacing w:after="20"/>
        <w:ind w:left="300" w:right="0"/>
      </w:pPr>
      <w:r>
        <w:rPr>
          <w:rFonts w:ascii="Verdana" w:cs="Verdana" w:eastAsia="Verdana" w:hAnsi="Verdana"/>
          <w:sz w:val="19"/>
          <w:szCs w:val="19"/>
        </w:rPr>
        <w:t xml:space="preserve">36. Monthly reverse charge register (Chapter 7)</w:t>
      </w:r>
      <w:r>
        <w:rPr>
          <w:rFonts w:ascii="Verdana" w:cs="Verdana" w:eastAsia="Verdana" w:hAnsi="Verdana"/>
          <w:sz w:val="19"/>
          <w:szCs w:val="19"/>
        </w:rPr>
        <w:t xml:space="preserve">	52</w:t>
      </w:r>
    </w:p>
    <w:p>
      <w:pPr>
        <w:tabs>
          <w:tab w:val="right" w:pos="9638" w:leader="dot"/>
        </w:tabs>
        <w:spacing w:after="20"/>
        <w:ind w:left="300" w:right="0"/>
      </w:pPr>
      <w:r>
        <w:rPr>
          <w:rFonts w:ascii="Verdana" w:cs="Verdana" w:eastAsia="Verdana" w:hAnsi="Verdana"/>
          <w:sz w:val="19"/>
          <w:szCs w:val="19"/>
        </w:rPr>
        <w:t xml:space="preserve">37. GTA: reverse charge or forward charge (Chapter 7)</w:t>
      </w:r>
      <w:r>
        <w:rPr>
          <w:rFonts w:ascii="Verdana" w:cs="Verdana" w:eastAsia="Verdana" w:hAnsi="Verdana"/>
          <w:sz w:val="19"/>
          <w:szCs w:val="19"/>
        </w:rPr>
        <w:t xml:space="preserve">	52</w:t>
      </w:r>
    </w:p>
    <w:p>
      <w:pPr>
        <w:tabs>
          <w:tab w:val="right" w:pos="9638" w:leader="dot"/>
        </w:tabs>
        <w:spacing w:after="20"/>
        <w:ind w:left="300" w:right="0"/>
      </w:pPr>
      <w:r>
        <w:rPr>
          <w:rFonts w:ascii="Verdana" w:cs="Verdana" w:eastAsia="Verdana" w:hAnsi="Verdana"/>
          <w:sz w:val="19"/>
          <w:szCs w:val="19"/>
        </w:rPr>
        <w:t xml:space="preserve">38. Import of services (Chapter 7)</w:t>
      </w:r>
      <w:r>
        <w:rPr>
          <w:rFonts w:ascii="Verdana" w:cs="Verdana" w:eastAsia="Verdana" w:hAnsi="Verdana"/>
          <w:sz w:val="19"/>
          <w:szCs w:val="19"/>
        </w:rPr>
        <w:t xml:space="preserve">	52</w:t>
      </w:r>
    </w:p>
    <w:p>
      <w:pPr>
        <w:tabs>
          <w:tab w:val="right" w:pos="9638" w:leader="dot"/>
        </w:tabs>
        <w:spacing w:after="20"/>
        <w:ind w:left="300" w:right="0"/>
      </w:pPr>
      <w:r>
        <w:rPr>
          <w:rFonts w:ascii="Verdana" w:cs="Verdana" w:eastAsia="Verdana" w:hAnsi="Verdana"/>
          <w:sz w:val="19"/>
          <w:szCs w:val="19"/>
        </w:rPr>
        <w:t xml:space="preserve">39. Shortfall in purchases from registered suppliers (Chapter 7)</w:t>
      </w:r>
      <w:r>
        <w:rPr>
          <w:rFonts w:ascii="Verdana" w:cs="Verdana" w:eastAsia="Verdana" w:hAnsi="Verdana"/>
          <w:sz w:val="19"/>
          <w:szCs w:val="19"/>
        </w:rPr>
        <w:t xml:space="preserve">	53</w:t>
      </w:r>
    </w:p>
    <w:p>
      <w:pPr>
        <w:tabs>
          <w:tab w:val="right" w:pos="9638" w:leader="dot"/>
        </w:tabs>
        <w:spacing w:after="20"/>
        <w:ind w:left="300" w:right="0"/>
      </w:pPr>
      <w:r>
        <w:rPr>
          <w:rFonts w:ascii="Verdana" w:cs="Verdana" w:eastAsia="Verdana" w:hAnsi="Verdana"/>
          <w:sz w:val="19"/>
          <w:szCs w:val="19"/>
        </w:rPr>
        <w:t xml:space="preserve">40. ITC reversal for exempt supplies (Chapter 7)</w:t>
      </w:r>
      <w:r>
        <w:rPr>
          <w:rFonts w:ascii="Verdana" w:cs="Verdana" w:eastAsia="Verdana" w:hAnsi="Verdana"/>
          <w:sz w:val="19"/>
          <w:szCs w:val="19"/>
        </w:rPr>
        <w:t xml:space="preserve">	54</w:t>
      </w:r>
    </w:p>
    <w:p>
      <w:pPr>
        <w:tabs>
          <w:tab w:val="right" w:pos="9638" w:leader="dot"/>
        </w:tabs>
        <w:spacing w:after="20"/>
        <w:ind w:left="300" w:right="0"/>
      </w:pPr>
      <w:r>
        <w:rPr>
          <w:rFonts w:ascii="Verdana" w:cs="Verdana" w:eastAsia="Verdana" w:hAnsi="Verdana"/>
          <w:sz w:val="19"/>
          <w:szCs w:val="19"/>
        </w:rPr>
        <w:t xml:space="preserve">41. HSN digits required (Chapter 8)</w:t>
      </w:r>
      <w:r>
        <w:rPr>
          <w:rFonts w:ascii="Verdana" w:cs="Verdana" w:eastAsia="Verdana" w:hAnsi="Verdana"/>
          <w:sz w:val="19"/>
          <w:szCs w:val="19"/>
        </w:rPr>
        <w:t xml:space="preserve">	55</w:t>
      </w:r>
    </w:p>
    <w:p>
      <w:pPr>
        <w:tabs>
          <w:tab w:val="right" w:pos="9638" w:leader="dot"/>
        </w:tabs>
        <w:spacing w:after="20"/>
        <w:ind w:left="300" w:right="0"/>
      </w:pPr>
      <w:r>
        <w:rPr>
          <w:rFonts w:ascii="Verdana" w:cs="Verdana" w:eastAsia="Verdana" w:hAnsi="Verdana"/>
          <w:sz w:val="19"/>
          <w:szCs w:val="19"/>
        </w:rPr>
        <w:t xml:space="preserve">42. What a classification dispute costs (Chapter 8)</w:t>
      </w:r>
      <w:r>
        <w:rPr>
          <w:rFonts w:ascii="Verdana" w:cs="Verdana" w:eastAsia="Verdana" w:hAnsi="Verdana"/>
          <w:sz w:val="19"/>
          <w:szCs w:val="19"/>
        </w:rPr>
        <w:t xml:space="preserve">	56</w:t>
      </w:r>
    </w:p>
    <w:p>
      <w:pPr>
        <w:tabs>
          <w:tab w:val="right" w:pos="9638" w:leader="dot"/>
        </w:tabs>
        <w:spacing w:after="20"/>
        <w:ind w:left="300" w:right="0"/>
      </w:pPr>
      <w:r>
        <w:rPr>
          <w:rFonts w:ascii="Verdana" w:cs="Verdana" w:eastAsia="Verdana" w:hAnsi="Verdana"/>
          <w:sz w:val="19"/>
          <w:szCs w:val="19"/>
        </w:rPr>
        <w:t xml:space="preserve">43. Refund for a bicycle manufacturer (Chapter 8)</w:t>
      </w:r>
      <w:r>
        <w:rPr>
          <w:rFonts w:ascii="Verdana" w:cs="Verdana" w:eastAsia="Verdana" w:hAnsi="Verdana"/>
          <w:sz w:val="19"/>
          <w:szCs w:val="19"/>
        </w:rPr>
        <w:t xml:space="preserve">	58</w:t>
      </w:r>
    </w:p>
    <w:p>
      <w:pPr>
        <w:tabs>
          <w:tab w:val="right" w:pos="9638" w:leader="dot"/>
        </w:tabs>
        <w:spacing w:after="20"/>
        <w:ind w:left="300" w:right="0"/>
      </w:pPr>
      <w:r>
        <w:rPr>
          <w:rFonts w:ascii="Verdana" w:cs="Verdana" w:eastAsia="Verdana" w:hAnsi="Verdana"/>
          <w:sz w:val="19"/>
          <w:szCs w:val="19"/>
        </w:rPr>
        <w:t xml:space="preserve">44. Checking eligibility (Chapter 9)</w:t>
      </w:r>
      <w:r>
        <w:rPr>
          <w:rFonts w:ascii="Verdana" w:cs="Verdana" w:eastAsia="Verdana" w:hAnsi="Verdana"/>
          <w:sz w:val="19"/>
          <w:szCs w:val="19"/>
        </w:rPr>
        <w:t xml:space="preserve">	60</w:t>
      </w:r>
    </w:p>
    <w:p>
      <w:pPr>
        <w:tabs>
          <w:tab w:val="right" w:pos="9638" w:leader="dot"/>
        </w:tabs>
        <w:spacing w:after="20"/>
        <w:ind w:left="300" w:right="0"/>
      </w:pPr>
      <w:r>
        <w:rPr>
          <w:rFonts w:ascii="Verdana" w:cs="Verdana" w:eastAsia="Verdana" w:hAnsi="Verdana"/>
          <w:sz w:val="19"/>
          <w:szCs w:val="19"/>
        </w:rPr>
        <w:t xml:space="preserve">45. ITC reversal on opting in (Chapter 9)</w:t>
      </w:r>
      <w:r>
        <w:rPr>
          <w:rFonts w:ascii="Verdana" w:cs="Verdana" w:eastAsia="Verdana" w:hAnsi="Verdana"/>
          <w:sz w:val="19"/>
          <w:szCs w:val="19"/>
        </w:rPr>
        <w:t xml:space="preserve">	61</w:t>
      </w:r>
    </w:p>
    <w:p>
      <w:pPr>
        <w:tabs>
          <w:tab w:val="right" w:pos="9638" w:leader="dot"/>
        </w:tabs>
        <w:spacing w:after="20"/>
        <w:ind w:left="300" w:right="0"/>
      </w:pPr>
      <w:r>
        <w:rPr>
          <w:rFonts w:ascii="Verdana" w:cs="Verdana" w:eastAsia="Verdana" w:hAnsi="Verdana"/>
          <w:sz w:val="19"/>
          <w:szCs w:val="19"/>
        </w:rPr>
        <w:t xml:space="preserve">46. Crossing the limit during the year (Chapter 9)</w:t>
      </w:r>
      <w:r>
        <w:rPr>
          <w:rFonts w:ascii="Verdana" w:cs="Verdana" w:eastAsia="Verdana" w:hAnsi="Verdana"/>
          <w:sz w:val="19"/>
          <w:szCs w:val="19"/>
        </w:rPr>
        <w:t xml:space="preserve">	61</w:t>
      </w:r>
    </w:p>
    <w:p>
      <w:pPr>
        <w:tabs>
          <w:tab w:val="right" w:pos="9638" w:leader="dot"/>
        </w:tabs>
        <w:spacing w:after="20"/>
        <w:ind w:left="300" w:right="0"/>
      </w:pPr>
      <w:r>
        <w:rPr>
          <w:rFonts w:ascii="Verdana" w:cs="Verdana" w:eastAsia="Verdana" w:hAnsi="Verdana"/>
          <w:sz w:val="19"/>
          <w:szCs w:val="19"/>
        </w:rPr>
        <w:t xml:space="preserve">47. Quarterly tax under composition (Chapter 9)</w:t>
      </w:r>
      <w:r>
        <w:rPr>
          <w:rFonts w:ascii="Verdana" w:cs="Verdana" w:eastAsia="Verdana" w:hAnsi="Verdana"/>
          <w:sz w:val="19"/>
          <w:szCs w:val="19"/>
        </w:rPr>
        <w:t xml:space="preserve">	61</w:t>
      </w:r>
    </w:p>
    <w:p>
      <w:pPr>
        <w:tabs>
          <w:tab w:val="right" w:pos="9638" w:leader="dot"/>
        </w:tabs>
        <w:spacing w:after="20"/>
        <w:ind w:left="300" w:right="0"/>
      </w:pPr>
      <w:r>
        <w:rPr>
          <w:rFonts w:ascii="Verdana" w:cs="Verdana" w:eastAsia="Verdana" w:hAnsi="Verdana"/>
          <w:sz w:val="19"/>
          <w:szCs w:val="19"/>
        </w:rPr>
        <w:t xml:space="preserve">48. Trader selling to consumers (Chapter 9)</w:t>
      </w:r>
      <w:r>
        <w:rPr>
          <w:rFonts w:ascii="Verdana" w:cs="Verdana" w:eastAsia="Verdana" w:hAnsi="Verdana"/>
          <w:sz w:val="19"/>
          <w:szCs w:val="19"/>
        </w:rPr>
        <w:t xml:space="preserve">	62</w:t>
      </w:r>
    </w:p>
    <w:p>
      <w:pPr>
        <w:tabs>
          <w:tab w:val="right" w:pos="9638" w:leader="dot"/>
        </w:tabs>
        <w:spacing w:after="20"/>
        <w:ind w:left="300" w:right="0"/>
      </w:pPr>
      <w:r>
        <w:rPr>
          <w:rFonts w:ascii="Verdana" w:cs="Verdana" w:eastAsia="Verdana" w:hAnsi="Verdana"/>
          <w:sz w:val="19"/>
          <w:szCs w:val="19"/>
        </w:rPr>
        <w:t xml:space="preserve">49. Small restaurant (Chapter 9)</w:t>
      </w:r>
      <w:r>
        <w:rPr>
          <w:rFonts w:ascii="Verdana" w:cs="Verdana" w:eastAsia="Verdana" w:hAnsi="Verdana"/>
          <w:sz w:val="19"/>
          <w:szCs w:val="19"/>
        </w:rPr>
        <w:t xml:space="preserve">	62</w:t>
      </w:r>
    </w:p>
    <w:p>
      <w:pPr>
        <w:tabs>
          <w:tab w:val="right" w:pos="9638" w:leader="dot"/>
        </w:tabs>
        <w:spacing w:after="20"/>
        <w:ind w:left="300" w:right="0"/>
      </w:pPr>
      <w:r>
        <w:rPr>
          <w:rFonts w:ascii="Verdana" w:cs="Verdana" w:eastAsia="Verdana" w:hAnsi="Verdana"/>
          <w:sz w:val="19"/>
          <w:szCs w:val="19"/>
        </w:rPr>
        <w:t xml:space="preserve">50. Invoice issued after removal of goods (Chapter 10)</w:t>
      </w:r>
      <w:r>
        <w:rPr>
          <w:rFonts w:ascii="Verdana" w:cs="Verdana" w:eastAsia="Verdana" w:hAnsi="Verdana"/>
          <w:sz w:val="19"/>
          <w:szCs w:val="19"/>
        </w:rPr>
        <w:t xml:space="preserve">	64</w:t>
      </w:r>
    </w:p>
    <w:p>
      <w:pPr>
        <w:tabs>
          <w:tab w:val="right" w:pos="9638" w:leader="dot"/>
        </w:tabs>
        <w:spacing w:after="20"/>
        <w:ind w:left="300" w:right="0"/>
      </w:pPr>
      <w:r>
        <w:rPr>
          <w:rFonts w:ascii="Verdana" w:cs="Verdana" w:eastAsia="Verdana" w:hAnsi="Verdana"/>
          <w:sz w:val="19"/>
          <w:szCs w:val="19"/>
        </w:rPr>
        <w:t xml:space="preserve">51. Thirty-day rule and advance for services (Chapter 10)</w:t>
      </w:r>
      <w:r>
        <w:rPr>
          <w:rFonts w:ascii="Verdana" w:cs="Verdana" w:eastAsia="Verdana" w:hAnsi="Verdana"/>
          <w:sz w:val="19"/>
          <w:szCs w:val="19"/>
        </w:rPr>
        <w:t xml:space="preserve">	65</w:t>
      </w:r>
    </w:p>
    <w:p>
      <w:pPr>
        <w:tabs>
          <w:tab w:val="right" w:pos="9638" w:leader="dot"/>
        </w:tabs>
        <w:spacing w:after="20"/>
        <w:ind w:left="300" w:right="0"/>
      </w:pPr>
      <w:r>
        <w:rPr>
          <w:rFonts w:ascii="Verdana" w:cs="Verdana" w:eastAsia="Verdana" w:hAnsi="Verdana"/>
          <w:sz w:val="19"/>
          <w:szCs w:val="19"/>
        </w:rPr>
        <w:t xml:space="preserve">52. Facility management contract (Chapter 10)</w:t>
      </w:r>
      <w:r>
        <w:rPr>
          <w:rFonts w:ascii="Verdana" w:cs="Verdana" w:eastAsia="Verdana" w:hAnsi="Verdana"/>
          <w:sz w:val="19"/>
          <w:szCs w:val="19"/>
        </w:rPr>
        <w:t xml:space="preserve">	66</w:t>
      </w:r>
    </w:p>
    <w:p>
      <w:pPr>
        <w:tabs>
          <w:tab w:val="right" w:pos="9638" w:leader="dot"/>
        </w:tabs>
        <w:spacing w:after="20"/>
        <w:ind w:left="300" w:right="0"/>
      </w:pPr>
      <w:r>
        <w:rPr>
          <w:rFonts w:ascii="Verdana" w:cs="Verdana" w:eastAsia="Verdana" w:hAnsi="Verdana"/>
          <w:sz w:val="19"/>
          <w:szCs w:val="19"/>
        </w:rPr>
        <w:t xml:space="preserve">53. Reverse charge on legal services (Chapter 10)</w:t>
      </w:r>
      <w:r>
        <w:rPr>
          <w:rFonts w:ascii="Verdana" w:cs="Verdana" w:eastAsia="Verdana" w:hAnsi="Verdana"/>
          <w:sz w:val="19"/>
          <w:szCs w:val="19"/>
        </w:rPr>
        <w:t xml:space="preserve">	66</w:t>
      </w:r>
    </w:p>
    <w:p>
      <w:pPr>
        <w:tabs>
          <w:tab w:val="right" w:pos="9638" w:leader="dot"/>
        </w:tabs>
        <w:spacing w:after="20"/>
        <w:ind w:left="300" w:right="0"/>
      </w:pPr>
      <w:r>
        <w:rPr>
          <w:rFonts w:ascii="Verdana" w:cs="Verdana" w:eastAsia="Verdana" w:hAnsi="Verdana"/>
          <w:sz w:val="19"/>
          <w:szCs w:val="19"/>
        </w:rPr>
        <w:t xml:space="preserve">54. Import of services from an associated enterprise (Chapter 10)</w:t>
      </w:r>
      <w:r>
        <w:rPr>
          <w:rFonts w:ascii="Verdana" w:cs="Verdana" w:eastAsia="Verdana" w:hAnsi="Verdana"/>
          <w:sz w:val="19"/>
          <w:szCs w:val="19"/>
        </w:rPr>
        <w:t xml:space="preserve">	66</w:t>
      </w:r>
    </w:p>
    <w:p>
      <w:pPr>
        <w:tabs>
          <w:tab w:val="right" w:pos="9638" w:leader="dot"/>
        </w:tabs>
        <w:spacing w:after="20"/>
        <w:ind w:left="300" w:right="0"/>
      </w:pPr>
      <w:r>
        <w:rPr>
          <w:rFonts w:ascii="Verdana" w:cs="Verdana" w:eastAsia="Verdana" w:hAnsi="Verdana"/>
          <w:sz w:val="19"/>
          <w:szCs w:val="19"/>
        </w:rPr>
        <w:t xml:space="preserve">55. Gift card (Chapter 10)</w:t>
      </w:r>
      <w:r>
        <w:rPr>
          <w:rFonts w:ascii="Verdana" w:cs="Verdana" w:eastAsia="Verdana" w:hAnsi="Verdana"/>
          <w:sz w:val="19"/>
          <w:szCs w:val="19"/>
        </w:rPr>
        <w:t xml:space="preserve">	67</w:t>
      </w:r>
    </w:p>
    <w:p>
      <w:pPr>
        <w:tabs>
          <w:tab w:val="right" w:pos="9638" w:leader="dot"/>
        </w:tabs>
        <w:spacing w:after="20"/>
        <w:ind w:left="300" w:right="0"/>
      </w:pPr>
      <w:r>
        <w:rPr>
          <w:rFonts w:ascii="Verdana" w:cs="Verdana" w:eastAsia="Verdana" w:hAnsi="Verdana"/>
          <w:sz w:val="19"/>
          <w:szCs w:val="19"/>
        </w:rPr>
        <w:t xml:space="preserve">56. Salon services across the rate change (Chapter 10)</w:t>
      </w:r>
      <w:r>
        <w:rPr>
          <w:rFonts w:ascii="Verdana" w:cs="Verdana" w:eastAsia="Verdana" w:hAnsi="Verdana"/>
          <w:sz w:val="19"/>
          <w:szCs w:val="19"/>
        </w:rPr>
        <w:t xml:space="preserve">	68</w:t>
      </w:r>
    </w:p>
    <w:p>
      <w:pPr>
        <w:tabs>
          <w:tab w:val="right" w:pos="9638" w:leader="dot"/>
        </w:tabs>
        <w:spacing w:after="20"/>
        <w:ind w:left="300" w:right="0"/>
      </w:pPr>
      <w:r>
        <w:rPr>
          <w:rFonts w:ascii="Verdana" w:cs="Verdana" w:eastAsia="Verdana" w:hAnsi="Verdana"/>
          <w:sz w:val="19"/>
          <w:szCs w:val="19"/>
        </w:rPr>
        <w:t xml:space="preserve">57. Cement dealer and the four working day rule (Chapter 10)</w:t>
      </w:r>
      <w:r>
        <w:rPr>
          <w:rFonts w:ascii="Verdana" w:cs="Verdana" w:eastAsia="Verdana" w:hAnsi="Verdana"/>
          <w:sz w:val="19"/>
          <w:szCs w:val="19"/>
        </w:rPr>
        <w:t xml:space="preserve">	68</w:t>
      </w:r>
    </w:p>
    <w:p>
      <w:pPr>
        <w:tabs>
          <w:tab w:val="right" w:pos="9638" w:leader="dot"/>
        </w:tabs>
        <w:spacing w:after="20"/>
        <w:ind w:left="300" w:right="0"/>
      </w:pPr>
      <w:r>
        <w:rPr>
          <w:rFonts w:ascii="Verdana" w:cs="Verdana" w:eastAsia="Verdana" w:hAnsi="Verdana"/>
          <w:sz w:val="19"/>
          <w:szCs w:val="19"/>
        </w:rPr>
        <w:t xml:space="preserve">58. Building up the value of supply (Chapter 11)</w:t>
      </w:r>
      <w:r>
        <w:rPr>
          <w:rFonts w:ascii="Verdana" w:cs="Verdana" w:eastAsia="Verdana" w:hAnsi="Verdana"/>
          <w:sz w:val="19"/>
          <w:szCs w:val="19"/>
        </w:rPr>
        <w:t xml:space="preserve">	69</w:t>
      </w:r>
    </w:p>
    <w:p>
      <w:pPr>
        <w:tabs>
          <w:tab w:val="right" w:pos="9638" w:leader="dot"/>
        </w:tabs>
        <w:spacing w:after="20"/>
        <w:ind w:left="300" w:right="0"/>
      </w:pPr>
      <w:r>
        <w:rPr>
          <w:rFonts w:ascii="Verdana" w:cs="Verdana" w:eastAsia="Verdana" w:hAnsi="Verdana"/>
          <w:sz w:val="19"/>
          <w:szCs w:val="19"/>
        </w:rPr>
        <w:t xml:space="preserve">59. Volume rebate under a dealership agreement (Chapter 11)</w:t>
      </w:r>
      <w:r>
        <w:rPr>
          <w:rFonts w:ascii="Verdana" w:cs="Verdana" w:eastAsia="Verdana" w:hAnsi="Verdana"/>
          <w:sz w:val="19"/>
          <w:szCs w:val="19"/>
        </w:rPr>
        <w:t xml:space="preserve">	70</w:t>
      </w:r>
    </w:p>
    <w:p>
      <w:pPr>
        <w:tabs>
          <w:tab w:val="right" w:pos="9638" w:leader="dot"/>
        </w:tabs>
        <w:spacing w:after="20"/>
        <w:ind w:left="300" w:right="0"/>
      </w:pPr>
      <w:r>
        <w:rPr>
          <w:rFonts w:ascii="Verdana" w:cs="Verdana" w:eastAsia="Verdana" w:hAnsi="Verdana"/>
          <w:sz w:val="19"/>
          <w:szCs w:val="19"/>
        </w:rPr>
        <w:t xml:space="preserve">60. Exchange offer on a television (Chapter 11)</w:t>
      </w:r>
      <w:r>
        <w:rPr>
          <w:rFonts w:ascii="Verdana" w:cs="Verdana" w:eastAsia="Verdana" w:hAnsi="Verdana"/>
          <w:sz w:val="19"/>
          <w:szCs w:val="19"/>
        </w:rPr>
        <w:t xml:space="preserve">	71</w:t>
      </w:r>
    </w:p>
    <w:p>
      <w:pPr>
        <w:tabs>
          <w:tab w:val="right" w:pos="9638" w:leader="dot"/>
        </w:tabs>
        <w:spacing w:after="20"/>
        <w:ind w:left="300" w:right="0"/>
      </w:pPr>
      <w:r>
        <w:rPr>
          <w:rFonts w:ascii="Verdana" w:cs="Verdana" w:eastAsia="Verdana" w:hAnsi="Verdana"/>
          <w:sz w:val="19"/>
          <w:szCs w:val="19"/>
        </w:rPr>
        <w:t xml:space="preserve">61. Stock transfer to a branch (Chapter 11)</w:t>
      </w:r>
      <w:r>
        <w:rPr>
          <w:rFonts w:ascii="Verdana" w:cs="Verdana" w:eastAsia="Verdana" w:hAnsi="Verdana"/>
          <w:sz w:val="19"/>
          <w:szCs w:val="19"/>
        </w:rPr>
        <w:t xml:space="preserve">	71</w:t>
      </w:r>
    </w:p>
    <w:p>
      <w:pPr>
        <w:tabs>
          <w:tab w:val="right" w:pos="9638" w:leader="dot"/>
        </w:tabs>
        <w:spacing w:after="20"/>
        <w:ind w:left="300" w:right="0"/>
      </w:pPr>
      <w:r>
        <w:rPr>
          <w:rFonts w:ascii="Verdana" w:cs="Verdana" w:eastAsia="Verdana" w:hAnsi="Verdana"/>
          <w:sz w:val="19"/>
          <w:szCs w:val="19"/>
        </w:rPr>
        <w:t xml:space="preserve">62. Corporate guarantee by a holding company (Chapter 11)</w:t>
      </w:r>
      <w:r>
        <w:rPr>
          <w:rFonts w:ascii="Verdana" w:cs="Verdana" w:eastAsia="Verdana" w:hAnsi="Verdana"/>
          <w:sz w:val="19"/>
          <w:szCs w:val="19"/>
        </w:rPr>
        <w:t xml:space="preserve">	71</w:t>
      </w:r>
    </w:p>
    <w:p>
      <w:pPr>
        <w:tabs>
          <w:tab w:val="right" w:pos="9638" w:leader="dot"/>
        </w:tabs>
        <w:spacing w:after="20"/>
        <w:ind w:left="300" w:right="0"/>
      </w:pPr>
      <w:r>
        <w:rPr>
          <w:rFonts w:ascii="Verdana" w:cs="Verdana" w:eastAsia="Verdana" w:hAnsi="Verdana"/>
          <w:sz w:val="19"/>
          <w:szCs w:val="19"/>
        </w:rPr>
        <w:t xml:space="preserve">63. Money changer and air travel agent (Chapter 11)</w:t>
      </w:r>
      <w:r>
        <w:rPr>
          <w:rFonts w:ascii="Verdana" w:cs="Verdana" w:eastAsia="Verdana" w:hAnsi="Verdana"/>
          <w:sz w:val="19"/>
          <w:szCs w:val="19"/>
        </w:rPr>
        <w:t xml:space="preserve">	72</w:t>
      </w:r>
    </w:p>
    <w:p>
      <w:pPr>
        <w:tabs>
          <w:tab w:val="right" w:pos="9638" w:leader="dot"/>
        </w:tabs>
        <w:spacing w:after="20"/>
        <w:ind w:left="300" w:right="0"/>
      </w:pPr>
      <w:r>
        <w:rPr>
          <w:rFonts w:ascii="Verdana" w:cs="Verdana" w:eastAsia="Verdana" w:hAnsi="Verdana"/>
          <w:sz w:val="19"/>
          <w:szCs w:val="19"/>
        </w:rPr>
        <w:t xml:space="preserve">64. Customs broker's invoice (Chapter 11)</w:t>
      </w:r>
      <w:r>
        <w:rPr>
          <w:rFonts w:ascii="Verdana" w:cs="Verdana" w:eastAsia="Verdana" w:hAnsi="Verdana"/>
          <w:sz w:val="19"/>
          <w:szCs w:val="19"/>
        </w:rPr>
        <w:t xml:space="preserve">	73</w:t>
      </w:r>
    </w:p>
    <w:p>
      <w:pPr>
        <w:tabs>
          <w:tab w:val="right" w:pos="9638" w:leader="dot"/>
        </w:tabs>
        <w:spacing w:after="20"/>
        <w:ind w:left="300" w:right="0"/>
      </w:pPr>
      <w:r>
        <w:rPr>
          <w:rFonts w:ascii="Verdana" w:cs="Verdana" w:eastAsia="Verdana" w:hAnsi="Verdana"/>
          <w:sz w:val="19"/>
          <w:szCs w:val="19"/>
        </w:rPr>
        <w:t xml:space="preserve">65. Contract with client-supplied cement (Chapter 11)</w:t>
      </w:r>
      <w:r>
        <w:rPr>
          <w:rFonts w:ascii="Verdana" w:cs="Verdana" w:eastAsia="Verdana" w:hAnsi="Verdana"/>
          <w:sz w:val="19"/>
          <w:szCs w:val="19"/>
        </w:rPr>
        <w:t xml:space="preserve">	74</w:t>
      </w:r>
    </w:p>
    <w:p>
      <w:pPr>
        <w:tabs>
          <w:tab w:val="right" w:pos="9638" w:leader="dot"/>
        </w:tabs>
        <w:spacing w:after="20"/>
        <w:ind w:left="300" w:right="0"/>
      </w:pPr>
      <w:r>
        <w:rPr>
          <w:rFonts w:ascii="Verdana" w:cs="Verdana" w:eastAsia="Verdana" w:hAnsi="Verdana"/>
          <w:sz w:val="19"/>
          <w:szCs w:val="19"/>
        </w:rPr>
        <w:t xml:space="preserve">66. Secondment to an Indian subsidiary (Chapter 11)</w:t>
      </w:r>
      <w:r>
        <w:rPr>
          <w:rFonts w:ascii="Verdana" w:cs="Verdana" w:eastAsia="Verdana" w:hAnsi="Verdana"/>
          <w:sz w:val="19"/>
          <w:szCs w:val="19"/>
        </w:rPr>
        <w:t xml:space="preserve">	75</w:t>
      </w:r>
    </w:p>
    <w:p>
      <w:pPr>
        <w:tabs>
          <w:tab w:val="right" w:pos="9638" w:leader="dot"/>
        </w:tabs>
        <w:spacing w:after="20"/>
        <w:ind w:left="300" w:right="0"/>
      </w:pPr>
      <w:r>
        <w:rPr>
          <w:rFonts w:ascii="Verdana" w:cs="Verdana" w:eastAsia="Verdana" w:hAnsi="Verdana"/>
          <w:sz w:val="19"/>
          <w:szCs w:val="19"/>
        </w:rPr>
        <w:t xml:space="preserve">67. Three-party bill-to-ship-to sale (Chapter 12)</w:t>
      </w:r>
      <w:r>
        <w:rPr>
          <w:rFonts w:ascii="Verdana" w:cs="Verdana" w:eastAsia="Verdana" w:hAnsi="Verdana"/>
          <w:sz w:val="19"/>
          <w:szCs w:val="19"/>
        </w:rPr>
        <w:t xml:space="preserve">	77</w:t>
      </w:r>
    </w:p>
    <w:p>
      <w:pPr>
        <w:tabs>
          <w:tab w:val="right" w:pos="9638" w:leader="dot"/>
        </w:tabs>
        <w:spacing w:after="20"/>
        <w:ind w:left="300" w:right="0"/>
      </w:pPr>
      <w:r>
        <w:rPr>
          <w:rFonts w:ascii="Verdana" w:cs="Verdana" w:eastAsia="Verdana" w:hAnsi="Verdana"/>
          <w:sz w:val="19"/>
          <w:szCs w:val="19"/>
        </w:rPr>
        <w:t xml:space="preserve">68. Machine installed at site (Chapter 12)</w:t>
      </w:r>
      <w:r>
        <w:rPr>
          <w:rFonts w:ascii="Verdana" w:cs="Verdana" w:eastAsia="Verdana" w:hAnsi="Verdana"/>
          <w:sz w:val="19"/>
          <w:szCs w:val="19"/>
        </w:rPr>
        <w:t xml:space="preserve">	78</w:t>
      </w:r>
    </w:p>
    <w:p>
      <w:pPr>
        <w:tabs>
          <w:tab w:val="right" w:pos="9638" w:leader="dot"/>
        </w:tabs>
        <w:spacing w:after="20"/>
        <w:ind w:left="300" w:right="0"/>
      </w:pPr>
      <w:r>
        <w:rPr>
          <w:rFonts w:ascii="Verdana" w:cs="Verdana" w:eastAsia="Verdana" w:hAnsi="Verdana"/>
          <w:sz w:val="19"/>
          <w:szCs w:val="19"/>
        </w:rPr>
        <w:t xml:space="preserve">69. Goods sold on board a train (Chapter 12)</w:t>
      </w:r>
      <w:r>
        <w:rPr>
          <w:rFonts w:ascii="Verdana" w:cs="Verdana" w:eastAsia="Verdana" w:hAnsi="Verdana"/>
          <w:sz w:val="19"/>
          <w:szCs w:val="19"/>
        </w:rPr>
        <w:t xml:space="preserve">	78</w:t>
      </w:r>
    </w:p>
    <w:p>
      <w:pPr>
        <w:tabs>
          <w:tab w:val="right" w:pos="9638" w:leader="dot"/>
        </w:tabs>
        <w:spacing w:after="20"/>
        <w:ind w:left="300" w:right="0"/>
      </w:pPr>
      <w:r>
        <w:rPr>
          <w:rFonts w:ascii="Verdana" w:cs="Verdana" w:eastAsia="Verdana" w:hAnsi="Verdana"/>
          <w:sz w:val="19"/>
          <w:szCs w:val="19"/>
        </w:rPr>
        <w:t xml:space="preserve">70. General rule for a professional firm (Chapter 12)</w:t>
      </w:r>
      <w:r>
        <w:rPr>
          <w:rFonts w:ascii="Verdana" w:cs="Verdana" w:eastAsia="Verdana" w:hAnsi="Verdana"/>
          <w:sz w:val="19"/>
          <w:szCs w:val="19"/>
        </w:rPr>
        <w:t xml:space="preserve">	79</w:t>
      </w:r>
    </w:p>
    <w:p>
      <w:pPr>
        <w:tabs>
          <w:tab w:val="right" w:pos="9638" w:leader="dot"/>
        </w:tabs>
        <w:spacing w:after="20"/>
        <w:ind w:left="300" w:right="0"/>
      </w:pPr>
      <w:r>
        <w:rPr>
          <w:rFonts w:ascii="Verdana" w:cs="Verdana" w:eastAsia="Verdana" w:hAnsi="Verdana"/>
          <w:sz w:val="19"/>
          <w:szCs w:val="19"/>
        </w:rPr>
        <w:t xml:space="preserve">71. Hotel stay and banquet for a sales conference (Chapter 12)</w:t>
      </w:r>
      <w:r>
        <w:rPr>
          <w:rFonts w:ascii="Verdana" w:cs="Verdana" w:eastAsia="Verdana" w:hAnsi="Verdana"/>
          <w:sz w:val="19"/>
          <w:szCs w:val="19"/>
        </w:rPr>
        <w:t xml:space="preserve">	79</w:t>
      </w:r>
    </w:p>
    <w:p>
      <w:pPr>
        <w:tabs>
          <w:tab w:val="right" w:pos="9638" w:leader="dot"/>
        </w:tabs>
        <w:spacing w:after="20"/>
        <w:ind w:left="300" w:right="0"/>
      </w:pPr>
      <w:r>
        <w:rPr>
          <w:rFonts w:ascii="Verdana" w:cs="Verdana" w:eastAsia="Verdana" w:hAnsi="Verdana"/>
          <w:sz w:val="19"/>
          <w:szCs w:val="19"/>
        </w:rPr>
        <w:t xml:space="preserve">72. Organising a dealer conference (Chapter 12)</w:t>
      </w:r>
      <w:r>
        <w:rPr>
          <w:rFonts w:ascii="Verdana" w:cs="Verdana" w:eastAsia="Verdana" w:hAnsi="Verdana"/>
          <w:sz w:val="19"/>
          <w:szCs w:val="19"/>
        </w:rPr>
        <w:t xml:space="preserve">	80</w:t>
      </w:r>
    </w:p>
    <w:p>
      <w:pPr>
        <w:tabs>
          <w:tab w:val="right" w:pos="9638" w:leader="dot"/>
        </w:tabs>
        <w:spacing w:after="20"/>
        <w:ind w:left="300" w:right="0"/>
      </w:pPr>
      <w:r>
        <w:rPr>
          <w:rFonts w:ascii="Verdana" w:cs="Verdana" w:eastAsia="Verdana" w:hAnsi="Verdana"/>
          <w:sz w:val="19"/>
          <w:szCs w:val="19"/>
        </w:rPr>
        <w:t xml:space="preserve">73. Transport of goods and of passengers (Chapter 12)</w:t>
      </w:r>
      <w:r>
        <w:rPr>
          <w:rFonts w:ascii="Verdana" w:cs="Verdana" w:eastAsia="Verdana" w:hAnsi="Verdana"/>
          <w:sz w:val="19"/>
          <w:szCs w:val="19"/>
        </w:rPr>
        <w:t xml:space="preserve">	80</w:t>
      </w:r>
    </w:p>
    <w:p>
      <w:pPr>
        <w:tabs>
          <w:tab w:val="right" w:pos="9638" w:leader="dot"/>
        </w:tabs>
        <w:spacing w:after="20"/>
        <w:ind w:left="300" w:right="0"/>
      </w:pPr>
      <w:r>
        <w:rPr>
          <w:rFonts w:ascii="Verdana" w:cs="Verdana" w:eastAsia="Verdana" w:hAnsi="Verdana"/>
          <w:sz w:val="19"/>
          <w:szCs w:val="19"/>
        </w:rPr>
        <w:t xml:space="preserve">74. CGST and SGST charged in place of IGST (Chapter 12)</w:t>
      </w:r>
      <w:r>
        <w:rPr>
          <w:rFonts w:ascii="Verdana" w:cs="Verdana" w:eastAsia="Verdana" w:hAnsi="Verdana"/>
          <w:sz w:val="19"/>
          <w:szCs w:val="19"/>
        </w:rPr>
        <w:t xml:space="preserve">	81</w:t>
      </w:r>
    </w:p>
    <w:p>
      <w:pPr>
        <w:tabs>
          <w:tab w:val="right" w:pos="9638" w:leader="dot"/>
        </w:tabs>
        <w:spacing w:after="20"/>
        <w:ind w:left="300" w:right="0"/>
      </w:pPr>
      <w:r>
        <w:rPr>
          <w:rFonts w:ascii="Verdana" w:cs="Verdana" w:eastAsia="Verdana" w:hAnsi="Verdana"/>
          <w:sz w:val="19"/>
          <w:szCs w:val="19"/>
        </w:rPr>
        <w:t xml:space="preserve">75. Testing, remote repair and temporary import (Chapter 13)</w:t>
      </w:r>
      <w:r>
        <w:rPr>
          <w:rFonts w:ascii="Verdana" w:cs="Verdana" w:eastAsia="Verdana" w:hAnsi="Verdana"/>
          <w:sz w:val="19"/>
          <w:szCs w:val="19"/>
        </w:rPr>
        <w:t xml:space="preserve">	83</w:t>
      </w:r>
    </w:p>
    <w:p>
      <w:pPr>
        <w:tabs>
          <w:tab w:val="right" w:pos="9638" w:leader="dot"/>
        </w:tabs>
        <w:spacing w:after="20"/>
        <w:ind w:left="300" w:right="0"/>
      </w:pPr>
      <w:r>
        <w:rPr>
          <w:rFonts w:ascii="Verdana" w:cs="Verdana" w:eastAsia="Verdana" w:hAnsi="Verdana"/>
          <w:sz w:val="19"/>
          <w:szCs w:val="19"/>
        </w:rPr>
        <w:t xml:space="preserve">76. Architectural services across the border (Chapter 13)</w:t>
      </w:r>
      <w:r>
        <w:rPr>
          <w:rFonts w:ascii="Verdana" w:cs="Verdana" w:eastAsia="Verdana" w:hAnsi="Verdana"/>
          <w:sz w:val="19"/>
          <w:szCs w:val="19"/>
        </w:rPr>
        <w:t xml:space="preserve">	84</w:t>
      </w:r>
    </w:p>
    <w:p>
      <w:pPr>
        <w:tabs>
          <w:tab w:val="right" w:pos="9638" w:leader="dot"/>
        </w:tabs>
        <w:spacing w:after="20"/>
        <w:ind w:left="300" w:right="0"/>
      </w:pPr>
      <w:r>
        <w:rPr>
          <w:rFonts w:ascii="Verdana" w:cs="Verdana" w:eastAsia="Verdana" w:hAnsi="Verdana"/>
          <w:sz w:val="19"/>
          <w:szCs w:val="19"/>
        </w:rPr>
        <w:t xml:space="preserve">77. Event held partly in India (Chapter 13)</w:t>
      </w:r>
      <w:r>
        <w:rPr>
          <w:rFonts w:ascii="Verdana" w:cs="Verdana" w:eastAsia="Verdana" w:hAnsi="Verdana"/>
          <w:sz w:val="19"/>
          <w:szCs w:val="19"/>
        </w:rPr>
        <w:t xml:space="preserve">	84</w:t>
      </w:r>
    </w:p>
    <w:p>
      <w:pPr>
        <w:tabs>
          <w:tab w:val="right" w:pos="9638" w:leader="dot"/>
        </w:tabs>
        <w:spacing w:after="20"/>
        <w:ind w:left="300" w:right="0"/>
      </w:pPr>
      <w:r>
        <w:rPr>
          <w:rFonts w:ascii="Verdana" w:cs="Verdana" w:eastAsia="Verdana" w:hAnsi="Verdana"/>
          <w:sz w:val="19"/>
          <w:szCs w:val="19"/>
        </w:rPr>
        <w:t xml:space="preserve">78. Self-drive car for a foreign tourist (Chapter 13)</w:t>
      </w:r>
      <w:r>
        <w:rPr>
          <w:rFonts w:ascii="Verdana" w:cs="Verdana" w:eastAsia="Verdana" w:hAnsi="Verdana"/>
          <w:sz w:val="19"/>
          <w:szCs w:val="19"/>
        </w:rPr>
        <w:t xml:space="preserve">	84</w:t>
      </w:r>
    </w:p>
    <w:p>
      <w:pPr>
        <w:tabs>
          <w:tab w:val="right" w:pos="9638" w:leader="dot"/>
        </w:tabs>
        <w:spacing w:after="20"/>
        <w:ind w:left="300" w:right="0"/>
      </w:pPr>
      <w:r>
        <w:rPr>
          <w:rFonts w:ascii="Verdana" w:cs="Verdana" w:eastAsia="Verdana" w:hAnsi="Verdana"/>
          <w:sz w:val="19"/>
          <w:szCs w:val="19"/>
        </w:rPr>
        <w:t xml:space="preserve">79. Commission agent before and after 30 March 2026 (Chapter 13)</w:t>
      </w:r>
      <w:r>
        <w:rPr>
          <w:rFonts w:ascii="Verdana" w:cs="Verdana" w:eastAsia="Verdana" w:hAnsi="Verdana"/>
          <w:sz w:val="19"/>
          <w:szCs w:val="19"/>
        </w:rPr>
        <w:t xml:space="preserve">	85</w:t>
      </w:r>
    </w:p>
    <w:p>
      <w:pPr>
        <w:tabs>
          <w:tab w:val="right" w:pos="9638" w:leader="dot"/>
        </w:tabs>
        <w:spacing w:after="20"/>
        <w:ind w:left="300" w:right="0"/>
      </w:pPr>
      <w:r>
        <w:rPr>
          <w:rFonts w:ascii="Verdana" w:cs="Verdana" w:eastAsia="Verdana" w:hAnsi="Verdana"/>
          <w:sz w:val="19"/>
          <w:szCs w:val="19"/>
        </w:rPr>
        <w:t xml:space="preserve">80. Foreign software subscription (Chapter 13)</w:t>
      </w:r>
      <w:r>
        <w:rPr>
          <w:rFonts w:ascii="Verdana" w:cs="Verdana" w:eastAsia="Verdana" w:hAnsi="Verdana"/>
          <w:sz w:val="19"/>
          <w:szCs w:val="19"/>
        </w:rPr>
        <w:t xml:space="preserve">	87</w:t>
      </w:r>
    </w:p>
    <w:p>
      <w:pPr>
        <w:tabs>
          <w:tab w:val="right" w:pos="9638" w:leader="dot"/>
        </w:tabs>
        <w:spacing w:after="20"/>
        <w:ind w:left="300" w:right="0"/>
      </w:pPr>
      <w:r>
        <w:rPr>
          <w:rFonts w:ascii="Verdana" w:cs="Verdana" w:eastAsia="Verdana" w:hAnsi="Verdana"/>
          <w:sz w:val="19"/>
          <w:szCs w:val="19"/>
        </w:rPr>
        <w:t xml:space="preserve">81. Customs duty and IGST on imported machinery (Chapter 14)</w:t>
      </w:r>
      <w:r>
        <w:rPr>
          <w:rFonts w:ascii="Verdana" w:cs="Verdana" w:eastAsia="Verdana" w:hAnsi="Verdana"/>
          <w:sz w:val="19"/>
          <w:szCs w:val="19"/>
        </w:rPr>
        <w:t xml:space="preserve">	88</w:t>
      </w:r>
    </w:p>
    <w:p>
      <w:pPr>
        <w:tabs>
          <w:tab w:val="right" w:pos="9638" w:leader="dot"/>
        </w:tabs>
        <w:spacing w:after="20"/>
        <w:ind w:left="300" w:right="0"/>
      </w:pPr>
      <w:r>
        <w:rPr>
          <w:rFonts w:ascii="Verdana" w:cs="Verdana" w:eastAsia="Verdana" w:hAnsi="Verdana"/>
          <w:sz w:val="19"/>
          <w:szCs w:val="19"/>
        </w:rPr>
        <w:t xml:space="preserve">82. Personal and business imports (Chapter 14)</w:t>
      </w:r>
      <w:r>
        <w:rPr>
          <w:rFonts w:ascii="Verdana" w:cs="Verdana" w:eastAsia="Verdana" w:hAnsi="Verdana"/>
          <w:sz w:val="19"/>
          <w:szCs w:val="19"/>
        </w:rPr>
        <w:t xml:space="preserve">	89</w:t>
      </w:r>
    </w:p>
    <w:p>
      <w:pPr>
        <w:tabs>
          <w:tab w:val="right" w:pos="9638" w:leader="dot"/>
        </w:tabs>
        <w:spacing w:after="20"/>
        <w:ind w:left="300" w:right="0"/>
      </w:pPr>
      <w:r>
        <w:rPr>
          <w:rFonts w:ascii="Verdana" w:cs="Verdana" w:eastAsia="Verdana" w:hAnsi="Verdana"/>
          <w:sz w:val="19"/>
          <w:szCs w:val="19"/>
        </w:rPr>
        <w:t xml:space="preserve">83. Which services qualify as exports (Chapter 14)</w:t>
      </w:r>
      <w:r>
        <w:rPr>
          <w:rFonts w:ascii="Verdana" w:cs="Verdana" w:eastAsia="Verdana" w:hAnsi="Verdana"/>
          <w:sz w:val="19"/>
          <w:szCs w:val="19"/>
        </w:rPr>
        <w:t xml:space="preserve">	89</w:t>
      </w:r>
    </w:p>
    <w:p>
      <w:pPr>
        <w:tabs>
          <w:tab w:val="right" w:pos="9638" w:leader="dot"/>
        </w:tabs>
        <w:spacing w:after="20"/>
        <w:ind w:left="300" w:right="0"/>
      </w:pPr>
      <w:r>
        <w:rPr>
          <w:rFonts w:ascii="Verdana" w:cs="Verdana" w:eastAsia="Verdana" w:hAnsi="Verdana"/>
          <w:sz w:val="19"/>
          <w:szCs w:val="19"/>
        </w:rPr>
        <w:t xml:space="preserve">84. LUT or IGST payment for a goods exporter (Chapter 14)</w:t>
      </w:r>
      <w:r>
        <w:rPr>
          <w:rFonts w:ascii="Verdana" w:cs="Verdana" w:eastAsia="Verdana" w:hAnsi="Verdana"/>
          <w:sz w:val="19"/>
          <w:szCs w:val="19"/>
        </w:rPr>
        <w:t xml:space="preserve">	90</w:t>
      </w:r>
    </w:p>
    <w:p>
      <w:pPr>
        <w:tabs>
          <w:tab w:val="right" w:pos="9638" w:leader="dot"/>
        </w:tabs>
        <w:spacing w:after="20"/>
        <w:ind w:left="300" w:right="0"/>
      </w:pPr>
      <w:r>
        <w:rPr>
          <w:rFonts w:ascii="Verdana" w:cs="Verdana" w:eastAsia="Verdana" w:hAnsi="Verdana"/>
          <w:sz w:val="19"/>
          <w:szCs w:val="19"/>
        </w:rPr>
        <w:t xml:space="preserve">85. Late realisation of export proceeds (Chapter 14)</w:t>
      </w:r>
      <w:r>
        <w:rPr>
          <w:rFonts w:ascii="Verdana" w:cs="Verdana" w:eastAsia="Verdana" w:hAnsi="Verdana"/>
          <w:sz w:val="19"/>
          <w:szCs w:val="19"/>
        </w:rPr>
        <w:t xml:space="preserve">	90</w:t>
      </w:r>
    </w:p>
    <w:p>
      <w:pPr>
        <w:tabs>
          <w:tab w:val="right" w:pos="9638" w:leader="dot"/>
        </w:tabs>
        <w:spacing w:after="20"/>
        <w:ind w:left="300" w:right="0"/>
      </w:pPr>
      <w:r>
        <w:rPr>
          <w:rFonts w:ascii="Verdana" w:cs="Verdana" w:eastAsia="Verdana" w:hAnsi="Verdana"/>
          <w:sz w:val="19"/>
          <w:szCs w:val="19"/>
        </w:rPr>
        <w:t xml:space="preserve">86. Components to an SEZ unit (Chapter 14)</w:t>
      </w:r>
      <w:r>
        <w:rPr>
          <w:rFonts w:ascii="Verdana" w:cs="Verdana" w:eastAsia="Verdana" w:hAnsi="Verdana"/>
          <w:sz w:val="19"/>
          <w:szCs w:val="19"/>
        </w:rPr>
        <w:t xml:space="preserve">	91</w:t>
      </w:r>
    </w:p>
    <w:p>
      <w:pPr>
        <w:tabs>
          <w:tab w:val="right" w:pos="9638" w:leader="dot"/>
        </w:tabs>
        <w:spacing w:after="20"/>
        <w:ind w:left="300" w:right="0"/>
      </w:pPr>
      <w:r>
        <w:rPr>
          <w:rFonts w:ascii="Verdana" w:cs="Verdana" w:eastAsia="Verdana" w:hAnsi="Verdana"/>
          <w:sz w:val="19"/>
          <w:szCs w:val="19"/>
        </w:rPr>
        <w:t xml:space="preserve">87. Supply to an advance authorisation holder (Chapter 14)</w:t>
      </w:r>
      <w:r>
        <w:rPr>
          <w:rFonts w:ascii="Verdana" w:cs="Verdana" w:eastAsia="Verdana" w:hAnsi="Verdana"/>
          <w:sz w:val="19"/>
          <w:szCs w:val="19"/>
        </w:rPr>
        <w:t xml:space="preserve">	91</w:t>
      </w:r>
    </w:p>
    <w:p>
      <w:pPr>
        <w:tabs>
          <w:tab w:val="right" w:pos="9638" w:leader="dot"/>
        </w:tabs>
        <w:spacing w:after="20"/>
        <w:ind w:left="300" w:right="0"/>
      </w:pPr>
      <w:r>
        <w:rPr>
          <w:rFonts w:ascii="Verdana" w:cs="Verdana" w:eastAsia="Verdana" w:hAnsi="Verdana"/>
          <w:sz w:val="19"/>
          <w:szCs w:val="19"/>
        </w:rPr>
        <w:t xml:space="preserve">88. Merchant export at 0.1% (Chapter 14)</w:t>
      </w:r>
      <w:r>
        <w:rPr>
          <w:rFonts w:ascii="Verdana" w:cs="Verdana" w:eastAsia="Verdana" w:hAnsi="Verdana"/>
          <w:sz w:val="19"/>
          <w:szCs w:val="19"/>
        </w:rPr>
        <w:t xml:space="preserve">	92</w:t>
      </w:r>
    </w:p>
    <w:p>
      <w:pPr>
        <w:tabs>
          <w:tab w:val="right" w:pos="9638" w:leader="dot"/>
        </w:tabs>
        <w:spacing w:after="20"/>
        <w:ind w:left="300" w:right="0"/>
      </w:pPr>
      <w:r>
        <w:rPr>
          <w:rFonts w:ascii="Verdana" w:cs="Verdana" w:eastAsia="Verdana" w:hAnsi="Verdana"/>
          <w:sz w:val="19"/>
          <w:szCs w:val="19"/>
        </w:rPr>
        <w:t xml:space="preserve">89. Basic credit and set-off for a textile unit (Chapter 15)</w:t>
      </w:r>
      <w:r>
        <w:rPr>
          <w:rFonts w:ascii="Verdana" w:cs="Verdana" w:eastAsia="Verdana" w:hAnsi="Verdana"/>
          <w:sz w:val="19"/>
          <w:szCs w:val="19"/>
        </w:rPr>
        <w:t xml:space="preserve">	93</w:t>
      </w:r>
    </w:p>
    <w:p>
      <w:pPr>
        <w:tabs>
          <w:tab w:val="right" w:pos="9638" w:leader="dot"/>
        </w:tabs>
        <w:spacing w:after="20"/>
        <w:ind w:left="300" w:right="0"/>
      </w:pPr>
      <w:r>
        <w:rPr>
          <w:rFonts w:ascii="Verdana" w:cs="Verdana" w:eastAsia="Verdana" w:hAnsi="Verdana"/>
          <w:sz w:val="19"/>
          <w:szCs w:val="19"/>
        </w:rPr>
        <w:t xml:space="preserve">90. Machinery received in lots (Chapter 15)</w:t>
      </w:r>
      <w:r>
        <w:rPr>
          <w:rFonts w:ascii="Verdana" w:cs="Verdana" w:eastAsia="Verdana" w:hAnsi="Verdana"/>
          <w:sz w:val="19"/>
          <w:szCs w:val="19"/>
        </w:rPr>
        <w:t xml:space="preserve">	94</w:t>
      </w:r>
    </w:p>
    <w:p>
      <w:pPr>
        <w:tabs>
          <w:tab w:val="right" w:pos="9638" w:leader="dot"/>
        </w:tabs>
        <w:spacing w:after="20"/>
        <w:ind w:left="300" w:right="0"/>
      </w:pPr>
      <w:r>
        <w:rPr>
          <w:rFonts w:ascii="Verdana" w:cs="Verdana" w:eastAsia="Verdana" w:hAnsi="Verdana"/>
          <w:sz w:val="19"/>
          <w:szCs w:val="19"/>
        </w:rPr>
        <w:t xml:space="preserve">91. Bill-to-ship-to supply (Chapter 15)</w:t>
      </w:r>
      <w:r>
        <w:rPr>
          <w:rFonts w:ascii="Verdana" w:cs="Verdana" w:eastAsia="Verdana" w:hAnsi="Verdana"/>
          <w:sz w:val="19"/>
          <w:szCs w:val="19"/>
        </w:rPr>
        <w:t xml:space="preserve">	95</w:t>
      </w:r>
    </w:p>
    <w:p>
      <w:pPr>
        <w:tabs>
          <w:tab w:val="right" w:pos="9638" w:leader="dot"/>
        </w:tabs>
        <w:spacing w:after="20"/>
        <w:ind w:left="300" w:right="0"/>
      </w:pPr>
      <w:r>
        <w:rPr>
          <w:rFonts w:ascii="Verdana" w:cs="Verdana" w:eastAsia="Verdana" w:hAnsi="Verdana"/>
          <w:sz w:val="19"/>
          <w:szCs w:val="19"/>
        </w:rPr>
        <w:t xml:space="preserve">92. Supplier fails to file GSTR-3B: rule 37A (Chapter 15)</w:t>
      </w:r>
      <w:r>
        <w:rPr>
          <w:rFonts w:ascii="Verdana" w:cs="Verdana" w:eastAsia="Verdana" w:hAnsi="Verdana"/>
          <w:sz w:val="19"/>
          <w:szCs w:val="19"/>
        </w:rPr>
        <w:t xml:space="preserve">	95</w:t>
      </w:r>
    </w:p>
    <w:p>
      <w:pPr>
        <w:tabs>
          <w:tab w:val="right" w:pos="9638" w:leader="dot"/>
        </w:tabs>
        <w:spacing w:after="20"/>
        <w:ind w:left="300" w:right="0"/>
      </w:pPr>
      <w:r>
        <w:rPr>
          <w:rFonts w:ascii="Verdana" w:cs="Verdana" w:eastAsia="Verdana" w:hAnsi="Verdana"/>
          <w:sz w:val="19"/>
          <w:szCs w:val="19"/>
        </w:rPr>
        <w:t xml:space="preserve">93. Proportionate reversal under rule 37 (Chapter 15)</w:t>
      </w:r>
      <w:r>
        <w:rPr>
          <w:rFonts w:ascii="Verdana" w:cs="Verdana" w:eastAsia="Verdana" w:hAnsi="Verdana"/>
          <w:sz w:val="19"/>
          <w:szCs w:val="19"/>
        </w:rPr>
        <w:t xml:space="preserve">	96</w:t>
      </w:r>
    </w:p>
    <w:p>
      <w:pPr>
        <w:tabs>
          <w:tab w:val="right" w:pos="9638" w:leader="dot"/>
        </w:tabs>
        <w:spacing w:after="20"/>
        <w:ind w:left="300" w:right="0"/>
      </w:pPr>
      <w:r>
        <w:rPr>
          <w:rFonts w:ascii="Verdana" w:cs="Verdana" w:eastAsia="Verdana" w:hAnsi="Verdana"/>
          <w:sz w:val="19"/>
          <w:szCs w:val="19"/>
        </w:rPr>
        <w:t xml:space="preserve">94. Choosing between ITC and depreciation (Chapter 15)</w:t>
      </w:r>
      <w:r>
        <w:rPr>
          <w:rFonts w:ascii="Verdana" w:cs="Verdana" w:eastAsia="Verdana" w:hAnsi="Verdana"/>
          <w:sz w:val="19"/>
          <w:szCs w:val="19"/>
        </w:rPr>
        <w:t xml:space="preserve">	96</w:t>
      </w:r>
    </w:p>
    <w:p>
      <w:pPr>
        <w:tabs>
          <w:tab w:val="right" w:pos="9638" w:leader="dot"/>
        </w:tabs>
        <w:spacing w:after="20"/>
        <w:ind w:left="300" w:right="0"/>
      </w:pPr>
      <w:r>
        <w:rPr>
          <w:rFonts w:ascii="Verdana" w:cs="Verdana" w:eastAsia="Verdana" w:hAnsi="Verdana"/>
          <w:sz w:val="19"/>
          <w:szCs w:val="19"/>
        </w:rPr>
        <w:t xml:space="preserve">95. Time limit for FY 2025-26 invoices (Chapter 15)</w:t>
      </w:r>
      <w:r>
        <w:rPr>
          <w:rFonts w:ascii="Verdana" w:cs="Verdana" w:eastAsia="Verdana" w:hAnsi="Verdana"/>
          <w:sz w:val="19"/>
          <w:szCs w:val="19"/>
        </w:rPr>
        <w:t xml:space="preserve">	97</w:t>
      </w:r>
    </w:p>
    <w:p>
      <w:pPr>
        <w:tabs>
          <w:tab w:val="right" w:pos="9638" w:leader="dot"/>
        </w:tabs>
        <w:spacing w:after="20"/>
        <w:ind w:left="300" w:right="0"/>
      </w:pPr>
      <w:r>
        <w:rPr>
          <w:rFonts w:ascii="Verdana" w:cs="Verdana" w:eastAsia="Verdana" w:hAnsi="Verdana"/>
          <w:sz w:val="19"/>
          <w:szCs w:val="19"/>
        </w:rPr>
        <w:t xml:space="preserve">96. Vehicle fleet of a manufacturer (Chapter 16)</w:t>
      </w:r>
      <w:r>
        <w:rPr>
          <w:rFonts w:ascii="Verdana" w:cs="Verdana" w:eastAsia="Verdana" w:hAnsi="Verdana"/>
          <w:sz w:val="19"/>
          <w:szCs w:val="19"/>
        </w:rPr>
        <w:t xml:space="preserve">	100</w:t>
      </w:r>
    </w:p>
    <w:p>
      <w:pPr>
        <w:tabs>
          <w:tab w:val="right" w:pos="9638" w:leader="dot"/>
        </w:tabs>
        <w:spacing w:after="20"/>
        <w:ind w:left="300" w:right="0"/>
      </w:pPr>
      <w:r>
        <w:rPr>
          <w:rFonts w:ascii="Verdana" w:cs="Verdana" w:eastAsia="Verdana" w:hAnsi="Verdana"/>
          <w:sz w:val="19"/>
          <w:szCs w:val="19"/>
        </w:rPr>
        <w:t xml:space="preserve">97. Canteen, events and staff lunch (Chapter 16)</w:t>
      </w:r>
      <w:r>
        <w:rPr>
          <w:rFonts w:ascii="Verdana" w:cs="Verdana" w:eastAsia="Verdana" w:hAnsi="Verdana"/>
          <w:sz w:val="19"/>
          <w:szCs w:val="19"/>
        </w:rPr>
        <w:t xml:space="preserve">	101</w:t>
      </w:r>
    </w:p>
    <w:p>
      <w:pPr>
        <w:tabs>
          <w:tab w:val="right" w:pos="9638" w:leader="dot"/>
        </w:tabs>
        <w:spacing w:after="20"/>
        <w:ind w:left="300" w:right="0"/>
      </w:pPr>
      <w:r>
        <w:rPr>
          <w:rFonts w:ascii="Verdana" w:cs="Verdana" w:eastAsia="Verdana" w:hAnsi="Verdana"/>
          <w:sz w:val="19"/>
          <w:szCs w:val="19"/>
        </w:rPr>
        <w:t xml:space="preserve">98. New factory project (Chapter 16)</w:t>
      </w:r>
      <w:r>
        <w:rPr>
          <w:rFonts w:ascii="Verdana" w:cs="Verdana" w:eastAsia="Verdana" w:hAnsi="Verdana"/>
          <w:sz w:val="19"/>
          <w:szCs w:val="19"/>
        </w:rPr>
        <w:t xml:space="preserve">	102</w:t>
      </w:r>
    </w:p>
    <w:p>
      <w:pPr>
        <w:tabs>
          <w:tab w:val="right" w:pos="9638" w:leader="dot"/>
        </w:tabs>
        <w:spacing w:after="20"/>
        <w:ind w:left="300" w:right="0"/>
      </w:pPr>
      <w:r>
        <w:rPr>
          <w:rFonts w:ascii="Verdana" w:cs="Verdana" w:eastAsia="Verdana" w:hAnsi="Verdana"/>
          <w:sz w:val="19"/>
          <w:szCs w:val="19"/>
        </w:rPr>
        <w:t xml:space="preserve">99. Flood loss with insurance claim (Chapter 16)</w:t>
      </w:r>
      <w:r>
        <w:rPr>
          <w:rFonts w:ascii="Verdana" w:cs="Verdana" w:eastAsia="Verdana" w:hAnsi="Verdana"/>
          <w:sz w:val="19"/>
          <w:szCs w:val="19"/>
        </w:rPr>
        <w:t xml:space="preserve">	103</w:t>
      </w:r>
    </w:p>
    <w:p>
      <w:pPr>
        <w:tabs>
          <w:tab w:val="right" w:pos="9638" w:leader="dot"/>
        </w:tabs>
        <w:spacing w:after="20"/>
        <w:ind w:left="300" w:right="0"/>
      </w:pPr>
      <w:r>
        <w:rPr>
          <w:rFonts w:ascii="Verdana" w:cs="Verdana" w:eastAsia="Verdana" w:hAnsi="Verdana"/>
          <w:sz w:val="19"/>
          <w:szCs w:val="19"/>
        </w:rPr>
        <w:t xml:space="preserve">100. Gifts, samples and personal use (Chapter 16)</w:t>
      </w:r>
      <w:r>
        <w:rPr>
          <w:rFonts w:ascii="Verdana" w:cs="Verdana" w:eastAsia="Verdana" w:hAnsi="Verdana"/>
          <w:sz w:val="19"/>
          <w:szCs w:val="19"/>
        </w:rPr>
        <w:t xml:space="preserve">	103</w:t>
      </w:r>
    </w:p>
    <w:p>
      <w:pPr>
        <w:tabs>
          <w:tab w:val="right" w:pos="9638" w:leader="dot"/>
        </w:tabs>
        <w:spacing w:after="20"/>
        <w:ind w:left="300" w:right="0"/>
      </w:pPr>
      <w:r>
        <w:rPr>
          <w:rFonts w:ascii="Verdana" w:cs="Verdana" w:eastAsia="Verdana" w:hAnsi="Verdana"/>
          <w:sz w:val="19"/>
          <w:szCs w:val="19"/>
        </w:rPr>
        <w:t xml:space="preserve">101. Working out the value of exempt supplies (Chapter 17)</w:t>
      </w:r>
      <w:r>
        <w:rPr>
          <w:rFonts w:ascii="Verdana" w:cs="Verdana" w:eastAsia="Verdana" w:hAnsi="Verdana"/>
          <w:sz w:val="19"/>
          <w:szCs w:val="19"/>
        </w:rPr>
        <w:t xml:space="preserve">	105</w:t>
      </w:r>
    </w:p>
    <w:p>
      <w:pPr>
        <w:tabs>
          <w:tab w:val="right" w:pos="9638" w:leader="dot"/>
        </w:tabs>
        <w:spacing w:after="20"/>
        <w:ind w:left="300" w:right="0"/>
      </w:pPr>
      <w:r>
        <w:rPr>
          <w:rFonts w:ascii="Verdana" w:cs="Verdana" w:eastAsia="Verdana" w:hAnsi="Verdana"/>
          <w:sz w:val="19"/>
          <w:szCs w:val="19"/>
        </w:rPr>
        <w:t xml:space="preserve">102. Monthly computation under rule 42 (Chapter 17)</w:t>
      </w:r>
      <w:r>
        <w:rPr>
          <w:rFonts w:ascii="Verdana" w:cs="Verdana" w:eastAsia="Verdana" w:hAnsi="Verdana"/>
          <w:sz w:val="19"/>
          <w:szCs w:val="19"/>
        </w:rPr>
        <w:t xml:space="preserve">	106</w:t>
      </w:r>
    </w:p>
    <w:p>
      <w:pPr>
        <w:tabs>
          <w:tab w:val="right" w:pos="9638" w:leader="dot"/>
        </w:tabs>
        <w:spacing w:after="20"/>
        <w:ind w:left="300" w:right="0"/>
      </w:pPr>
      <w:r>
        <w:rPr>
          <w:rFonts w:ascii="Verdana" w:cs="Verdana" w:eastAsia="Verdana" w:hAnsi="Verdana"/>
          <w:sz w:val="19"/>
          <w:szCs w:val="19"/>
        </w:rPr>
        <w:t xml:space="preserve">103. Annual true-up with interest (Chapter 17)</w:t>
      </w:r>
      <w:r>
        <w:rPr>
          <w:rFonts w:ascii="Verdana" w:cs="Verdana" w:eastAsia="Verdana" w:hAnsi="Verdana"/>
          <w:sz w:val="19"/>
          <w:szCs w:val="19"/>
        </w:rPr>
        <w:t xml:space="preserve">	107</w:t>
      </w:r>
    </w:p>
    <w:p>
      <w:pPr>
        <w:tabs>
          <w:tab w:val="right" w:pos="9638" w:leader="dot"/>
        </w:tabs>
        <w:spacing w:after="20"/>
        <w:ind w:left="300" w:right="0"/>
      </w:pPr>
      <w:r>
        <w:rPr>
          <w:rFonts w:ascii="Verdana" w:cs="Verdana" w:eastAsia="Verdana" w:hAnsi="Verdana"/>
          <w:sz w:val="19"/>
          <w:szCs w:val="19"/>
        </w:rPr>
        <w:t xml:space="preserve">104. Rule 43 for two capital goods (Chapter 17)</w:t>
      </w:r>
      <w:r>
        <w:rPr>
          <w:rFonts w:ascii="Verdana" w:cs="Verdana" w:eastAsia="Verdana" w:hAnsi="Verdana"/>
          <w:sz w:val="19"/>
          <w:szCs w:val="19"/>
        </w:rPr>
        <w:t xml:space="preserve">	107</w:t>
      </w:r>
    </w:p>
    <w:p>
      <w:pPr>
        <w:tabs>
          <w:tab w:val="right" w:pos="9638" w:leader="dot"/>
        </w:tabs>
        <w:spacing w:after="20"/>
        <w:ind w:left="300" w:right="0"/>
      </w:pPr>
      <w:r>
        <w:rPr>
          <w:rFonts w:ascii="Verdana" w:cs="Verdana" w:eastAsia="Verdana" w:hAnsi="Verdana"/>
          <w:sz w:val="19"/>
          <w:szCs w:val="19"/>
        </w:rPr>
        <w:t xml:space="preserve">105. Option under section 17(4) (Chapter 17)</w:t>
      </w:r>
      <w:r>
        <w:rPr>
          <w:rFonts w:ascii="Verdana" w:cs="Verdana" w:eastAsia="Verdana" w:hAnsi="Verdana"/>
          <w:sz w:val="19"/>
          <w:szCs w:val="19"/>
        </w:rPr>
        <w:t xml:space="preserve">	108</w:t>
      </w:r>
    </w:p>
    <w:p>
      <w:pPr>
        <w:tabs>
          <w:tab w:val="right" w:pos="9638" w:leader="dot"/>
        </w:tabs>
        <w:spacing w:after="20"/>
        <w:ind w:left="300" w:right="0"/>
      </w:pPr>
      <w:r>
        <w:rPr>
          <w:rFonts w:ascii="Verdana" w:cs="Verdana" w:eastAsia="Verdana" w:hAnsi="Verdana"/>
          <w:sz w:val="19"/>
          <w:szCs w:val="19"/>
        </w:rPr>
        <w:t xml:space="preserve">106. Switch to composition: rule 44 (Chapter 17)</w:t>
      </w:r>
      <w:r>
        <w:rPr>
          <w:rFonts w:ascii="Verdana" w:cs="Verdana" w:eastAsia="Verdana" w:hAnsi="Verdana"/>
          <w:sz w:val="19"/>
          <w:szCs w:val="19"/>
        </w:rPr>
        <w:t xml:space="preserve">	108</w:t>
      </w:r>
    </w:p>
    <w:p>
      <w:pPr>
        <w:tabs>
          <w:tab w:val="right" w:pos="9638" w:leader="dot"/>
        </w:tabs>
        <w:spacing w:after="20"/>
        <w:ind w:left="300" w:right="0"/>
      </w:pPr>
      <w:r>
        <w:rPr>
          <w:rFonts w:ascii="Verdana" w:cs="Verdana" w:eastAsia="Verdana" w:hAnsi="Verdana"/>
          <w:sz w:val="19"/>
          <w:szCs w:val="19"/>
        </w:rPr>
        <w:t xml:space="preserve">107. Sale of used machinery (Chapter 17)</w:t>
      </w:r>
      <w:r>
        <w:rPr>
          <w:rFonts w:ascii="Verdana" w:cs="Verdana" w:eastAsia="Verdana" w:hAnsi="Verdana"/>
          <w:sz w:val="19"/>
          <w:szCs w:val="19"/>
        </w:rPr>
        <w:t xml:space="preserve">	109</w:t>
      </w:r>
    </w:p>
    <w:p>
      <w:pPr>
        <w:tabs>
          <w:tab w:val="right" w:pos="9638" w:leader="dot"/>
        </w:tabs>
        <w:spacing w:after="20"/>
        <w:ind w:left="300" w:right="0"/>
      </w:pPr>
      <w:r>
        <w:rPr>
          <w:rFonts w:ascii="Verdana" w:cs="Verdana" w:eastAsia="Verdana" w:hAnsi="Verdana"/>
          <w:sz w:val="19"/>
          <w:szCs w:val="19"/>
        </w:rPr>
        <w:t xml:space="preserve">108. Credit note with and without reversal (Chapter 17)</w:t>
      </w:r>
      <w:r>
        <w:rPr>
          <w:rFonts w:ascii="Verdana" w:cs="Verdana" w:eastAsia="Verdana" w:hAnsi="Verdana"/>
          <w:sz w:val="19"/>
          <w:szCs w:val="19"/>
        </w:rPr>
        <w:t xml:space="preserve">	110</w:t>
      </w:r>
    </w:p>
    <w:p>
      <w:pPr>
        <w:tabs>
          <w:tab w:val="right" w:pos="9638" w:leader="dot"/>
        </w:tabs>
        <w:spacing w:after="20"/>
        <w:ind w:left="300" w:right="0"/>
      </w:pPr>
      <w:r>
        <w:rPr>
          <w:rFonts w:ascii="Verdana" w:cs="Verdana" w:eastAsia="Verdana" w:hAnsi="Verdana"/>
          <w:sz w:val="19"/>
          <w:szCs w:val="19"/>
        </w:rPr>
        <w:t xml:space="preserve">109. Moving out of composition (Chapter 18)</w:t>
      </w:r>
      <w:r>
        <w:rPr>
          <w:rFonts w:ascii="Verdana" w:cs="Verdana" w:eastAsia="Verdana" w:hAnsi="Verdana"/>
          <w:sz w:val="19"/>
          <w:szCs w:val="19"/>
        </w:rPr>
        <w:t xml:space="preserve">	111</w:t>
      </w:r>
    </w:p>
    <w:p>
      <w:pPr>
        <w:tabs>
          <w:tab w:val="right" w:pos="9638" w:leader="dot"/>
        </w:tabs>
        <w:spacing w:after="20"/>
        <w:ind w:left="300" w:right="0"/>
      </w:pPr>
      <w:r>
        <w:rPr>
          <w:rFonts w:ascii="Verdana" w:cs="Verdana" w:eastAsia="Verdana" w:hAnsi="Verdana"/>
          <w:sz w:val="19"/>
          <w:szCs w:val="19"/>
        </w:rPr>
        <w:t xml:space="preserve">110. Credit transfer on demerger (Chapter 18)</w:t>
      </w:r>
      <w:r>
        <w:rPr>
          <w:rFonts w:ascii="Verdana" w:cs="Verdana" w:eastAsia="Verdana" w:hAnsi="Verdana"/>
          <w:sz w:val="19"/>
          <w:szCs w:val="19"/>
        </w:rPr>
        <w:t xml:space="preserve">	112</w:t>
      </w:r>
    </w:p>
    <w:p>
      <w:pPr>
        <w:tabs>
          <w:tab w:val="right" w:pos="9638" w:leader="dot"/>
        </w:tabs>
        <w:spacing w:after="20"/>
        <w:ind w:left="300" w:right="0"/>
      </w:pPr>
      <w:r>
        <w:rPr>
          <w:rFonts w:ascii="Verdana" w:cs="Verdana" w:eastAsia="Verdana" w:hAnsi="Verdana"/>
          <w:sz w:val="19"/>
          <w:szCs w:val="19"/>
        </w:rPr>
        <w:t xml:space="preserve">111. Inputs not returned within one year (Chapter 18)</w:t>
      </w:r>
      <w:r>
        <w:rPr>
          <w:rFonts w:ascii="Verdana" w:cs="Verdana" w:eastAsia="Verdana" w:hAnsi="Verdana"/>
          <w:sz w:val="19"/>
          <w:szCs w:val="19"/>
        </w:rPr>
        <w:t xml:space="preserve">	112</w:t>
      </w:r>
    </w:p>
    <w:p>
      <w:pPr>
        <w:tabs>
          <w:tab w:val="right" w:pos="9638" w:leader="dot"/>
        </w:tabs>
        <w:spacing w:after="20"/>
        <w:ind w:left="300" w:right="0"/>
      </w:pPr>
      <w:r>
        <w:rPr>
          <w:rFonts w:ascii="Verdana" w:cs="Verdana" w:eastAsia="Verdana" w:hAnsi="Verdana"/>
          <w:sz w:val="19"/>
          <w:szCs w:val="19"/>
        </w:rPr>
        <w:t xml:space="preserve">112. ISD with three State registrations (Chapter 18)</w:t>
      </w:r>
      <w:r>
        <w:rPr>
          <w:rFonts w:ascii="Verdana" w:cs="Verdana" w:eastAsia="Verdana" w:hAnsi="Verdana"/>
          <w:sz w:val="19"/>
          <w:szCs w:val="19"/>
        </w:rPr>
        <w:t xml:space="preserve">	113</w:t>
      </w:r>
    </w:p>
    <w:p>
      <w:pPr>
        <w:tabs>
          <w:tab w:val="right" w:pos="9638" w:leader="dot"/>
        </w:tabs>
        <w:spacing w:after="20"/>
        <w:ind w:left="300" w:right="0"/>
      </w:pPr>
      <w:r>
        <w:rPr>
          <w:rFonts w:ascii="Verdana" w:cs="Verdana" w:eastAsia="Verdana" w:hAnsi="Verdana"/>
          <w:sz w:val="19"/>
          <w:szCs w:val="19"/>
        </w:rPr>
        <w:t xml:space="preserve">113. Warranty and extended warranty (Chapter 18)</w:t>
      </w:r>
      <w:r>
        <w:rPr>
          <w:rFonts w:ascii="Verdana" w:cs="Verdana" w:eastAsia="Verdana" w:hAnsi="Verdana"/>
          <w:sz w:val="19"/>
          <w:szCs w:val="19"/>
        </w:rPr>
        <w:t xml:space="preserve">	114</w:t>
      </w:r>
    </w:p>
    <w:p>
      <w:pPr>
        <w:tabs>
          <w:tab w:val="right" w:pos="9638" w:leader="dot"/>
        </w:tabs>
        <w:spacing w:after="20"/>
        <w:ind w:left="300" w:right="0"/>
      </w:pPr>
      <w:r>
        <w:rPr>
          <w:rFonts w:ascii="Verdana" w:cs="Verdana" w:eastAsia="Verdana" w:hAnsi="Verdana"/>
          <w:sz w:val="19"/>
          <w:szCs w:val="19"/>
        </w:rPr>
        <w:t xml:space="preserve">114. Books, GSTR-2B and GSTR-3B for October 2026 (Chapter 19)</w:t>
      </w:r>
      <w:r>
        <w:rPr>
          <w:rFonts w:ascii="Verdana" w:cs="Verdana" w:eastAsia="Verdana" w:hAnsi="Verdana"/>
          <w:sz w:val="19"/>
          <w:szCs w:val="19"/>
        </w:rPr>
        <w:t xml:space="preserve">	116</w:t>
      </w:r>
    </w:p>
    <w:p>
      <w:pPr>
        <w:tabs>
          <w:tab w:val="right" w:pos="9638" w:leader="dot"/>
        </w:tabs>
        <w:spacing w:after="20"/>
        <w:ind w:left="300" w:right="0"/>
      </w:pPr>
      <w:r>
        <w:rPr>
          <w:rFonts w:ascii="Verdana" w:cs="Verdana" w:eastAsia="Verdana" w:hAnsi="Verdana"/>
          <w:sz w:val="19"/>
          <w:szCs w:val="19"/>
        </w:rPr>
        <w:t xml:space="preserve">115. Extent of blocking (Chapter 19)</w:t>
      </w:r>
      <w:r>
        <w:rPr>
          <w:rFonts w:ascii="Verdana" w:cs="Verdana" w:eastAsia="Verdana" w:hAnsi="Verdana"/>
          <w:sz w:val="19"/>
          <w:szCs w:val="19"/>
        </w:rPr>
        <w:t xml:space="preserve">	117</w:t>
      </w:r>
    </w:p>
    <w:p>
      <w:pPr>
        <w:tabs>
          <w:tab w:val="right" w:pos="9638" w:leader="dot"/>
        </w:tabs>
        <w:spacing w:after="20"/>
        <w:ind w:left="300" w:right="0"/>
      </w:pPr>
      <w:r>
        <w:rPr>
          <w:rFonts w:ascii="Verdana" w:cs="Verdana" w:eastAsia="Verdana" w:hAnsi="Verdana"/>
          <w:sz w:val="19"/>
          <w:szCs w:val="19"/>
        </w:rPr>
        <w:t xml:space="preserve">116. Applying rule 86B (Chapter 19)</w:t>
      </w:r>
      <w:r>
        <w:rPr>
          <w:rFonts w:ascii="Verdana" w:cs="Verdana" w:eastAsia="Verdana" w:hAnsi="Verdana"/>
          <w:sz w:val="19"/>
          <w:szCs w:val="19"/>
        </w:rPr>
        <w:t xml:space="preserve">	117</w:t>
      </w:r>
    </w:p>
    <w:p>
      <w:pPr>
        <w:tabs>
          <w:tab w:val="right" w:pos="9638" w:leader="dot"/>
        </w:tabs>
        <w:spacing w:after="20"/>
        <w:ind w:left="300" w:right="0"/>
      </w:pPr>
      <w:r>
        <w:rPr>
          <w:rFonts w:ascii="Verdana" w:cs="Verdana" w:eastAsia="Verdana" w:hAnsi="Verdana"/>
          <w:sz w:val="19"/>
          <w:szCs w:val="19"/>
        </w:rPr>
        <w:t xml:space="preserve">117. Responding to DRC-01C (Chapter 19)</w:t>
      </w:r>
      <w:r>
        <w:rPr>
          <w:rFonts w:ascii="Verdana" w:cs="Verdana" w:eastAsia="Verdana" w:hAnsi="Verdana"/>
          <w:sz w:val="19"/>
          <w:szCs w:val="19"/>
        </w:rPr>
        <w:t xml:space="preserve">	118</w:t>
      </w:r>
    </w:p>
    <w:p>
      <w:pPr>
        <w:tabs>
          <w:tab w:val="right" w:pos="9638" w:leader="dot"/>
        </w:tabs>
        <w:spacing w:after="20"/>
        <w:ind w:left="300" w:right="0"/>
      </w:pPr>
      <w:r>
        <w:rPr>
          <w:rFonts w:ascii="Verdana" w:cs="Verdana" w:eastAsia="Verdana" w:hAnsi="Verdana"/>
          <w:sz w:val="19"/>
          <w:szCs w:val="19"/>
        </w:rPr>
        <w:t xml:space="preserve">118. Aggregate turnover of a goods trader (Chapter 20)</w:t>
      </w:r>
      <w:r>
        <w:rPr>
          <w:rFonts w:ascii="Verdana" w:cs="Verdana" w:eastAsia="Verdana" w:hAnsi="Verdana"/>
          <w:sz w:val="19"/>
          <w:szCs w:val="19"/>
        </w:rPr>
        <w:t xml:space="preserve">	121</w:t>
      </w:r>
    </w:p>
    <w:p>
      <w:pPr>
        <w:tabs>
          <w:tab w:val="right" w:pos="9638" w:leader="dot"/>
        </w:tabs>
        <w:spacing w:after="20"/>
        <w:ind w:left="300" w:right="0"/>
      </w:pPr>
      <w:r>
        <w:rPr>
          <w:rFonts w:ascii="Verdana" w:cs="Verdana" w:eastAsia="Verdana" w:hAnsi="Verdana"/>
          <w:sz w:val="19"/>
          <w:szCs w:val="19"/>
        </w:rPr>
        <w:t xml:space="preserve">119. Supplier of both goods and services (Chapter 20)</w:t>
      </w:r>
      <w:r>
        <w:rPr>
          <w:rFonts w:ascii="Verdana" w:cs="Verdana" w:eastAsia="Verdana" w:hAnsi="Verdana"/>
          <w:sz w:val="19"/>
          <w:szCs w:val="19"/>
        </w:rPr>
        <w:t xml:space="preserve">	121</w:t>
      </w:r>
    </w:p>
    <w:p>
      <w:pPr>
        <w:tabs>
          <w:tab w:val="right" w:pos="9638" w:leader="dot"/>
        </w:tabs>
        <w:spacing w:after="20"/>
        <w:ind w:left="300" w:right="0"/>
      </w:pPr>
      <w:r>
        <w:rPr>
          <w:rFonts w:ascii="Verdana" w:cs="Verdana" w:eastAsia="Verdana" w:hAnsi="Verdana"/>
          <w:sz w:val="19"/>
          <w:szCs w:val="19"/>
        </w:rPr>
        <w:t xml:space="preserve">120. Stock transfer between distinct persons (Chapter 20)</w:t>
      </w:r>
      <w:r>
        <w:rPr>
          <w:rFonts w:ascii="Verdana" w:cs="Verdana" w:eastAsia="Verdana" w:hAnsi="Verdana"/>
          <w:sz w:val="19"/>
          <w:szCs w:val="19"/>
        </w:rPr>
        <w:t xml:space="preserve">	122</w:t>
      </w:r>
    </w:p>
    <w:p>
      <w:pPr>
        <w:tabs>
          <w:tab w:val="right" w:pos="9638" w:leader="dot"/>
        </w:tabs>
        <w:spacing w:after="20"/>
        <w:ind w:left="300" w:right="0"/>
      </w:pPr>
      <w:r>
        <w:rPr>
          <w:rFonts w:ascii="Verdana" w:cs="Verdana" w:eastAsia="Verdana" w:hAnsi="Verdana"/>
          <w:sz w:val="19"/>
          <w:szCs w:val="19"/>
        </w:rPr>
        <w:t xml:space="preserve">121. Advance deposit by a casual taxable person (Chapter 20)</w:t>
      </w:r>
      <w:r>
        <w:rPr>
          <w:rFonts w:ascii="Verdana" w:cs="Verdana" w:eastAsia="Verdana" w:hAnsi="Verdana"/>
          <w:sz w:val="19"/>
          <w:szCs w:val="19"/>
        </w:rPr>
        <w:t xml:space="preserve">	123</w:t>
      </w:r>
    </w:p>
    <w:p>
      <w:pPr>
        <w:tabs>
          <w:tab w:val="right" w:pos="9638" w:leader="dot"/>
        </w:tabs>
        <w:spacing w:after="20"/>
        <w:ind w:left="300" w:right="0"/>
      </w:pPr>
      <w:r>
        <w:rPr>
          <w:rFonts w:ascii="Verdana" w:cs="Verdana" w:eastAsia="Verdana" w:hAnsi="Verdana"/>
          <w:sz w:val="19"/>
          <w:szCs w:val="19"/>
        </w:rPr>
        <w:t xml:space="preserve">122. Payment under section 29(5) (Chapter 20)</w:t>
      </w:r>
      <w:r>
        <w:rPr>
          <w:rFonts w:ascii="Verdana" w:cs="Verdana" w:eastAsia="Verdana" w:hAnsi="Verdana"/>
          <w:sz w:val="19"/>
          <w:szCs w:val="19"/>
        </w:rPr>
        <w:t xml:space="preserve">	124</w:t>
      </w:r>
    </w:p>
    <w:p>
      <w:pPr>
        <w:tabs>
          <w:tab w:val="right" w:pos="9638" w:leader="dot"/>
        </w:tabs>
        <w:spacing w:after="20"/>
        <w:ind w:left="300" w:right="0"/>
      </w:pPr>
      <w:r>
        <w:rPr>
          <w:rFonts w:ascii="Verdana" w:cs="Verdana" w:eastAsia="Verdana" w:hAnsi="Verdana"/>
          <w:sz w:val="19"/>
          <w:szCs w:val="19"/>
        </w:rPr>
        <w:t xml:space="preserve">123. Last date for revocation (Chapter 20)</w:t>
      </w:r>
      <w:r>
        <w:rPr>
          <w:rFonts w:ascii="Verdana" w:cs="Verdana" w:eastAsia="Verdana" w:hAnsi="Verdana"/>
          <w:sz w:val="19"/>
          <w:szCs w:val="19"/>
        </w:rPr>
        <w:t xml:space="preserve">	125</w:t>
      </w:r>
    </w:p>
    <w:p>
      <w:pPr>
        <w:tabs>
          <w:tab w:val="right" w:pos="9638" w:leader="dot"/>
        </w:tabs>
        <w:spacing w:after="20"/>
        <w:ind w:left="300" w:right="0"/>
      </w:pPr>
      <w:r>
        <w:rPr>
          <w:rFonts w:ascii="Verdana" w:cs="Verdana" w:eastAsia="Verdana" w:hAnsi="Verdana"/>
          <w:sz w:val="19"/>
          <w:szCs w:val="19"/>
        </w:rPr>
        <w:t xml:space="preserve">124. Last date for a service invoice (Chapter 21)</w:t>
      </w:r>
      <w:r>
        <w:rPr>
          <w:rFonts w:ascii="Verdana" w:cs="Verdana" w:eastAsia="Verdana" w:hAnsi="Verdana"/>
          <w:sz w:val="19"/>
          <w:szCs w:val="19"/>
        </w:rPr>
        <w:t xml:space="preserve">	127</w:t>
      </w:r>
    </w:p>
    <w:p>
      <w:pPr>
        <w:tabs>
          <w:tab w:val="right" w:pos="9638" w:leader="dot"/>
        </w:tabs>
        <w:spacing w:after="20"/>
        <w:ind w:left="300" w:right="0"/>
      </w:pPr>
      <w:r>
        <w:rPr>
          <w:rFonts w:ascii="Verdana" w:cs="Verdana" w:eastAsia="Verdana" w:hAnsi="Verdana"/>
          <w:sz w:val="19"/>
          <w:szCs w:val="19"/>
        </w:rPr>
        <w:t xml:space="preserve">125. Advance for services and refund voucher (Chapter 21)</w:t>
      </w:r>
      <w:r>
        <w:rPr>
          <w:rFonts w:ascii="Verdana" w:cs="Verdana" w:eastAsia="Verdana" w:hAnsi="Verdana"/>
          <w:sz w:val="19"/>
          <w:szCs w:val="19"/>
        </w:rPr>
        <w:t xml:space="preserve">	127</w:t>
      </w:r>
    </w:p>
    <w:p>
      <w:pPr>
        <w:tabs>
          <w:tab w:val="right" w:pos="9638" w:leader="dot"/>
        </w:tabs>
        <w:spacing w:after="20"/>
        <w:ind w:left="300" w:right="0"/>
      </w:pPr>
      <w:r>
        <w:rPr>
          <w:rFonts w:ascii="Verdana" w:cs="Verdana" w:eastAsia="Verdana" w:hAnsi="Verdana"/>
          <w:sz w:val="19"/>
          <w:szCs w:val="19"/>
        </w:rPr>
        <w:t xml:space="preserve">126. Self-invoice and payment voucher under reverse charge (Chapter 21)</w:t>
      </w:r>
      <w:r>
        <w:rPr>
          <w:rFonts w:ascii="Verdana" w:cs="Verdana" w:eastAsia="Verdana" w:hAnsi="Verdana"/>
          <w:sz w:val="19"/>
          <w:szCs w:val="19"/>
        </w:rPr>
        <w:t xml:space="preserve">	128</w:t>
      </w:r>
    </w:p>
    <w:p>
      <w:pPr>
        <w:tabs>
          <w:tab w:val="right" w:pos="9638" w:leader="dot"/>
        </w:tabs>
        <w:spacing w:after="20"/>
        <w:ind w:left="300" w:right="0"/>
      </w:pPr>
      <w:r>
        <w:rPr>
          <w:rFonts w:ascii="Verdana" w:cs="Verdana" w:eastAsia="Verdana" w:hAnsi="Verdana"/>
          <w:sz w:val="19"/>
          <w:szCs w:val="19"/>
        </w:rPr>
        <w:t xml:space="preserve">127. Sales return and the credit note time limit (Chapter 21)</w:t>
      </w:r>
      <w:r>
        <w:rPr>
          <w:rFonts w:ascii="Verdana" w:cs="Verdana" w:eastAsia="Verdana" w:hAnsi="Verdana"/>
          <w:sz w:val="19"/>
          <w:szCs w:val="19"/>
        </w:rPr>
        <w:t xml:space="preserve">	128</w:t>
      </w:r>
    </w:p>
    <w:p>
      <w:pPr>
        <w:tabs>
          <w:tab w:val="right" w:pos="9638" w:leader="dot"/>
        </w:tabs>
        <w:spacing w:after="20"/>
        <w:ind w:left="300" w:right="0"/>
      </w:pPr>
      <w:r>
        <w:rPr>
          <w:rFonts w:ascii="Verdana" w:cs="Verdana" w:eastAsia="Verdana" w:hAnsi="Verdana"/>
          <w:sz w:val="19"/>
          <w:szCs w:val="19"/>
        </w:rPr>
        <w:t xml:space="preserve">128. Is e-invoicing applicable? (Chapter 22)</w:t>
      </w:r>
      <w:r>
        <w:rPr>
          <w:rFonts w:ascii="Verdana" w:cs="Verdana" w:eastAsia="Verdana" w:hAnsi="Verdana"/>
          <w:sz w:val="19"/>
          <w:szCs w:val="19"/>
        </w:rPr>
        <w:t xml:space="preserve">	130</w:t>
      </w:r>
    </w:p>
    <w:p>
      <w:pPr>
        <w:tabs>
          <w:tab w:val="right" w:pos="9638" w:leader="dot"/>
        </w:tabs>
        <w:spacing w:after="20"/>
        <w:ind w:left="300" w:right="0"/>
      </w:pPr>
      <w:r>
        <w:rPr>
          <w:rFonts w:ascii="Verdana" w:cs="Verdana" w:eastAsia="Verdana" w:hAnsi="Verdana"/>
          <w:sz w:val="19"/>
          <w:szCs w:val="19"/>
        </w:rPr>
        <w:t xml:space="preserve">129. 30-day limit (Chapter 22)</w:t>
      </w:r>
      <w:r>
        <w:rPr>
          <w:rFonts w:ascii="Verdana" w:cs="Verdana" w:eastAsia="Verdana" w:hAnsi="Verdana"/>
          <w:sz w:val="19"/>
          <w:szCs w:val="19"/>
        </w:rPr>
        <w:t xml:space="preserve">	131</w:t>
      </w:r>
    </w:p>
    <w:p>
      <w:pPr>
        <w:tabs>
          <w:tab w:val="right" w:pos="9638" w:leader="dot"/>
        </w:tabs>
        <w:spacing w:after="20"/>
        <w:ind w:left="300" w:right="0"/>
      </w:pPr>
      <w:r>
        <w:rPr>
          <w:rFonts w:ascii="Verdana" w:cs="Verdana" w:eastAsia="Verdana" w:hAnsi="Verdana"/>
          <w:sz w:val="19"/>
          <w:szCs w:val="19"/>
        </w:rPr>
        <w:t xml:space="preserve">130. Consignment value test (Chapter 22)</w:t>
      </w:r>
      <w:r>
        <w:rPr>
          <w:rFonts w:ascii="Verdana" w:cs="Verdana" w:eastAsia="Verdana" w:hAnsi="Verdana"/>
          <w:sz w:val="19"/>
          <w:szCs w:val="19"/>
        </w:rPr>
        <w:t xml:space="preserve">	131</w:t>
      </w:r>
    </w:p>
    <w:p>
      <w:pPr>
        <w:tabs>
          <w:tab w:val="right" w:pos="9638" w:leader="dot"/>
        </w:tabs>
        <w:spacing w:after="20"/>
        <w:ind w:left="300" w:right="0"/>
      </w:pPr>
      <w:r>
        <w:rPr>
          <w:rFonts w:ascii="Verdana" w:cs="Verdana" w:eastAsia="Verdana" w:hAnsi="Verdana"/>
          <w:sz w:val="19"/>
          <w:szCs w:val="19"/>
        </w:rPr>
        <w:t xml:space="preserve">131. Validity for normal cargo and ODC (Chapter 22)</w:t>
      </w:r>
      <w:r>
        <w:rPr>
          <w:rFonts w:ascii="Verdana" w:cs="Verdana" w:eastAsia="Verdana" w:hAnsi="Verdana"/>
          <w:sz w:val="19"/>
          <w:szCs w:val="19"/>
        </w:rPr>
        <w:t xml:space="preserve">	132</w:t>
      </w:r>
    </w:p>
    <w:p>
      <w:pPr>
        <w:tabs>
          <w:tab w:val="right" w:pos="9638" w:leader="dot"/>
        </w:tabs>
        <w:spacing w:after="20"/>
        <w:ind w:left="300" w:right="0"/>
      </w:pPr>
      <w:r>
        <w:rPr>
          <w:rFonts w:ascii="Verdana" w:cs="Verdana" w:eastAsia="Verdana" w:hAnsi="Verdana"/>
          <w:sz w:val="19"/>
          <w:szCs w:val="19"/>
        </w:rPr>
        <w:t xml:space="preserve">132. Penalty on detention (Chapter 22)</w:t>
      </w:r>
      <w:r>
        <w:rPr>
          <w:rFonts w:ascii="Verdana" w:cs="Verdana" w:eastAsia="Verdana" w:hAnsi="Verdana"/>
          <w:sz w:val="19"/>
          <w:szCs w:val="19"/>
        </w:rPr>
        <w:t xml:space="preserve">	133</w:t>
      </w:r>
    </w:p>
    <w:p>
      <w:pPr>
        <w:tabs>
          <w:tab w:val="right" w:pos="9638" w:leader="dot"/>
        </w:tabs>
        <w:spacing w:after="20"/>
        <w:ind w:left="300" w:right="0"/>
      </w:pPr>
      <w:r>
        <w:rPr>
          <w:rFonts w:ascii="Verdana" w:cs="Verdana" w:eastAsia="Verdana" w:hAnsi="Verdana"/>
          <w:sz w:val="19"/>
          <w:szCs w:val="19"/>
        </w:rPr>
        <w:t xml:space="preserve">133. Inputs not returned by the job worker (Chapter 23)</w:t>
      </w:r>
      <w:r>
        <w:rPr>
          <w:rFonts w:ascii="Verdana" w:cs="Verdana" w:eastAsia="Verdana" w:hAnsi="Verdana"/>
          <w:sz w:val="19"/>
          <w:szCs w:val="19"/>
        </w:rPr>
        <w:t xml:space="preserve">	135</w:t>
      </w:r>
    </w:p>
    <w:p>
      <w:pPr>
        <w:tabs>
          <w:tab w:val="right" w:pos="9638" w:leader="dot"/>
        </w:tabs>
        <w:spacing w:after="20"/>
        <w:ind w:left="300" w:right="0"/>
      </w:pPr>
      <w:r>
        <w:rPr>
          <w:rFonts w:ascii="Verdana" w:cs="Verdana" w:eastAsia="Verdana" w:hAnsi="Verdana"/>
          <w:sz w:val="19"/>
          <w:szCs w:val="19"/>
        </w:rPr>
        <w:t xml:space="preserve">134. Retention period and unaccounted stock (Chapter 23)</w:t>
      </w:r>
      <w:r>
        <w:rPr>
          <w:rFonts w:ascii="Verdana" w:cs="Verdana" w:eastAsia="Verdana" w:hAnsi="Verdana"/>
          <w:sz w:val="19"/>
          <w:szCs w:val="19"/>
        </w:rPr>
        <w:t xml:space="preserve">	136</w:t>
      </w:r>
    </w:p>
    <w:p>
      <w:pPr>
        <w:tabs>
          <w:tab w:val="right" w:pos="9638" w:leader="dot"/>
        </w:tabs>
        <w:spacing w:after="20"/>
        <w:ind w:left="300" w:right="0"/>
      </w:pPr>
      <w:r>
        <w:rPr>
          <w:rFonts w:ascii="Verdana" w:cs="Verdana" w:eastAsia="Verdana" w:hAnsi="Verdana"/>
          <w:sz w:val="19"/>
          <w:szCs w:val="19"/>
        </w:rPr>
        <w:t xml:space="preserve">135. Last date under the three-year bar (Chapter 24)</w:t>
      </w:r>
      <w:r>
        <w:rPr>
          <w:rFonts w:ascii="Verdana" w:cs="Verdana" w:eastAsia="Verdana" w:hAnsi="Verdana"/>
          <w:sz w:val="19"/>
          <w:szCs w:val="19"/>
        </w:rPr>
        <w:t xml:space="preserve">	139</w:t>
      </w:r>
    </w:p>
    <w:p>
      <w:pPr>
        <w:tabs>
          <w:tab w:val="right" w:pos="9638" w:leader="dot"/>
        </w:tabs>
        <w:spacing w:after="20"/>
        <w:ind w:left="300" w:right="0"/>
      </w:pPr>
      <w:r>
        <w:rPr>
          <w:rFonts w:ascii="Verdana" w:cs="Verdana" w:eastAsia="Verdana" w:hAnsi="Verdana"/>
          <w:sz w:val="19"/>
          <w:szCs w:val="19"/>
        </w:rPr>
        <w:t xml:space="preserve">136. Late fee and interest on a delayed GSTR-3B (Chapter 24)</w:t>
      </w:r>
      <w:r>
        <w:rPr>
          <w:rFonts w:ascii="Verdana" w:cs="Verdana" w:eastAsia="Verdana" w:hAnsi="Verdana"/>
          <w:sz w:val="19"/>
          <w:szCs w:val="19"/>
        </w:rPr>
        <w:t xml:space="preserve">	139</w:t>
      </w:r>
    </w:p>
    <w:p>
      <w:pPr>
        <w:tabs>
          <w:tab w:val="right" w:pos="9638" w:leader="dot"/>
        </w:tabs>
        <w:spacing w:after="20"/>
        <w:ind w:left="300" w:right="0"/>
      </w:pPr>
      <w:r>
        <w:rPr>
          <w:rFonts w:ascii="Verdana" w:cs="Verdana" w:eastAsia="Verdana" w:hAnsi="Verdana"/>
          <w:sz w:val="19"/>
          <w:szCs w:val="19"/>
        </w:rPr>
        <w:t xml:space="preserve">137. GSTR-9 late fee (Chapter 24)</w:t>
      </w:r>
      <w:r>
        <w:rPr>
          <w:rFonts w:ascii="Verdana" w:cs="Verdana" w:eastAsia="Verdana" w:hAnsi="Verdana"/>
          <w:sz w:val="19"/>
          <w:szCs w:val="19"/>
        </w:rPr>
        <w:t xml:space="preserve">	139</w:t>
      </w:r>
    </w:p>
    <w:p>
      <w:pPr>
        <w:tabs>
          <w:tab w:val="right" w:pos="9638" w:leader="dot"/>
        </w:tabs>
        <w:spacing w:after="20"/>
        <w:ind w:left="300" w:right="0"/>
      </w:pPr>
      <w:r>
        <w:rPr>
          <w:rFonts w:ascii="Verdana" w:cs="Verdana" w:eastAsia="Verdana" w:hAnsi="Verdana"/>
          <w:sz w:val="19"/>
          <w:szCs w:val="19"/>
        </w:rPr>
        <w:t xml:space="preserve">138. Set-off to minimise cash (Chapter 25)</w:t>
      </w:r>
      <w:r>
        <w:rPr>
          <w:rFonts w:ascii="Verdana" w:cs="Verdana" w:eastAsia="Verdana" w:hAnsi="Verdana"/>
          <w:sz w:val="19"/>
          <w:szCs w:val="19"/>
        </w:rPr>
        <w:t xml:space="preserve">	141</w:t>
      </w:r>
    </w:p>
    <w:p>
      <w:pPr>
        <w:tabs>
          <w:tab w:val="right" w:pos="9638" w:leader="dot"/>
        </w:tabs>
        <w:spacing w:after="20"/>
        <w:ind w:left="300" w:right="0"/>
      </w:pPr>
      <w:r>
        <w:rPr>
          <w:rFonts w:ascii="Verdana" w:cs="Verdana" w:eastAsia="Verdana" w:hAnsi="Verdana"/>
          <w:sz w:val="19"/>
          <w:szCs w:val="19"/>
        </w:rPr>
        <w:t xml:space="preserve">139. Interest on delayed GSTR-3B (Chapter 25)</w:t>
      </w:r>
      <w:r>
        <w:rPr>
          <w:rFonts w:ascii="Verdana" w:cs="Verdana" w:eastAsia="Verdana" w:hAnsi="Verdana"/>
          <w:sz w:val="19"/>
          <w:szCs w:val="19"/>
        </w:rPr>
        <w:t xml:space="preserve">	142</w:t>
      </w:r>
    </w:p>
    <w:p>
      <w:pPr>
        <w:tabs>
          <w:tab w:val="right" w:pos="9638" w:leader="dot"/>
        </w:tabs>
        <w:spacing w:after="20"/>
        <w:ind w:left="300" w:right="0"/>
      </w:pPr>
      <w:r>
        <w:rPr>
          <w:rFonts w:ascii="Verdana" w:cs="Verdana" w:eastAsia="Verdana" w:hAnsi="Verdana"/>
          <w:sz w:val="19"/>
          <w:szCs w:val="19"/>
        </w:rPr>
        <w:t xml:space="preserve">140. Interest on wrong ITC utilised (Chapter 25)</w:t>
      </w:r>
      <w:r>
        <w:rPr>
          <w:rFonts w:ascii="Verdana" w:cs="Verdana" w:eastAsia="Verdana" w:hAnsi="Verdana"/>
          <w:sz w:val="19"/>
          <w:szCs w:val="19"/>
        </w:rPr>
        <w:t xml:space="preserve">	142</w:t>
      </w:r>
    </w:p>
    <w:p>
      <w:pPr>
        <w:tabs>
          <w:tab w:val="right" w:pos="9638" w:leader="dot"/>
        </w:tabs>
        <w:spacing w:after="20"/>
        <w:ind w:left="300" w:right="0"/>
      </w:pPr>
      <w:r>
        <w:rPr>
          <w:rFonts w:ascii="Verdana" w:cs="Verdana" w:eastAsia="Verdana" w:hAnsi="Verdana"/>
          <w:sz w:val="19"/>
          <w:szCs w:val="19"/>
        </w:rPr>
        <w:t xml:space="preserve">141. TDS on a Government contract (Chapter 25)</w:t>
      </w:r>
      <w:r>
        <w:rPr>
          <w:rFonts w:ascii="Verdana" w:cs="Verdana" w:eastAsia="Verdana" w:hAnsi="Verdana"/>
          <w:sz w:val="19"/>
          <w:szCs w:val="19"/>
        </w:rPr>
        <w:t xml:space="preserve">	142</w:t>
      </w:r>
    </w:p>
    <w:p>
      <w:pPr>
        <w:tabs>
          <w:tab w:val="right" w:pos="9638" w:leader="dot"/>
        </w:tabs>
        <w:spacing w:after="20"/>
        <w:ind w:left="300" w:right="0"/>
      </w:pPr>
      <w:r>
        <w:rPr>
          <w:rFonts w:ascii="Verdana" w:cs="Verdana" w:eastAsia="Verdana" w:hAnsi="Verdana"/>
          <w:sz w:val="19"/>
          <w:szCs w:val="19"/>
        </w:rPr>
        <w:t xml:space="preserve">142. TCS by an e-commerce operator (Chapter 25)</w:t>
      </w:r>
      <w:r>
        <w:rPr>
          <w:rFonts w:ascii="Verdana" w:cs="Verdana" w:eastAsia="Verdana" w:hAnsi="Verdana"/>
          <w:sz w:val="19"/>
          <w:szCs w:val="19"/>
        </w:rPr>
        <w:t xml:space="preserve">	143</w:t>
      </w:r>
    </w:p>
    <w:p>
      <w:pPr>
        <w:tabs>
          <w:tab w:val="right" w:pos="9638" w:leader="dot"/>
        </w:tabs>
        <w:spacing w:after="20"/>
        <w:ind w:left="300" w:right="0"/>
      </w:pPr>
      <w:r>
        <w:rPr>
          <w:rFonts w:ascii="Verdana" w:cs="Verdana" w:eastAsia="Verdana" w:hAnsi="Verdana"/>
          <w:sz w:val="19"/>
          <w:szCs w:val="19"/>
        </w:rPr>
        <w:t xml:space="preserve">143. Two-year limit (Chapter 26)</w:t>
      </w:r>
      <w:r>
        <w:rPr>
          <w:rFonts w:ascii="Verdana" w:cs="Verdana" w:eastAsia="Verdana" w:hAnsi="Verdana"/>
          <w:sz w:val="19"/>
          <w:szCs w:val="19"/>
        </w:rPr>
        <w:t xml:space="preserve">	144</w:t>
      </w:r>
    </w:p>
    <w:p>
      <w:pPr>
        <w:tabs>
          <w:tab w:val="right" w:pos="9638" w:leader="dot"/>
        </w:tabs>
        <w:spacing w:after="20"/>
        <w:ind w:left="300" w:right="0"/>
      </w:pPr>
      <w:r>
        <w:rPr>
          <w:rFonts w:ascii="Verdana" w:cs="Verdana" w:eastAsia="Verdana" w:hAnsi="Verdana"/>
          <w:sz w:val="19"/>
          <w:szCs w:val="19"/>
        </w:rPr>
        <w:t xml:space="preserve">144. Interest on delayed refund (Chapter 26)</w:t>
      </w:r>
      <w:r>
        <w:rPr>
          <w:rFonts w:ascii="Verdana" w:cs="Verdana" w:eastAsia="Verdana" w:hAnsi="Verdana"/>
          <w:sz w:val="19"/>
          <w:szCs w:val="19"/>
        </w:rPr>
        <w:t xml:space="preserve">	145</w:t>
      </w:r>
    </w:p>
    <w:p>
      <w:pPr>
        <w:tabs>
          <w:tab w:val="right" w:pos="9638" w:leader="dot"/>
        </w:tabs>
        <w:spacing w:after="20"/>
        <w:ind w:left="300" w:right="0"/>
      </w:pPr>
      <w:r>
        <w:rPr>
          <w:rFonts w:ascii="Verdana" w:cs="Verdana" w:eastAsia="Verdana" w:hAnsi="Verdana"/>
          <w:sz w:val="19"/>
          <w:szCs w:val="19"/>
        </w:rPr>
        <w:t xml:space="preserve">145. Excess tax charged to customers (Chapter 26)</w:t>
      </w:r>
      <w:r>
        <w:rPr>
          <w:rFonts w:ascii="Verdana" w:cs="Verdana" w:eastAsia="Verdana" w:hAnsi="Verdana"/>
          <w:sz w:val="19"/>
          <w:szCs w:val="19"/>
        </w:rPr>
        <w:t xml:space="preserve">	146</w:t>
      </w:r>
    </w:p>
    <w:p>
      <w:pPr>
        <w:tabs>
          <w:tab w:val="right" w:pos="9638" w:leader="dot"/>
        </w:tabs>
        <w:spacing w:after="20"/>
        <w:ind w:left="300" w:right="0"/>
      </w:pPr>
      <w:r>
        <w:rPr>
          <w:rFonts w:ascii="Verdana" w:cs="Verdana" w:eastAsia="Verdana" w:hAnsi="Verdana"/>
          <w:sz w:val="19"/>
          <w:szCs w:val="19"/>
        </w:rPr>
        <w:t xml:space="preserve">146. Export refund with the 150% cap (Chapter 26)</w:t>
      </w:r>
      <w:r>
        <w:rPr>
          <w:rFonts w:ascii="Verdana" w:cs="Verdana" w:eastAsia="Verdana" w:hAnsi="Verdana"/>
          <w:sz w:val="19"/>
          <w:szCs w:val="19"/>
        </w:rPr>
        <w:t xml:space="preserve">	146</w:t>
      </w:r>
    </w:p>
    <w:p>
      <w:pPr>
        <w:tabs>
          <w:tab w:val="right" w:pos="9638" w:leader="dot"/>
        </w:tabs>
        <w:spacing w:after="20"/>
        <w:ind w:left="300" w:right="0"/>
      </w:pPr>
      <w:r>
        <w:rPr>
          <w:rFonts w:ascii="Verdana" w:cs="Verdana" w:eastAsia="Verdana" w:hAnsi="Verdana"/>
          <w:sz w:val="19"/>
          <w:szCs w:val="19"/>
        </w:rPr>
        <w:t xml:space="preserve">147. Inverted duty refund (Chapter 26)</w:t>
      </w:r>
      <w:r>
        <w:rPr>
          <w:rFonts w:ascii="Verdana" w:cs="Verdana" w:eastAsia="Verdana" w:hAnsi="Verdana"/>
          <w:sz w:val="19"/>
          <w:szCs w:val="19"/>
        </w:rPr>
        <w:t xml:space="preserve">	147</w:t>
      </w:r>
    </w:p>
    <w:p>
      <w:pPr>
        <w:tabs>
          <w:tab w:val="right" w:pos="9638" w:leader="dot"/>
        </w:tabs>
        <w:spacing w:after="20"/>
        <w:ind w:left="300" w:right="0"/>
      </w:pPr>
      <w:r>
        <w:rPr>
          <w:rFonts w:ascii="Verdana" w:cs="Verdana" w:eastAsia="Verdana" w:hAnsi="Verdana"/>
          <w:sz w:val="19"/>
          <w:szCs w:val="19"/>
        </w:rPr>
        <w:t xml:space="preserve">148. Affordable or not (Chapter 27)</w:t>
      </w:r>
      <w:r>
        <w:rPr>
          <w:rFonts w:ascii="Verdana" w:cs="Verdana" w:eastAsia="Verdana" w:hAnsi="Verdana"/>
          <w:sz w:val="19"/>
          <w:szCs w:val="19"/>
        </w:rPr>
        <w:t xml:space="preserve">	150</w:t>
      </w:r>
    </w:p>
    <w:p>
      <w:pPr>
        <w:tabs>
          <w:tab w:val="right" w:pos="9638" w:leader="dot"/>
        </w:tabs>
        <w:spacing w:after="20"/>
        <w:ind w:left="300" w:right="0"/>
      </w:pPr>
      <w:r>
        <w:rPr>
          <w:rFonts w:ascii="Verdana" w:cs="Verdana" w:eastAsia="Verdana" w:hAnsi="Verdana"/>
          <w:sz w:val="19"/>
          <w:szCs w:val="19"/>
        </w:rPr>
        <w:t xml:space="preserve">149. Annual output tax of a mixed project (Chapter 27)</w:t>
      </w:r>
      <w:r>
        <w:rPr>
          <w:rFonts w:ascii="Verdana" w:cs="Verdana" w:eastAsia="Verdana" w:hAnsi="Verdana"/>
          <w:sz w:val="19"/>
          <w:szCs w:val="19"/>
        </w:rPr>
        <w:t xml:space="preserve">	150</w:t>
      </w:r>
    </w:p>
    <w:p>
      <w:pPr>
        <w:tabs>
          <w:tab w:val="right" w:pos="9638" w:leader="dot"/>
        </w:tabs>
        <w:spacing w:after="20"/>
        <w:ind w:left="300" w:right="0"/>
      </w:pPr>
      <w:r>
        <w:rPr>
          <w:rFonts w:ascii="Verdana" w:cs="Verdana" w:eastAsia="Verdana" w:hAnsi="Verdana"/>
          <w:sz w:val="19"/>
          <w:szCs w:val="19"/>
        </w:rPr>
        <w:t xml:space="preserve">150. Shortfall tax under the 80% rule (Chapter 27)</w:t>
      </w:r>
      <w:r>
        <w:rPr>
          <w:rFonts w:ascii="Verdana" w:cs="Verdana" w:eastAsia="Verdana" w:hAnsi="Verdana"/>
          <w:sz w:val="19"/>
          <w:szCs w:val="19"/>
        </w:rPr>
        <w:t xml:space="preserve">	151</w:t>
      </w:r>
    </w:p>
    <w:p>
      <w:pPr>
        <w:tabs>
          <w:tab w:val="right" w:pos="9638" w:leader="dot"/>
        </w:tabs>
        <w:spacing w:after="20"/>
        <w:ind w:left="300" w:right="0"/>
      </w:pPr>
      <w:r>
        <w:rPr>
          <w:rFonts w:ascii="Verdana" w:cs="Verdana" w:eastAsia="Verdana" w:hAnsi="Verdana"/>
          <w:sz w:val="19"/>
          <w:szCs w:val="19"/>
        </w:rPr>
        <w:t xml:space="preserve">151. Commercial office unit with ITC (Chapter 27)</w:t>
      </w:r>
      <w:r>
        <w:rPr>
          <w:rFonts w:ascii="Verdana" w:cs="Verdana" w:eastAsia="Verdana" w:hAnsi="Verdana"/>
          <w:sz w:val="19"/>
          <w:szCs w:val="19"/>
        </w:rPr>
        <w:t xml:space="preserve">	151</w:t>
      </w:r>
    </w:p>
    <w:p>
      <w:pPr>
        <w:tabs>
          <w:tab w:val="right" w:pos="9638" w:leader="dot"/>
        </w:tabs>
        <w:spacing w:after="20"/>
        <w:ind w:left="300" w:right="0"/>
      </w:pPr>
      <w:r>
        <w:rPr>
          <w:rFonts w:ascii="Verdana" w:cs="Verdana" w:eastAsia="Verdana" w:hAnsi="Verdana"/>
          <w:sz w:val="19"/>
          <w:szCs w:val="19"/>
        </w:rPr>
        <w:t xml:space="preserve">152. JDA: landowner flats and development rights (Chapter 27)</w:t>
      </w:r>
      <w:r>
        <w:rPr>
          <w:rFonts w:ascii="Verdana" w:cs="Verdana" w:eastAsia="Verdana" w:hAnsi="Verdana"/>
          <w:sz w:val="19"/>
          <w:szCs w:val="19"/>
        </w:rPr>
        <w:t xml:space="preserve">	152</w:t>
      </w:r>
    </w:p>
    <w:p>
      <w:pPr>
        <w:tabs>
          <w:tab w:val="right" w:pos="9638" w:leader="dot"/>
        </w:tabs>
        <w:spacing w:after="20"/>
        <w:ind w:left="300" w:right="0"/>
      </w:pPr>
      <w:r>
        <w:rPr>
          <w:rFonts w:ascii="Verdana" w:cs="Verdana" w:eastAsia="Verdana" w:hAnsi="Verdana"/>
          <w:sz w:val="19"/>
          <w:szCs w:val="19"/>
        </w:rPr>
        <w:t xml:space="preserve">153. Main contractor and sub-contractor (Chapter 27)</w:t>
      </w:r>
      <w:r>
        <w:rPr>
          <w:rFonts w:ascii="Verdana" w:cs="Verdana" w:eastAsia="Verdana" w:hAnsi="Verdana"/>
          <w:sz w:val="19"/>
          <w:szCs w:val="19"/>
        </w:rPr>
        <w:t xml:space="preserve">	153</w:t>
      </w:r>
    </w:p>
    <w:p>
      <w:pPr>
        <w:tabs>
          <w:tab w:val="right" w:pos="9638" w:leader="dot"/>
        </w:tabs>
        <w:spacing w:after="20"/>
        <w:ind w:left="300" w:right="0"/>
      </w:pPr>
      <w:r>
        <w:rPr>
          <w:rFonts w:ascii="Verdana" w:cs="Verdana" w:eastAsia="Verdana" w:hAnsi="Verdana"/>
          <w:sz w:val="19"/>
          <w:szCs w:val="19"/>
        </w:rPr>
        <w:t xml:space="preserve">154. Rent under reverse charge (Chapter 27)</w:t>
      </w:r>
      <w:r>
        <w:rPr>
          <w:rFonts w:ascii="Verdana" w:cs="Verdana" w:eastAsia="Verdana" w:hAnsi="Verdana"/>
          <w:sz w:val="19"/>
          <w:szCs w:val="19"/>
        </w:rPr>
        <w:t xml:space="preserve">	154</w:t>
      </w:r>
    </w:p>
    <w:p>
      <w:pPr>
        <w:tabs>
          <w:tab w:val="right" w:pos="9638" w:leader="dot"/>
        </w:tabs>
        <w:spacing w:after="20"/>
        <w:ind w:left="300" w:right="0"/>
      </w:pPr>
      <w:r>
        <w:rPr>
          <w:rFonts w:ascii="Verdana" w:cs="Verdana" w:eastAsia="Verdana" w:hAnsi="Verdana"/>
          <w:sz w:val="19"/>
          <w:szCs w:val="19"/>
        </w:rPr>
        <w:t xml:space="preserve">155. TCS on a marketplace seller (Chapter 28)</w:t>
      </w:r>
      <w:r>
        <w:rPr>
          <w:rFonts w:ascii="Verdana" w:cs="Verdana" w:eastAsia="Verdana" w:hAnsi="Verdana"/>
          <w:sz w:val="19"/>
          <w:szCs w:val="19"/>
        </w:rPr>
        <w:t xml:space="preserve">	156</w:t>
      </w:r>
    </w:p>
    <w:p>
      <w:pPr>
        <w:tabs>
          <w:tab w:val="right" w:pos="9638" w:leader="dot"/>
        </w:tabs>
        <w:spacing w:after="20"/>
        <w:ind w:left="300" w:right="0"/>
      </w:pPr>
      <w:r>
        <w:rPr>
          <w:rFonts w:ascii="Verdana" w:cs="Verdana" w:eastAsia="Verdana" w:hAnsi="Verdana"/>
          <w:sz w:val="19"/>
          <w:szCs w:val="19"/>
        </w:rPr>
        <w:t xml:space="preserve">156. Section 9(5) on three platforms (Chapter 28)</w:t>
      </w:r>
      <w:r>
        <w:rPr>
          <w:rFonts w:ascii="Verdana" w:cs="Verdana" w:eastAsia="Verdana" w:hAnsi="Verdana"/>
          <w:sz w:val="19"/>
          <w:szCs w:val="19"/>
        </w:rPr>
        <w:t xml:space="preserve">	157</w:t>
      </w:r>
    </w:p>
    <w:p>
      <w:pPr>
        <w:tabs>
          <w:tab w:val="right" w:pos="9638" w:leader="dot"/>
        </w:tabs>
        <w:spacing w:after="20"/>
        <w:ind w:left="300" w:right="0"/>
      </w:pPr>
      <w:r>
        <w:rPr>
          <w:rFonts w:ascii="Verdana" w:cs="Verdana" w:eastAsia="Verdana" w:hAnsi="Verdana"/>
          <w:sz w:val="19"/>
          <w:szCs w:val="19"/>
        </w:rPr>
        <w:t xml:space="preserve">157. Import of SaaS under reverse charge (Chapter 28)</w:t>
      </w:r>
      <w:r>
        <w:rPr>
          <w:rFonts w:ascii="Verdana" w:cs="Verdana" w:eastAsia="Verdana" w:hAnsi="Verdana"/>
          <w:sz w:val="19"/>
          <w:szCs w:val="19"/>
        </w:rPr>
        <w:t xml:space="preserve">	158</w:t>
      </w:r>
    </w:p>
    <w:p>
      <w:pPr>
        <w:tabs>
          <w:tab w:val="right" w:pos="9638" w:leader="dot"/>
        </w:tabs>
        <w:spacing w:after="20"/>
        <w:ind w:left="300" w:right="0"/>
      </w:pPr>
      <w:r>
        <w:rPr>
          <w:rFonts w:ascii="Verdana" w:cs="Verdana" w:eastAsia="Verdana" w:hAnsi="Verdana"/>
          <w:sz w:val="19"/>
          <w:szCs w:val="19"/>
        </w:rPr>
        <w:t xml:space="preserve">158. Rule 42 or the 50% option (Chapter 29)</w:t>
      </w:r>
      <w:r>
        <w:rPr>
          <w:rFonts w:ascii="Verdana" w:cs="Verdana" w:eastAsia="Verdana" w:hAnsi="Verdana"/>
          <w:sz w:val="19"/>
          <w:szCs w:val="19"/>
        </w:rPr>
        <w:t xml:space="preserve">	160</w:t>
      </w:r>
    </w:p>
    <w:p>
      <w:pPr>
        <w:tabs>
          <w:tab w:val="right" w:pos="9638" w:leader="dot"/>
        </w:tabs>
        <w:spacing w:after="20"/>
        <w:ind w:left="300" w:right="0"/>
      </w:pPr>
      <w:r>
        <w:rPr>
          <w:rFonts w:ascii="Verdana" w:cs="Verdana" w:eastAsia="Verdana" w:hAnsi="Verdana"/>
          <w:sz w:val="19"/>
          <w:szCs w:val="19"/>
        </w:rPr>
        <w:t xml:space="preserve">159. Value of forex sale (Chapter 29)</w:t>
      </w:r>
      <w:r>
        <w:rPr>
          <w:rFonts w:ascii="Verdana" w:cs="Verdana" w:eastAsia="Verdana" w:hAnsi="Verdana"/>
          <w:sz w:val="19"/>
          <w:szCs w:val="19"/>
        </w:rPr>
        <w:t xml:space="preserve">	161</w:t>
      </w:r>
    </w:p>
    <w:p>
      <w:pPr>
        <w:tabs>
          <w:tab w:val="right" w:pos="9638" w:leader="dot"/>
        </w:tabs>
        <w:spacing w:after="20"/>
        <w:ind w:left="300" w:right="0"/>
      </w:pPr>
      <w:r>
        <w:rPr>
          <w:rFonts w:ascii="Verdana" w:cs="Verdana" w:eastAsia="Verdana" w:hAnsi="Verdana"/>
          <w:sz w:val="19"/>
          <w:szCs w:val="19"/>
        </w:rPr>
        <w:t xml:space="preserve">160. Health insurer after 22 September 2025 (Chapter 29)</w:t>
      </w:r>
      <w:r>
        <w:rPr>
          <w:rFonts w:ascii="Verdana" w:cs="Verdana" w:eastAsia="Verdana" w:hAnsi="Verdana"/>
          <w:sz w:val="19"/>
          <w:szCs w:val="19"/>
        </w:rPr>
        <w:t xml:space="preserve">	161</w:t>
      </w:r>
    </w:p>
    <w:p>
      <w:pPr>
        <w:tabs>
          <w:tab w:val="right" w:pos="9638" w:leader="dot"/>
        </w:tabs>
        <w:spacing w:after="20"/>
        <w:ind w:left="300" w:right="0"/>
      </w:pPr>
      <w:r>
        <w:rPr>
          <w:rFonts w:ascii="Verdana" w:cs="Verdana" w:eastAsia="Verdana" w:hAnsi="Verdana"/>
          <w:sz w:val="19"/>
          <w:szCs w:val="19"/>
        </w:rPr>
        <w:t xml:space="preserve">161. Diwali gifts and canteen (Chapter 30)</w:t>
      </w:r>
      <w:r>
        <w:rPr>
          <w:rFonts w:ascii="Verdana" w:cs="Verdana" w:eastAsia="Verdana" w:hAnsi="Verdana"/>
          <w:sz w:val="19"/>
          <w:szCs w:val="19"/>
        </w:rPr>
        <w:t xml:space="preserve">	163</w:t>
      </w:r>
    </w:p>
    <w:p>
      <w:pPr>
        <w:tabs>
          <w:tab w:val="right" w:pos="9638" w:leader="dot"/>
        </w:tabs>
        <w:spacing w:after="20"/>
        <w:ind w:left="300" w:right="0"/>
      </w:pPr>
      <w:r>
        <w:rPr>
          <w:rFonts w:ascii="Verdana" w:cs="Verdana" w:eastAsia="Verdana" w:hAnsi="Verdana"/>
          <w:sz w:val="19"/>
          <w:szCs w:val="19"/>
        </w:rPr>
        <w:t xml:space="preserve">162. Sitting fees under reverse charge (Chapter 30)</w:t>
      </w:r>
      <w:r>
        <w:rPr>
          <w:rFonts w:ascii="Verdana" w:cs="Verdana" w:eastAsia="Verdana" w:hAnsi="Verdana"/>
          <w:sz w:val="19"/>
          <w:szCs w:val="19"/>
        </w:rPr>
        <w:t xml:space="preserve">	164</w:t>
      </w:r>
    </w:p>
    <w:p>
      <w:pPr>
        <w:tabs>
          <w:tab w:val="right" w:pos="9638" w:leader="dot"/>
        </w:tabs>
        <w:spacing w:after="20"/>
        <w:ind w:left="300" w:right="0"/>
      </w:pPr>
      <w:r>
        <w:rPr>
          <w:rFonts w:ascii="Verdana" w:cs="Verdana" w:eastAsia="Verdana" w:hAnsi="Verdana"/>
          <w:sz w:val="19"/>
          <w:szCs w:val="19"/>
        </w:rPr>
        <w:t xml:space="preserve">163. Corporate guarantee for a subsidiary (Chapter 30)</w:t>
      </w:r>
      <w:r>
        <w:rPr>
          <w:rFonts w:ascii="Verdana" w:cs="Verdana" w:eastAsia="Verdana" w:hAnsi="Verdana"/>
          <w:sz w:val="19"/>
          <w:szCs w:val="19"/>
        </w:rPr>
        <w:t xml:space="preserve">	165</w:t>
      </w:r>
    </w:p>
    <w:p>
      <w:pPr>
        <w:tabs>
          <w:tab w:val="right" w:pos="9638" w:leader="dot"/>
        </w:tabs>
        <w:spacing w:after="20"/>
        <w:ind w:left="300" w:right="0"/>
      </w:pPr>
      <w:r>
        <w:rPr>
          <w:rFonts w:ascii="Verdana" w:cs="Verdana" w:eastAsia="Verdana" w:hAnsi="Verdana"/>
          <w:sz w:val="19"/>
          <w:szCs w:val="19"/>
        </w:rPr>
        <w:t xml:space="preserve">164. A hotel bill after GST 2.0 (Chapter 31)</w:t>
      </w:r>
      <w:r>
        <w:rPr>
          <w:rFonts w:ascii="Verdana" w:cs="Verdana" w:eastAsia="Verdana" w:hAnsi="Verdana"/>
          <w:sz w:val="19"/>
          <w:szCs w:val="19"/>
        </w:rPr>
        <w:t xml:space="preserve">	166</w:t>
      </w:r>
    </w:p>
    <w:p>
      <w:pPr>
        <w:tabs>
          <w:tab w:val="right" w:pos="9638" w:leader="dot"/>
        </w:tabs>
        <w:spacing w:after="20"/>
        <w:ind w:left="300" w:right="0"/>
      </w:pPr>
      <w:r>
        <w:rPr>
          <w:rFonts w:ascii="Verdana" w:cs="Verdana" w:eastAsia="Verdana" w:hAnsi="Verdana"/>
          <w:sz w:val="19"/>
          <w:szCs w:val="19"/>
        </w:rPr>
        <w:t xml:space="preserve">165. Cab rental to a company (Chapter 31)</w:t>
      </w:r>
      <w:r>
        <w:rPr>
          <w:rFonts w:ascii="Verdana" w:cs="Verdana" w:eastAsia="Verdana" w:hAnsi="Verdana"/>
          <w:sz w:val="19"/>
          <w:szCs w:val="19"/>
        </w:rPr>
        <w:t xml:space="preserve">	167</w:t>
      </w:r>
    </w:p>
    <w:p>
      <w:pPr>
        <w:tabs>
          <w:tab w:val="right" w:pos="9638" w:leader="dot"/>
        </w:tabs>
        <w:spacing w:after="20"/>
        <w:ind w:left="300" w:right="0"/>
      </w:pPr>
      <w:r>
        <w:rPr>
          <w:rFonts w:ascii="Verdana" w:cs="Verdana" w:eastAsia="Verdana" w:hAnsi="Verdana"/>
          <w:sz w:val="19"/>
          <w:szCs w:val="19"/>
        </w:rPr>
        <w:t xml:space="preserve">166. GTA: 5% under reverse charge or 18% with ITC (Chapter 31)</w:t>
      </w:r>
      <w:r>
        <w:rPr>
          <w:rFonts w:ascii="Verdana" w:cs="Verdana" w:eastAsia="Verdana" w:hAnsi="Verdana"/>
          <w:sz w:val="19"/>
          <w:szCs w:val="19"/>
        </w:rPr>
        <w:t xml:space="preserve">	167</w:t>
      </w:r>
    </w:p>
    <w:p>
      <w:pPr>
        <w:tabs>
          <w:tab w:val="right" w:pos="9638" w:leader="dot"/>
        </w:tabs>
        <w:spacing w:after="20"/>
        <w:ind w:left="300" w:right="0"/>
      </w:pPr>
      <w:r>
        <w:rPr>
          <w:rFonts w:ascii="Verdana" w:cs="Verdana" w:eastAsia="Verdana" w:hAnsi="Verdana"/>
          <w:sz w:val="19"/>
          <w:szCs w:val="19"/>
        </w:rPr>
        <w:t xml:space="preserve">167. Hospital room rent above Rs. 5,000 (Chapter 32)</w:t>
      </w:r>
      <w:r>
        <w:rPr>
          <w:rFonts w:ascii="Verdana" w:cs="Verdana" w:eastAsia="Verdana" w:hAnsi="Verdana"/>
          <w:sz w:val="19"/>
          <w:szCs w:val="19"/>
        </w:rPr>
        <w:t xml:space="preserve">	169</w:t>
      </w:r>
    </w:p>
    <w:p>
      <w:pPr>
        <w:tabs>
          <w:tab w:val="right" w:pos="9638" w:leader="dot"/>
        </w:tabs>
        <w:spacing w:after="20"/>
        <w:ind w:left="300" w:right="0"/>
      </w:pPr>
      <w:r>
        <w:rPr>
          <w:rFonts w:ascii="Verdana" w:cs="Verdana" w:eastAsia="Verdana" w:hAnsi="Verdana"/>
          <w:sz w:val="19"/>
          <w:szCs w:val="19"/>
        </w:rPr>
        <w:t xml:space="preserve">168. Incubation fees and equity for services (Chapter 32)</w:t>
      </w:r>
      <w:r>
        <w:rPr>
          <w:rFonts w:ascii="Verdana" w:cs="Verdana" w:eastAsia="Verdana" w:hAnsi="Verdana"/>
          <w:sz w:val="19"/>
          <w:szCs w:val="19"/>
        </w:rPr>
        <w:t xml:space="preserve">	170</w:t>
      </w:r>
    </w:p>
    <w:p>
      <w:pPr>
        <w:tabs>
          <w:tab w:val="right" w:pos="9638" w:leader="dot"/>
        </w:tabs>
        <w:spacing w:after="20"/>
        <w:ind w:left="300" w:right="0"/>
      </w:pPr>
      <w:r>
        <w:rPr>
          <w:rFonts w:ascii="Verdana" w:cs="Verdana" w:eastAsia="Verdana" w:hAnsi="Verdana"/>
          <w:sz w:val="19"/>
          <w:szCs w:val="19"/>
        </w:rPr>
        <w:t xml:space="preserve">169. RWA maintenance charges (Chapter 32)</w:t>
      </w:r>
      <w:r>
        <w:rPr>
          <w:rFonts w:ascii="Verdana" w:cs="Verdana" w:eastAsia="Verdana" w:hAnsi="Verdana"/>
          <w:sz w:val="19"/>
          <w:szCs w:val="19"/>
        </w:rPr>
        <w:t xml:space="preserve">	171</w:t>
      </w:r>
    </w:p>
    <w:p>
      <w:pPr>
        <w:tabs>
          <w:tab w:val="right" w:pos="9638" w:leader="dot"/>
        </w:tabs>
        <w:spacing w:after="20"/>
        <w:ind w:left="300" w:right="0"/>
      </w:pPr>
      <w:r>
        <w:rPr>
          <w:rFonts w:ascii="Verdana" w:cs="Verdana" w:eastAsia="Verdana" w:hAnsi="Verdana"/>
          <w:sz w:val="19"/>
          <w:szCs w:val="19"/>
        </w:rPr>
        <w:t xml:space="preserve">170. Professional fees in a small company (Chapter 33)</w:t>
      </w:r>
      <w:r>
        <w:rPr>
          <w:rFonts w:ascii="Verdana" w:cs="Verdana" w:eastAsia="Verdana" w:hAnsi="Verdana"/>
          <w:sz w:val="19"/>
          <w:szCs w:val="19"/>
        </w:rPr>
        <w:t xml:space="preserve">	172</w:t>
      </w:r>
    </w:p>
    <w:p>
      <w:pPr>
        <w:tabs>
          <w:tab w:val="right" w:pos="9638" w:leader="dot"/>
        </w:tabs>
        <w:spacing w:after="20"/>
        <w:ind w:left="300" w:right="0"/>
      </w:pPr>
      <w:r>
        <w:rPr>
          <w:rFonts w:ascii="Verdana" w:cs="Verdana" w:eastAsia="Verdana" w:hAnsi="Verdana"/>
          <w:sz w:val="19"/>
          <w:szCs w:val="19"/>
        </w:rPr>
        <w:t xml:space="preserve">171. A freelance designer (Chapter 33)</w:t>
      </w:r>
      <w:r>
        <w:rPr>
          <w:rFonts w:ascii="Verdana" w:cs="Verdana" w:eastAsia="Verdana" w:hAnsi="Verdana"/>
          <w:sz w:val="19"/>
          <w:szCs w:val="19"/>
        </w:rPr>
        <w:t xml:space="preserve">	173</w:t>
      </w:r>
    </w:p>
    <w:p>
      <w:pPr>
        <w:tabs>
          <w:tab w:val="right" w:pos="9638" w:leader="dot"/>
        </w:tabs>
        <w:spacing w:after="20"/>
        <w:ind w:left="300" w:right="0"/>
      </w:pPr>
      <w:r>
        <w:rPr>
          <w:rFonts w:ascii="Verdana" w:cs="Verdana" w:eastAsia="Verdana" w:hAnsi="Verdana"/>
          <w:sz w:val="19"/>
          <w:szCs w:val="19"/>
        </w:rPr>
        <w:t xml:space="preserve">172. The 180-day rule (Chapter 33)</w:t>
      </w:r>
      <w:r>
        <w:rPr>
          <w:rFonts w:ascii="Verdana" w:cs="Verdana" w:eastAsia="Verdana" w:hAnsi="Verdana"/>
          <w:sz w:val="19"/>
          <w:szCs w:val="19"/>
        </w:rPr>
        <w:t xml:space="preserve">	173</w:t>
      </w:r>
    </w:p>
    <w:p>
      <w:pPr>
        <w:tabs>
          <w:tab w:val="right" w:pos="9638" w:leader="dot"/>
        </w:tabs>
        <w:spacing w:after="20"/>
        <w:ind w:left="300" w:right="0"/>
      </w:pPr>
      <w:r>
        <w:rPr>
          <w:rFonts w:ascii="Verdana" w:cs="Verdana" w:eastAsia="Verdana" w:hAnsi="Verdana"/>
          <w:sz w:val="19"/>
          <w:szCs w:val="19"/>
        </w:rPr>
        <w:t xml:space="preserve">173. Slump sale or itemised sale (Chapter 34)</w:t>
      </w:r>
      <w:r>
        <w:rPr>
          <w:rFonts w:ascii="Verdana" w:cs="Verdana" w:eastAsia="Verdana" w:hAnsi="Verdana"/>
          <w:sz w:val="19"/>
          <w:szCs w:val="19"/>
        </w:rPr>
        <w:t xml:space="preserve">	175</w:t>
      </w:r>
    </w:p>
    <w:p>
      <w:pPr>
        <w:tabs>
          <w:tab w:val="right" w:pos="9638" w:leader="dot"/>
        </w:tabs>
        <w:spacing w:after="20"/>
        <w:ind w:left="300" w:right="0"/>
      </w:pPr>
      <w:r>
        <w:rPr>
          <w:rFonts w:ascii="Verdana" w:cs="Verdana" w:eastAsia="Verdana" w:hAnsi="Verdana"/>
          <w:sz w:val="19"/>
          <w:szCs w:val="19"/>
        </w:rPr>
        <w:t xml:space="preserve">174. Sale of a used machine (Chapter 34)</w:t>
      </w:r>
      <w:r>
        <w:rPr>
          <w:rFonts w:ascii="Verdana" w:cs="Verdana" w:eastAsia="Verdana" w:hAnsi="Verdana"/>
          <w:sz w:val="19"/>
          <w:szCs w:val="19"/>
        </w:rPr>
        <w:t xml:space="preserve">	176</w:t>
      </w:r>
    </w:p>
    <w:p>
      <w:pPr>
        <w:tabs>
          <w:tab w:val="right" w:pos="9638" w:leader="dot"/>
        </w:tabs>
        <w:spacing w:after="20"/>
        <w:ind w:left="300" w:right="0"/>
      </w:pPr>
      <w:r>
        <w:rPr>
          <w:rFonts w:ascii="Verdana" w:cs="Verdana" w:eastAsia="Verdana" w:hAnsi="Verdana"/>
          <w:sz w:val="19"/>
          <w:szCs w:val="19"/>
        </w:rPr>
        <w:t xml:space="preserve">175. GST dues in a resolution plan (Chapter 34)</w:t>
      </w:r>
      <w:r>
        <w:rPr>
          <w:rFonts w:ascii="Verdana" w:cs="Verdana" w:eastAsia="Verdana" w:hAnsi="Verdana"/>
          <w:sz w:val="19"/>
          <w:szCs w:val="19"/>
        </w:rPr>
        <w:t xml:space="preserve">	176</w:t>
      </w:r>
    </w:p>
    <w:p>
      <w:pPr>
        <w:tabs>
          <w:tab w:val="right" w:pos="9638" w:leader="dot"/>
        </w:tabs>
        <w:spacing w:after="20"/>
        <w:ind w:left="300" w:right="0"/>
      </w:pPr>
      <w:r>
        <w:rPr>
          <w:rFonts w:ascii="Verdana" w:cs="Verdana" w:eastAsia="Verdana" w:hAnsi="Verdana"/>
          <w:sz w:val="19"/>
          <w:szCs w:val="19"/>
        </w:rPr>
        <w:t xml:space="preserve">176. Provisional assessment and interest on final assessment (FY 2024-25, before GST 2.0) (Chapter 35)</w:t>
      </w:r>
      <w:r>
        <w:rPr>
          <w:rFonts w:ascii="Verdana" w:cs="Verdana" w:eastAsia="Verdana" w:hAnsi="Verdana"/>
          <w:sz w:val="19"/>
          <w:szCs w:val="19"/>
        </w:rPr>
        <w:t xml:space="preserve">	179</w:t>
      </w:r>
    </w:p>
    <w:p>
      <w:pPr>
        <w:tabs>
          <w:tab w:val="right" w:pos="9638" w:leader="dot"/>
        </w:tabs>
        <w:spacing w:after="20"/>
        <w:ind w:left="300" w:right="0"/>
      </w:pPr>
      <w:r>
        <w:rPr>
          <w:rFonts w:ascii="Verdana" w:cs="Verdana" w:eastAsia="Verdana" w:hAnsi="Verdana"/>
          <w:sz w:val="19"/>
          <w:szCs w:val="19"/>
        </w:rPr>
        <w:t xml:space="preserve">177. Replying to ASMT-10 for FY 2023-24 (Chapter 35)</w:t>
      </w:r>
      <w:r>
        <w:rPr>
          <w:rFonts w:ascii="Verdana" w:cs="Verdana" w:eastAsia="Verdana" w:hAnsi="Verdana"/>
          <w:sz w:val="19"/>
          <w:szCs w:val="19"/>
        </w:rPr>
        <w:t xml:space="preserve">	181</w:t>
      </w:r>
    </w:p>
    <w:p>
      <w:pPr>
        <w:tabs>
          <w:tab w:val="right" w:pos="9638" w:leader="dot"/>
        </w:tabs>
        <w:spacing w:after="20"/>
        <w:ind w:left="300" w:right="0"/>
      </w:pPr>
      <w:r>
        <w:rPr>
          <w:rFonts w:ascii="Verdana" w:cs="Verdana" w:eastAsia="Verdana" w:hAnsi="Verdana"/>
          <w:sz w:val="19"/>
          <w:szCs w:val="19"/>
        </w:rPr>
        <w:t xml:space="preserve">178. Withdrawal of a best judgement order (Chapter 35)</w:t>
      </w:r>
      <w:r>
        <w:rPr>
          <w:rFonts w:ascii="Verdana" w:cs="Verdana" w:eastAsia="Verdana" w:hAnsi="Verdana"/>
          <w:sz w:val="19"/>
          <w:szCs w:val="19"/>
        </w:rPr>
        <w:t xml:space="preserve">	182</w:t>
      </w:r>
    </w:p>
    <w:p>
      <w:pPr>
        <w:tabs>
          <w:tab w:val="right" w:pos="9638" w:leader="dot"/>
        </w:tabs>
        <w:spacing w:after="20"/>
        <w:ind w:left="300" w:right="0"/>
      </w:pPr>
      <w:r>
        <w:rPr>
          <w:rFonts w:ascii="Verdana" w:cs="Verdana" w:eastAsia="Verdana" w:hAnsi="Verdana"/>
          <w:sz w:val="19"/>
          <w:szCs w:val="19"/>
        </w:rPr>
        <w:t xml:space="preserve">179. Handling audit paras for FY 2023-24 (Chapter 35)</w:t>
      </w:r>
      <w:r>
        <w:rPr>
          <w:rFonts w:ascii="Verdana" w:cs="Verdana" w:eastAsia="Verdana" w:hAnsi="Verdana"/>
          <w:sz w:val="19"/>
          <w:szCs w:val="19"/>
        </w:rPr>
        <w:t xml:space="preserve">	183</w:t>
      </w:r>
    </w:p>
    <w:p>
      <w:pPr>
        <w:tabs>
          <w:tab w:val="right" w:pos="9638" w:leader="dot"/>
        </w:tabs>
        <w:spacing w:after="20"/>
        <w:ind w:left="300" w:right="0"/>
      </w:pPr>
      <w:r>
        <w:rPr>
          <w:rFonts w:ascii="Verdana" w:cs="Verdana" w:eastAsia="Verdana" w:hAnsi="Verdana"/>
          <w:sz w:val="19"/>
          <w:szCs w:val="19"/>
        </w:rPr>
        <w:t xml:space="preserve">180. Working out time limits for a notice (Chapter 36)</w:t>
      </w:r>
      <w:r>
        <w:rPr>
          <w:rFonts w:ascii="Verdana" w:cs="Verdana" w:eastAsia="Verdana" w:hAnsi="Verdana"/>
          <w:sz w:val="19"/>
          <w:szCs w:val="19"/>
        </w:rPr>
        <w:t xml:space="preserve">	187</w:t>
      </w:r>
    </w:p>
    <w:p>
      <w:pPr>
        <w:tabs>
          <w:tab w:val="right" w:pos="9638" w:leader="dot"/>
        </w:tabs>
        <w:spacing w:after="20"/>
        <w:ind w:left="300" w:right="0"/>
      </w:pPr>
      <w:r>
        <w:rPr>
          <w:rFonts w:ascii="Verdana" w:cs="Verdana" w:eastAsia="Verdana" w:hAnsi="Verdana"/>
          <w:sz w:val="19"/>
          <w:szCs w:val="19"/>
        </w:rPr>
        <w:t xml:space="preserve">181. Section 73: penalty at each payment stage (Chapter 36)</w:t>
      </w:r>
      <w:r>
        <w:rPr>
          <w:rFonts w:ascii="Verdana" w:cs="Verdana" w:eastAsia="Verdana" w:hAnsi="Verdana"/>
          <w:sz w:val="19"/>
          <w:szCs w:val="19"/>
        </w:rPr>
        <w:t xml:space="preserve">	188</w:t>
      </w:r>
    </w:p>
    <w:p>
      <w:pPr>
        <w:tabs>
          <w:tab w:val="right" w:pos="9638" w:leader="dot"/>
        </w:tabs>
        <w:spacing w:after="20"/>
        <w:ind w:left="300" w:right="0"/>
      </w:pPr>
      <w:r>
        <w:rPr>
          <w:rFonts w:ascii="Verdana" w:cs="Verdana" w:eastAsia="Verdana" w:hAnsi="Verdana"/>
          <w:sz w:val="19"/>
          <w:szCs w:val="19"/>
        </w:rPr>
        <w:t xml:space="preserve">182. Section 74: penalty at each payment stage (Chapter 36)</w:t>
      </w:r>
      <w:r>
        <w:rPr>
          <w:rFonts w:ascii="Verdana" w:cs="Verdana" w:eastAsia="Verdana" w:hAnsi="Verdana"/>
          <w:sz w:val="19"/>
          <w:szCs w:val="19"/>
        </w:rPr>
        <w:t xml:space="preserve">	188</w:t>
      </w:r>
    </w:p>
    <w:p>
      <w:pPr>
        <w:tabs>
          <w:tab w:val="right" w:pos="9638" w:leader="dot"/>
        </w:tabs>
        <w:spacing w:after="20"/>
        <w:ind w:left="300" w:right="0"/>
      </w:pPr>
      <w:r>
        <w:rPr>
          <w:rFonts w:ascii="Verdana" w:cs="Verdana" w:eastAsia="Verdana" w:hAnsi="Verdana"/>
          <w:sz w:val="19"/>
          <w:szCs w:val="19"/>
        </w:rPr>
        <w:t xml:space="preserve">183. Section 74A: both scales (FY 2024-25) (Chapter 36)</w:t>
      </w:r>
      <w:r>
        <w:rPr>
          <w:rFonts w:ascii="Verdana" w:cs="Verdana" w:eastAsia="Verdana" w:hAnsi="Verdana"/>
          <w:sz w:val="19"/>
          <w:szCs w:val="19"/>
        </w:rPr>
        <w:t xml:space="preserve">	189</w:t>
      </w:r>
    </w:p>
    <w:p>
      <w:pPr>
        <w:tabs>
          <w:tab w:val="right" w:pos="9638" w:leader="dot"/>
        </w:tabs>
        <w:spacing w:after="20"/>
        <w:ind w:left="300" w:right="0"/>
      </w:pPr>
      <w:r>
        <w:rPr>
          <w:rFonts w:ascii="Verdana" w:cs="Verdana" w:eastAsia="Verdana" w:hAnsi="Verdana"/>
          <w:sz w:val="19"/>
          <w:szCs w:val="19"/>
        </w:rPr>
        <w:t xml:space="preserve">184. Waiver under section 128A (Chapter 36)</w:t>
      </w:r>
      <w:r>
        <w:rPr>
          <w:rFonts w:ascii="Verdana" w:cs="Verdana" w:eastAsia="Verdana" w:hAnsi="Verdana"/>
          <w:sz w:val="19"/>
          <w:szCs w:val="19"/>
        </w:rPr>
        <w:t xml:space="preserve">	189</w:t>
      </w:r>
    </w:p>
    <w:p>
      <w:pPr>
        <w:tabs>
          <w:tab w:val="right" w:pos="9638" w:leader="dot"/>
        </w:tabs>
        <w:spacing w:after="20"/>
        <w:ind w:left="300" w:right="0"/>
      </w:pPr>
      <w:r>
        <w:rPr>
          <w:rFonts w:ascii="Verdana" w:cs="Verdana" w:eastAsia="Verdana" w:hAnsi="Verdana"/>
          <w:sz w:val="19"/>
          <w:szCs w:val="19"/>
        </w:rPr>
        <w:t xml:space="preserve">185. Instalments under section 80 (Chapter 36)</w:t>
      </w:r>
      <w:r>
        <w:rPr>
          <w:rFonts w:ascii="Verdana" w:cs="Verdana" w:eastAsia="Verdana" w:hAnsi="Verdana"/>
          <w:sz w:val="19"/>
          <w:szCs w:val="19"/>
        </w:rPr>
        <w:t xml:space="preserve">	192</w:t>
      </w:r>
    </w:p>
    <w:p>
      <w:pPr>
        <w:tabs>
          <w:tab w:val="right" w:pos="9638" w:leader="dot"/>
        </w:tabs>
        <w:spacing w:after="20"/>
        <w:ind w:left="300" w:right="0"/>
      </w:pPr>
      <w:r>
        <w:rPr>
          <w:rFonts w:ascii="Verdana" w:cs="Verdana" w:eastAsia="Verdana" w:hAnsi="Verdana"/>
          <w:sz w:val="19"/>
          <w:szCs w:val="19"/>
        </w:rPr>
        <w:t xml:space="preserve">186. Provisional release of seized goods (Chapter 37)</w:t>
      </w:r>
      <w:r>
        <w:rPr>
          <w:rFonts w:ascii="Verdana" w:cs="Verdana" w:eastAsia="Verdana" w:hAnsi="Verdana"/>
          <w:sz w:val="19"/>
          <w:szCs w:val="19"/>
        </w:rPr>
        <w:t xml:space="preserve">	193</w:t>
      </w:r>
    </w:p>
    <w:p>
      <w:pPr>
        <w:tabs>
          <w:tab w:val="right" w:pos="9638" w:leader="dot"/>
        </w:tabs>
        <w:spacing w:after="20"/>
        <w:ind w:left="300" w:right="0"/>
      </w:pPr>
      <w:r>
        <w:rPr>
          <w:rFonts w:ascii="Verdana" w:cs="Verdana" w:eastAsia="Verdana" w:hAnsi="Verdana"/>
          <w:sz w:val="19"/>
          <w:szCs w:val="19"/>
        </w:rPr>
        <w:t xml:space="preserve">187. Is arrest possible? (Chapter 37)</w:t>
      </w:r>
      <w:r>
        <w:rPr>
          <w:rFonts w:ascii="Verdana" w:cs="Verdana" w:eastAsia="Verdana" w:hAnsi="Verdana"/>
          <w:sz w:val="19"/>
          <w:szCs w:val="19"/>
        </w:rPr>
        <w:t xml:space="preserve">	195</w:t>
      </w:r>
    </w:p>
    <w:p>
      <w:pPr>
        <w:tabs>
          <w:tab w:val="right" w:pos="9638" w:leader="dot"/>
        </w:tabs>
        <w:spacing w:after="20"/>
        <w:ind w:left="300" w:right="0"/>
      </w:pPr>
      <w:r>
        <w:rPr>
          <w:rFonts w:ascii="Verdana" w:cs="Verdana" w:eastAsia="Verdana" w:hAnsi="Verdana"/>
          <w:sz w:val="19"/>
          <w:szCs w:val="19"/>
        </w:rPr>
        <w:t xml:space="preserve">188. Advance ruling timeline (Chapter 38)</w:t>
      </w:r>
      <w:r>
        <w:rPr>
          <w:rFonts w:ascii="Verdana" w:cs="Verdana" w:eastAsia="Verdana" w:hAnsi="Verdana"/>
          <w:sz w:val="19"/>
          <w:szCs w:val="19"/>
        </w:rPr>
        <w:t xml:space="preserve">	197</w:t>
      </w:r>
    </w:p>
    <w:p>
      <w:pPr>
        <w:tabs>
          <w:tab w:val="right" w:pos="9638" w:leader="dot"/>
        </w:tabs>
        <w:spacing w:after="20"/>
        <w:ind w:left="300" w:right="0"/>
      </w:pPr>
      <w:r>
        <w:rPr>
          <w:rFonts w:ascii="Verdana" w:cs="Verdana" w:eastAsia="Verdana" w:hAnsi="Verdana"/>
          <w:sz w:val="19"/>
          <w:szCs w:val="19"/>
        </w:rPr>
        <w:t xml:space="preserve">189. Reach of a ruling (Chapter 38)</w:t>
      </w:r>
      <w:r>
        <w:rPr>
          <w:rFonts w:ascii="Verdana" w:cs="Verdana" w:eastAsia="Verdana" w:hAnsi="Verdana"/>
          <w:sz w:val="19"/>
          <w:szCs w:val="19"/>
        </w:rPr>
        <w:t xml:space="preserve">	198</w:t>
      </w:r>
    </w:p>
    <w:p>
      <w:pPr>
        <w:tabs>
          <w:tab w:val="right" w:pos="9638" w:leader="dot"/>
        </w:tabs>
        <w:spacing w:after="20"/>
        <w:ind w:left="300" w:right="0"/>
      </w:pPr>
      <w:r>
        <w:rPr>
          <w:rFonts w:ascii="Verdana" w:cs="Verdana" w:eastAsia="Verdana" w:hAnsi="Verdana"/>
          <w:sz w:val="19"/>
          <w:szCs w:val="19"/>
        </w:rPr>
        <w:t xml:space="preserve">190. Pre-deposit at each stage (Chapter 39)</w:t>
      </w:r>
      <w:r>
        <w:rPr>
          <w:rFonts w:ascii="Verdana" w:cs="Verdana" w:eastAsia="Verdana" w:hAnsi="Verdana"/>
          <w:sz w:val="19"/>
          <w:szCs w:val="19"/>
        </w:rPr>
        <w:t xml:space="preserve">	200</w:t>
      </w:r>
    </w:p>
    <w:p>
      <w:pPr>
        <w:tabs>
          <w:tab w:val="right" w:pos="9638" w:leader="dot"/>
        </w:tabs>
        <w:spacing w:after="20"/>
        <w:ind w:left="300" w:right="0"/>
      </w:pPr>
      <w:r>
        <w:rPr>
          <w:rFonts w:ascii="Verdana" w:cs="Verdana" w:eastAsia="Verdana" w:hAnsi="Verdana"/>
          <w:sz w:val="19"/>
          <w:szCs w:val="19"/>
        </w:rPr>
        <w:t xml:space="preserve">191. Penalty-only appeal (Chapter 39)</w:t>
      </w:r>
      <w:r>
        <w:rPr>
          <w:rFonts w:ascii="Verdana" w:cs="Verdana" w:eastAsia="Verdana" w:hAnsi="Verdana"/>
          <w:sz w:val="19"/>
          <w:szCs w:val="19"/>
        </w:rPr>
        <w:t xml:space="preserve">	200</w:t>
      </w:r>
    </w:p>
    <w:p>
      <w:pPr>
        <w:tabs>
          <w:tab w:val="right" w:pos="9638" w:leader="dot"/>
        </w:tabs>
        <w:spacing w:after="20"/>
        <w:ind w:left="300" w:right="0"/>
      </w:pPr>
      <w:r>
        <w:rPr>
          <w:rFonts w:ascii="Verdana" w:cs="Verdana" w:eastAsia="Verdana" w:hAnsi="Verdana"/>
          <w:sz w:val="19"/>
          <w:szCs w:val="19"/>
        </w:rPr>
        <w:t xml:space="preserve">192. GSTAT limitation (Chapter 39)</w:t>
      </w:r>
      <w:r>
        <w:rPr>
          <w:rFonts w:ascii="Verdana" w:cs="Verdana" w:eastAsia="Verdana" w:hAnsi="Verdana"/>
          <w:sz w:val="19"/>
          <w:szCs w:val="19"/>
        </w:rPr>
        <w:t xml:space="preserve">	201</w:t>
      </w:r>
    </w:p>
    <w:p>
      <w:pPr>
        <w:tabs>
          <w:tab w:val="right" w:pos="9638" w:leader="dot"/>
        </w:tabs>
        <w:spacing w:after="20"/>
        <w:ind w:left="300" w:right="0"/>
      </w:pPr>
      <w:r>
        <w:rPr>
          <w:rFonts w:ascii="Verdana" w:cs="Verdana" w:eastAsia="Verdana" w:hAnsi="Verdana"/>
          <w:sz w:val="19"/>
          <w:szCs w:val="19"/>
        </w:rPr>
        <w:t xml:space="preserve">193. Penalty under section 122 (Chapter 40)</w:t>
      </w:r>
      <w:r>
        <w:rPr>
          <w:rFonts w:ascii="Verdana" w:cs="Verdana" w:eastAsia="Verdana" w:hAnsi="Verdana"/>
          <w:sz w:val="19"/>
          <w:szCs w:val="19"/>
        </w:rPr>
        <w:t xml:space="preserve">	204</w:t>
      </w:r>
    </w:p>
    <w:p>
      <w:pPr>
        <w:tabs>
          <w:tab w:val="right" w:pos="9638" w:leader="dot"/>
        </w:tabs>
        <w:spacing w:after="20"/>
        <w:ind w:left="300" w:right="0"/>
      </w:pPr>
      <w:r>
        <w:rPr>
          <w:rFonts w:ascii="Verdana" w:cs="Verdana" w:eastAsia="Verdana" w:hAnsi="Verdana"/>
          <w:sz w:val="19"/>
          <w:szCs w:val="19"/>
        </w:rPr>
        <w:t xml:space="preserve">194. Minor breach under section 126 (Chapter 40)</w:t>
      </w:r>
      <w:r>
        <w:rPr>
          <w:rFonts w:ascii="Verdana" w:cs="Verdana" w:eastAsia="Verdana" w:hAnsi="Verdana"/>
          <w:sz w:val="19"/>
          <w:szCs w:val="19"/>
        </w:rPr>
        <w:t xml:space="preserve">	205</w:t>
      </w:r>
    </w:p>
    <w:p>
      <w:pPr>
        <w:tabs>
          <w:tab w:val="right" w:pos="9638" w:leader="dot"/>
        </w:tabs>
        <w:spacing w:after="20"/>
        <w:ind w:left="300" w:right="0"/>
      </w:pPr>
      <w:r>
        <w:rPr>
          <w:rFonts w:ascii="Verdana" w:cs="Verdana" w:eastAsia="Verdana" w:hAnsi="Verdana"/>
          <w:sz w:val="19"/>
          <w:szCs w:val="19"/>
        </w:rPr>
        <w:t xml:space="preserve">195. Late fee computations (Chapter 40)</w:t>
      </w:r>
      <w:r>
        <w:rPr>
          <w:rFonts w:ascii="Verdana" w:cs="Verdana" w:eastAsia="Verdana" w:hAnsi="Verdana"/>
          <w:sz w:val="19"/>
          <w:szCs w:val="19"/>
        </w:rPr>
        <w:t xml:space="preserve">	205</w:t>
      </w:r>
    </w:p>
    <w:p>
      <w:pPr>
        <w:tabs>
          <w:tab w:val="right" w:pos="9638" w:leader="dot"/>
        </w:tabs>
        <w:spacing w:after="20"/>
        <w:ind w:left="300" w:right="0"/>
      </w:pPr>
      <w:r>
        <w:rPr>
          <w:rFonts w:ascii="Verdana" w:cs="Verdana" w:eastAsia="Verdana" w:hAnsi="Verdana"/>
          <w:sz w:val="19"/>
          <w:szCs w:val="19"/>
        </w:rPr>
        <w:t xml:space="preserve">196. Compounding amount (Chapter 40)</w:t>
      </w:r>
      <w:r>
        <w:rPr>
          <w:rFonts w:ascii="Verdana" w:cs="Verdana" w:eastAsia="Verdana" w:hAnsi="Verdana"/>
          <w:sz w:val="19"/>
          <w:szCs w:val="19"/>
        </w:rPr>
        <w:t xml:space="preserve">	206</w:t>
      </w:r>
    </w:p>
    <w:p>
      <w:pPr>
        <w:tabs>
          <w:tab w:val="right" w:pos="9638" w:leader="dot"/>
        </w:tabs>
        <w:spacing w:after="20"/>
        <w:ind w:left="300" w:right="0"/>
      </w:pPr>
      <w:r>
        <w:rPr>
          <w:rFonts w:ascii="Verdana" w:cs="Verdana" w:eastAsia="Verdana" w:hAnsi="Verdana"/>
          <w:sz w:val="19"/>
          <w:szCs w:val="19"/>
        </w:rPr>
        <w:t xml:space="preserve">197. Revising prices after GST 2.0 (Chapter 41)</w:t>
      </w:r>
      <w:r>
        <w:rPr>
          <w:rFonts w:ascii="Verdana" w:cs="Verdana" w:eastAsia="Verdana" w:hAnsi="Verdana"/>
          <w:sz w:val="19"/>
          <w:szCs w:val="19"/>
        </w:rPr>
        <w:t xml:space="preserve">	207</w:t>
      </w:r>
    </w:p>
    <w:p>
      <w:pPr>
        <w:tabs>
          <w:tab w:val="right" w:pos="9638" w:leader="dot"/>
        </w:tabs>
        <w:spacing w:after="20"/>
        <w:ind w:left="300" w:right="0"/>
      </w:pPr>
      <w:r>
        <w:rPr>
          <w:rFonts w:ascii="Verdana" w:cs="Verdana" w:eastAsia="Verdana" w:hAnsi="Verdana"/>
          <w:sz w:val="19"/>
          <w:szCs w:val="19"/>
        </w:rPr>
        <w:t xml:space="preserve">198. Credit on stock bought before the cut (Chapter 41)</w:t>
      </w:r>
      <w:r>
        <w:rPr>
          <w:rFonts w:ascii="Verdana" w:cs="Verdana" w:eastAsia="Verdana" w:hAnsi="Verdana"/>
          <w:sz w:val="19"/>
          <w:szCs w:val="19"/>
        </w:rPr>
        <w:t xml:space="preserve">	208</w:t>
      </w:r>
    </w:p>
    <w:p>
      <w:pPr>
        <w:tabs>
          <w:tab w:val="right" w:pos="9638" w:leader="dot"/>
        </w:tabs>
        <w:spacing w:after="20"/>
        <w:ind w:left="300" w:right="0"/>
      </w:pPr>
      <w:r>
        <w:rPr>
          <w:rFonts w:ascii="Verdana" w:cs="Verdana" w:eastAsia="Verdana" w:hAnsi="Verdana"/>
          <w:sz w:val="19"/>
          <w:szCs w:val="19"/>
        </w:rPr>
        <w:t xml:space="preserve">199. One month's entries for Kavya Foods Pvt. Ltd., Gujarat (5% goods) (Chapter 42)</w:t>
      </w:r>
      <w:r>
        <w:rPr>
          <w:rFonts w:ascii="Verdana" w:cs="Verdana" w:eastAsia="Verdana" w:hAnsi="Verdana"/>
          <w:sz w:val="19"/>
          <w:szCs w:val="19"/>
        </w:rPr>
        <w:t xml:space="preserve">	210</w:t>
      </w:r>
    </w:p>
    <w:p>
      <w:pPr>
        <w:tabs>
          <w:tab w:val="right" w:pos="9638" w:leader="dot"/>
        </w:tabs>
        <w:spacing w:after="20"/>
        <w:ind w:left="300" w:right="0"/>
      </w:pPr>
      <w:r>
        <w:rPr>
          <w:rFonts w:ascii="Verdana" w:cs="Verdana" w:eastAsia="Verdana" w:hAnsi="Verdana"/>
          <w:sz w:val="19"/>
          <w:szCs w:val="19"/>
        </w:rPr>
        <w:t xml:space="preserve">200. Refund of unutilised ITC on exports under LUT (Chapter 42)</w:t>
      </w:r>
      <w:r>
        <w:rPr>
          <w:rFonts w:ascii="Verdana" w:cs="Verdana" w:eastAsia="Verdana" w:hAnsi="Verdana"/>
          <w:sz w:val="19"/>
          <w:szCs w:val="19"/>
        </w:rPr>
        <w:t xml:space="preserve">	211</w:t>
      </w:r>
    </w:p>
    <w:p>
      <w:pPr>
        <w:tabs>
          <w:tab w:val="right" w:pos="9638" w:leader="dot"/>
        </w:tabs>
        <w:spacing w:after="20"/>
        <w:ind w:left="300" w:right="0"/>
      </w:pPr>
      <w:r>
        <w:rPr>
          <w:rFonts w:ascii="Verdana" w:cs="Verdana" w:eastAsia="Verdana" w:hAnsi="Verdana"/>
          <w:sz w:val="19"/>
          <w:szCs w:val="19"/>
        </w:rPr>
        <w:t xml:space="preserve">201. Blocked credit capitalised (Chapter 42)</w:t>
      </w:r>
      <w:r>
        <w:rPr>
          <w:rFonts w:ascii="Verdana" w:cs="Verdana" w:eastAsia="Verdana" w:hAnsi="Verdana"/>
          <w:sz w:val="19"/>
          <w:szCs w:val="19"/>
        </w:rPr>
        <w:t xml:space="preserve">	212</w:t>
      </w:r>
    </w:p>
    <w:p>
      <w:pPr>
        <w:tabs>
          <w:tab w:val="right" w:pos="9638" w:leader="dot"/>
        </w:tabs>
        <w:spacing w:after="20"/>
        <w:ind w:left="300" w:right="0"/>
      </w:pPr>
      <w:r>
        <w:rPr>
          <w:rFonts w:ascii="Verdana" w:cs="Verdana" w:eastAsia="Verdana" w:hAnsi="Verdana"/>
          <w:sz w:val="19"/>
          <w:szCs w:val="19"/>
        </w:rPr>
        <w:t xml:space="preserve">202. GSTR-2B vs purchase register for one month (Chapter 43)</w:t>
      </w:r>
      <w:r>
        <w:rPr>
          <w:rFonts w:ascii="Verdana" w:cs="Verdana" w:eastAsia="Verdana" w:hAnsi="Verdana"/>
          <w:sz w:val="19"/>
          <w:szCs w:val="19"/>
        </w:rPr>
        <w:t xml:space="preserve">	213</w:t>
      </w:r>
    </w:p>
    <w:p>
      <w:pPr>
        <w:tabs>
          <w:tab w:val="right" w:pos="9638" w:leader="dot"/>
        </w:tabs>
        <w:spacing w:after="20"/>
        <w:ind w:left="300" w:right="0"/>
      </w:pPr>
      <w:r>
        <w:rPr>
          <w:rFonts w:ascii="Verdana" w:cs="Verdana" w:eastAsia="Verdana" w:hAnsi="Verdana"/>
          <w:sz w:val="19"/>
          <w:szCs w:val="19"/>
        </w:rPr>
        <w:t xml:space="preserve">203. Rule 42 annual true-up for FY 2025-26 (Chapter 43)</w:t>
      </w:r>
      <w:r>
        <w:rPr>
          <w:rFonts w:ascii="Verdana" w:cs="Verdana" w:eastAsia="Verdana" w:hAnsi="Verdana"/>
          <w:sz w:val="19"/>
          <w:szCs w:val="19"/>
        </w:rPr>
        <w:t xml:space="preserve">	214</w:t>
      </w:r>
    </w:p>
    <w:p>
      <w:pPr>
        <w:tabs>
          <w:tab w:val="right" w:pos="9638" w:leader="dot"/>
        </w:tabs>
        <w:spacing w:after="20"/>
        <w:ind w:left="300" w:right="0"/>
      </w:pPr>
      <w:r>
        <w:rPr>
          <w:rFonts w:ascii="Verdana" w:cs="Verdana" w:eastAsia="Verdana" w:hAnsi="Verdana"/>
          <w:sz w:val="19"/>
          <w:szCs w:val="19"/>
        </w:rPr>
        <w:t xml:space="preserve">204. Books to GSTR-9 for Patel Components Pvt. Ltd., FY 2025-26 (Chapter 43)</w:t>
      </w:r>
      <w:r>
        <w:rPr>
          <w:rFonts w:ascii="Verdana" w:cs="Verdana" w:eastAsia="Verdana" w:hAnsi="Verdana"/>
          <w:sz w:val="19"/>
          <w:szCs w:val="19"/>
        </w:rPr>
        <w:t xml:space="preserve">	214</w:t>
      </w:r>
    </w:p>
    <w:p>
      <w:pPr>
        <w:tabs>
          <w:tab w:val="right" w:pos="9638" w:leader="dot"/>
        </w:tabs>
        <w:spacing w:after="20"/>
        <w:ind w:left="300" w:right="0"/>
      </w:pPr>
      <w:r>
        <w:rPr>
          <w:rFonts w:ascii="Verdana" w:cs="Verdana" w:eastAsia="Verdana" w:hAnsi="Verdana"/>
          <w:sz w:val="19"/>
          <w:szCs w:val="19"/>
        </w:rPr>
        <w:t xml:space="preserve">205. A limitation diary for a section 74A notice (Chapter 44)</w:t>
      </w:r>
      <w:r>
        <w:rPr>
          <w:rFonts w:ascii="Verdana" w:cs="Verdana" w:eastAsia="Verdana" w:hAnsi="Verdana"/>
          <w:sz w:val="19"/>
          <w:szCs w:val="19"/>
        </w:rPr>
        <w:t xml:space="preserve">	216</w:t>
      </w:r>
    </w:p>
    <w:p>
      <w:pPr>
        <w:tabs>
          <w:tab w:val="right" w:pos="9638" w:leader="dot"/>
        </w:tabs>
        <w:spacing w:after="20"/>
        <w:ind w:left="300" w:right="0"/>
      </w:pPr>
      <w:r>
        <w:rPr>
          <w:rFonts w:ascii="Verdana" w:cs="Verdana" w:eastAsia="Verdana" w:hAnsi="Verdana"/>
          <w:sz w:val="19"/>
          <w:szCs w:val="19"/>
        </w:rPr>
        <w:t xml:space="preserve">206. Paying within 60 days versus contesting (Chapter 44)</w:t>
      </w:r>
      <w:r>
        <w:rPr>
          <w:rFonts w:ascii="Verdana" w:cs="Verdana" w:eastAsia="Verdana" w:hAnsi="Verdana"/>
          <w:sz w:val="19"/>
          <w:szCs w:val="19"/>
        </w:rPr>
        <w:t xml:space="preserve">	217</w:t>
      </w:r>
    </w:p>
    <w:p>
      <w:pPr>
        <w:tabs>
          <w:tab w:val="right" w:pos="9638" w:leader="dot"/>
        </w:tabs>
        <w:spacing w:after="20"/>
        <w:ind w:left="300" w:right="0"/>
      </w:pPr>
      <w:r>
        <w:rPr>
          <w:rFonts w:ascii="Verdana" w:cs="Verdana" w:eastAsia="Verdana" w:hAnsi="Verdana"/>
          <w:sz w:val="19"/>
          <w:szCs w:val="19"/>
        </w:rPr>
        <w:t xml:space="preserve">207. Rule 86B check for Suryoday Electricals (Chapter 45)</w:t>
      </w:r>
      <w:r>
        <w:rPr>
          <w:rFonts w:ascii="Verdana" w:cs="Verdana" w:eastAsia="Verdana" w:hAnsi="Verdana"/>
          <w:sz w:val="19"/>
          <w:szCs w:val="19"/>
        </w:rPr>
        <w:t xml:space="preserve">	221</w:t>
      </w:r>
    </w:p>
    <w:p>
      <w:pPr>
        <w:tabs>
          <w:tab w:val="right" w:pos="9638" w:leader="dot"/>
        </w:tabs>
        <w:spacing w:after="20"/>
        <w:ind w:left="300" w:right="0"/>
      </w:pPr>
      <w:r>
        <w:rPr>
          <w:rFonts w:ascii="Verdana" w:cs="Verdana" w:eastAsia="Verdana" w:hAnsi="Verdana"/>
          <w:sz w:val="19"/>
          <w:szCs w:val="19"/>
        </w:rPr>
        <w:t xml:space="preserve">208. Rule 43 on the common packing line (Chapter 46)</w:t>
      </w:r>
      <w:r>
        <w:rPr>
          <w:rFonts w:ascii="Verdana" w:cs="Verdana" w:eastAsia="Verdana" w:hAnsi="Verdana"/>
          <w:sz w:val="19"/>
          <w:szCs w:val="19"/>
        </w:rPr>
        <w:t xml:space="preserve">	224</w:t>
      </w:r>
    </w:p>
    <w:p>
      <w:pPr>
        <w:tabs>
          <w:tab w:val="right" w:pos="9638" w:leader="dot"/>
        </w:tabs>
        <w:spacing w:after="20"/>
        <w:ind w:left="300" w:right="0"/>
      </w:pPr>
      <w:r>
        <w:rPr>
          <w:rFonts w:ascii="Verdana" w:cs="Verdana" w:eastAsia="Verdana" w:hAnsi="Verdana"/>
          <w:sz w:val="19"/>
          <w:szCs w:val="19"/>
        </w:rPr>
        <w:t xml:space="preserve">209. Interest on the rule 42 shortfall (Chapter 46)</w:t>
      </w:r>
      <w:r>
        <w:rPr>
          <w:rFonts w:ascii="Verdana" w:cs="Verdana" w:eastAsia="Verdana" w:hAnsi="Verdana"/>
          <w:sz w:val="19"/>
          <w:szCs w:val="19"/>
        </w:rPr>
        <w:t xml:space="preserve">	224</w:t>
      </w:r>
    </w:p>
    <w:p>
      <w:pPr>
        <w:tabs>
          <w:tab w:val="right" w:pos="9638" w:leader="dot"/>
        </w:tabs>
        <w:spacing w:after="20"/>
        <w:ind w:left="300" w:right="0"/>
      </w:pPr>
      <w:r>
        <w:rPr>
          <w:rFonts w:ascii="Verdana" w:cs="Verdana" w:eastAsia="Verdana" w:hAnsi="Verdana"/>
          <w:sz w:val="19"/>
          <w:szCs w:val="19"/>
        </w:rPr>
        <w:t xml:space="preserve">210. Ledger limit and order of debit (Chapter 47)</w:t>
      </w:r>
      <w:r>
        <w:rPr>
          <w:rFonts w:ascii="Verdana" w:cs="Verdana" w:eastAsia="Verdana" w:hAnsi="Verdana"/>
          <w:sz w:val="19"/>
          <w:szCs w:val="19"/>
        </w:rPr>
        <w:t xml:space="preserve">	227</w:t>
      </w:r>
    </w:p>
    <w:p>
      <w:pPr>
        <w:tabs>
          <w:tab w:val="right" w:pos="9638" w:leader="dot"/>
        </w:tabs>
        <w:spacing w:after="20"/>
        <w:ind w:left="300" w:right="0"/>
      </w:pPr>
      <w:r>
        <w:rPr>
          <w:rFonts w:ascii="Verdana" w:cs="Verdana" w:eastAsia="Verdana" w:hAnsi="Verdana"/>
          <w:sz w:val="19"/>
          <w:szCs w:val="19"/>
        </w:rPr>
        <w:t xml:space="preserve">211. Effect of the 2022 amendment and of excluding input services (Chapter 48)</w:t>
      </w:r>
      <w:r>
        <w:rPr>
          <w:rFonts w:ascii="Verdana" w:cs="Verdana" w:eastAsia="Verdana" w:hAnsi="Verdana"/>
          <w:sz w:val="19"/>
          <w:szCs w:val="19"/>
        </w:rPr>
        <w:t xml:space="preserve">	230</w:t>
      </w:r>
    </w:p>
    <w:p>
      <w:pPr>
        <w:tabs>
          <w:tab w:val="right" w:pos="9638" w:leader="dot"/>
        </w:tabs>
        <w:spacing w:after="20"/>
        <w:ind w:left="300" w:right="0"/>
      </w:pPr>
      <w:r>
        <w:rPr>
          <w:rFonts w:ascii="Verdana" w:cs="Verdana" w:eastAsia="Verdana" w:hAnsi="Verdana"/>
          <w:sz w:val="19"/>
          <w:szCs w:val="19"/>
        </w:rPr>
        <w:t xml:space="preserve">212. The 80% test for FY 2025-26 (Chapter 49)</w:t>
      </w:r>
      <w:r>
        <w:rPr>
          <w:rFonts w:ascii="Verdana" w:cs="Verdana" w:eastAsia="Verdana" w:hAnsi="Verdana"/>
          <w:sz w:val="19"/>
          <w:szCs w:val="19"/>
        </w:rPr>
        <w:t xml:space="preserve">	233</w:t>
      </w:r>
    </w:p>
    <w:p>
      <w:pPr>
        <w:tabs>
          <w:tab w:val="right" w:pos="9638" w:leader="dot"/>
        </w:tabs>
        <w:spacing w:after="20"/>
        <w:ind w:left="300" w:right="0"/>
      </w:pPr>
      <w:r>
        <w:rPr>
          <w:rFonts w:ascii="Verdana" w:cs="Verdana" w:eastAsia="Verdana" w:hAnsi="Verdana"/>
          <w:sz w:val="19"/>
          <w:szCs w:val="19"/>
        </w:rPr>
        <w:t xml:space="preserve">213. Development rights relating to unsold flats (Chapter 49)</w:t>
      </w:r>
      <w:r>
        <w:rPr>
          <w:rFonts w:ascii="Verdana" w:cs="Verdana" w:eastAsia="Verdana" w:hAnsi="Verdana"/>
          <w:sz w:val="19"/>
          <w:szCs w:val="19"/>
        </w:rPr>
        <w:t xml:space="preserve">	233</w:t>
      </w:r>
    </w:p>
    <w:p>
      <w:pPr>
        <w:tabs>
          <w:tab w:val="right" w:pos="9638" w:leader="dot"/>
        </w:tabs>
        <w:spacing w:after="20"/>
        <w:ind w:left="300" w:right="0"/>
      </w:pPr>
      <w:r>
        <w:rPr>
          <w:rFonts w:ascii="Verdana" w:cs="Verdana" w:eastAsia="Verdana" w:hAnsi="Verdana"/>
          <w:sz w:val="19"/>
          <w:szCs w:val="19"/>
        </w:rPr>
        <w:t xml:space="preserve">214. Apportionment of credit for June 2026 (Chapter 50)</w:t>
      </w:r>
      <w:r>
        <w:rPr>
          <w:rFonts w:ascii="Verdana" w:cs="Verdana" w:eastAsia="Verdana" w:hAnsi="Verdana"/>
          <w:sz w:val="19"/>
          <w:szCs w:val="19"/>
        </w:rPr>
        <w:t xml:space="preserve">	236</w:t>
      </w:r>
    </w:p>
    <w:p>
      <w:pPr>
        <w:tabs>
          <w:tab w:val="right" w:pos="9638" w:leader="dot"/>
        </w:tabs>
        <w:spacing w:after="20"/>
        <w:ind w:left="300" w:right="0"/>
      </w:pPr>
      <w:r>
        <w:rPr>
          <w:rFonts w:ascii="Verdana" w:cs="Verdana" w:eastAsia="Verdana" w:hAnsi="Verdana"/>
          <w:sz w:val="19"/>
          <w:szCs w:val="19"/>
        </w:rPr>
        <w:t xml:space="preserve">215. Value of the stock transfer (Chapter 51)</w:t>
      </w:r>
      <w:r>
        <w:rPr>
          <w:rFonts w:ascii="Verdana" w:cs="Verdana" w:eastAsia="Verdana" w:hAnsi="Verdana"/>
          <w:sz w:val="19"/>
          <w:szCs w:val="19"/>
        </w:rPr>
        <w:t xml:space="preserve">	239</w:t>
      </w:r>
    </w:p>
    <w:p>
      <w:pPr>
        <w:tabs>
          <w:tab w:val="right" w:pos="9638" w:leader="dot"/>
        </w:tabs>
        <w:spacing w:after="20"/>
        <w:ind w:left="300" w:right="0"/>
      </w:pPr>
      <w:r>
        <w:rPr>
          <w:rFonts w:ascii="Verdana" w:cs="Verdana" w:eastAsia="Verdana" w:hAnsi="Verdana"/>
          <w:sz w:val="19"/>
          <w:szCs w:val="19"/>
        </w:rPr>
        <w:t xml:space="preserve">216. GSTR-3B of the Maharashtra GSTIN for August 2026 (Chapter 51)</w:t>
      </w:r>
      <w:r>
        <w:rPr>
          <w:rFonts w:ascii="Verdana" w:cs="Verdana" w:eastAsia="Verdana" w:hAnsi="Verdana"/>
          <w:sz w:val="19"/>
          <w:szCs w:val="19"/>
        </w:rPr>
        <w:t xml:space="preserve">	239</w:t>
      </w:r>
    </w:p>
    <w:p>
      <w:pPr>
        <w:tabs>
          <w:tab w:val="right" w:pos="9638" w:leader="dot"/>
        </w:tabs>
        <w:spacing w:after="20"/>
        <w:ind w:left="300" w:right="0"/>
      </w:pPr>
      <w:r>
        <w:rPr>
          <w:rFonts w:ascii="Verdana" w:cs="Verdana" w:eastAsia="Verdana" w:hAnsi="Verdana"/>
          <w:sz w:val="19"/>
          <w:szCs w:val="19"/>
        </w:rPr>
        <w:t xml:space="preserve">217. Credit apportionment for the year (annual figures) (Chapter 52)</w:t>
      </w:r>
      <w:r>
        <w:rPr>
          <w:rFonts w:ascii="Verdana" w:cs="Verdana" w:eastAsia="Verdana" w:hAnsi="Verdana"/>
          <w:sz w:val="19"/>
          <w:szCs w:val="19"/>
        </w:rPr>
        <w:t xml:space="preserve">	242</w:t>
      </w:r>
    </w:p>
    <w:p>
      <w:pPr>
        <w:tabs>
          <w:tab w:val="right" w:pos="9638" w:leader="dot"/>
        </w:tabs>
        <w:spacing w:after="20"/>
        <w:ind w:left="300" w:right="0"/>
      </w:pPr>
      <w:r>
        <w:rPr>
          <w:rFonts w:ascii="Verdana" w:cs="Verdana" w:eastAsia="Verdana" w:hAnsi="Verdana"/>
          <w:sz w:val="19"/>
          <w:szCs w:val="19"/>
        </w:rPr>
        <w:t xml:space="preserve">218. Input Service Distributor for the two offices (Chapter 52)</w:t>
      </w:r>
      <w:r>
        <w:rPr>
          <w:rFonts w:ascii="Verdana" w:cs="Verdana" w:eastAsia="Verdana" w:hAnsi="Verdana"/>
          <w:sz w:val="19"/>
          <w:szCs w:val="19"/>
        </w:rPr>
        <w:t xml:space="preserve">	242</w:t>
      </w:r>
    </w:p>
    <w:p>
      <w:pPr>
        <w:tabs>
          <w:tab w:val="right" w:pos="9638" w:leader="dot"/>
        </w:tabs>
        <w:spacing w:after="20"/>
        <w:ind w:left="300" w:right="0"/>
      </w:pPr>
      <w:r>
        <w:rPr>
          <w:rFonts w:ascii="Verdana" w:cs="Verdana" w:eastAsia="Verdana" w:hAnsi="Verdana"/>
          <w:sz w:val="19"/>
          <w:szCs w:val="19"/>
        </w:rPr>
        <w:t xml:space="preserve">219. Corporate guarantee for the subsidiary (Chapter 53)</w:t>
      </w:r>
      <w:r>
        <w:rPr>
          <w:rFonts w:ascii="Verdana" w:cs="Verdana" w:eastAsia="Verdana" w:hAnsi="Verdana"/>
          <w:sz w:val="19"/>
          <w:szCs w:val="19"/>
        </w:rPr>
        <w:t xml:space="preserve">	245</w:t>
      </w:r>
    </w:p>
    <w:p>
      <w:pPr>
        <w:tabs>
          <w:tab w:val="right" w:pos="9638" w:leader="dot"/>
        </w:tabs>
        <w:spacing w:after="20"/>
        <w:ind w:left="300" w:right="0"/>
      </w:pPr>
      <w:r>
        <w:rPr>
          <w:rFonts w:ascii="Verdana" w:cs="Verdana" w:eastAsia="Verdana" w:hAnsi="Verdana"/>
          <w:sz w:val="19"/>
          <w:szCs w:val="19"/>
        </w:rPr>
        <w:t xml:space="preserve">220. Reverse charge on the secondment recharge (Chapter 53)</w:t>
      </w:r>
      <w:r>
        <w:rPr>
          <w:rFonts w:ascii="Verdana" w:cs="Verdana" w:eastAsia="Verdana" w:hAnsi="Verdana"/>
          <w:sz w:val="19"/>
          <w:szCs w:val="19"/>
        </w:rPr>
        <w:t xml:space="preserve">	245</w:t>
      </w:r>
    </w:p>
    <w:p>
      <w:pPr>
        <w:tabs>
          <w:tab w:val="right" w:pos="9638" w:leader="dot"/>
        </w:tabs>
        <w:spacing w:after="20"/>
        <w:ind w:left="300" w:right="0"/>
      </w:pPr>
      <w:r>
        <w:rPr>
          <w:rFonts w:ascii="Verdana" w:cs="Verdana" w:eastAsia="Verdana" w:hAnsi="Verdana"/>
          <w:sz w:val="19"/>
          <w:szCs w:val="19"/>
        </w:rPr>
        <w:t xml:space="preserve">221. High sea purchase (Chapter 54)</w:t>
      </w:r>
      <w:r>
        <w:rPr>
          <w:rFonts w:ascii="Verdana" w:cs="Verdana" w:eastAsia="Verdana" w:hAnsi="Verdana"/>
          <w:sz w:val="19"/>
          <w:szCs w:val="19"/>
        </w:rPr>
        <w:t xml:space="preserve">	248</w:t>
      </w:r>
    </w:p>
    <w:p>
      <w:pPr>
        <w:tabs>
          <w:tab w:val="right" w:pos="9638" w:leader="dot"/>
        </w:tabs>
        <w:spacing w:after="20"/>
        <w:ind w:left="300" w:right="0"/>
      </w:pPr>
      <w:r>
        <w:rPr>
          <w:rFonts w:ascii="Verdana" w:cs="Verdana" w:eastAsia="Verdana" w:hAnsi="Verdana"/>
          <w:sz w:val="19"/>
          <w:szCs w:val="19"/>
        </w:rPr>
        <w:t xml:space="preserve">222. Bill-to-ship-to sale (Chapter 54)</w:t>
      </w:r>
      <w:r>
        <w:rPr>
          <w:rFonts w:ascii="Verdana" w:cs="Verdana" w:eastAsia="Verdana" w:hAnsi="Verdana"/>
          <w:sz w:val="19"/>
          <w:szCs w:val="19"/>
        </w:rPr>
        <w:t xml:space="preserve">	248</w:t>
      </w:r>
    </w:p>
    <w:p>
      <w:pPr>
        <w:tabs>
          <w:tab w:val="right" w:pos="9638" w:leader="dot"/>
        </w:tabs>
        <w:spacing w:after="20"/>
        <w:ind w:left="300" w:right="0"/>
      </w:pPr>
      <w:r>
        <w:rPr>
          <w:rFonts w:ascii="Verdana" w:cs="Verdana" w:eastAsia="Verdana" w:hAnsi="Verdana"/>
          <w:sz w:val="19"/>
          <w:szCs w:val="19"/>
        </w:rPr>
        <w:t xml:space="preserve">223. Margin comparison for FY 2027-28 (Chapter 55)</w:t>
      </w:r>
      <w:r>
        <w:rPr>
          <w:rFonts w:ascii="Verdana" w:cs="Verdana" w:eastAsia="Verdana" w:hAnsi="Verdana"/>
          <w:sz w:val="19"/>
          <w:szCs w:val="19"/>
        </w:rPr>
        <w:t xml:space="preserve">	251</w:t>
      </w:r>
    </w:p>
    <w:p>
      <w:pPr>
        <w:tabs>
          <w:tab w:val="right" w:pos="9638" w:leader="dot"/>
        </w:tabs>
        <w:spacing w:after="20"/>
        <w:ind w:left="300" w:right="0"/>
      </w:pPr>
      <w:r>
        <w:rPr>
          <w:rFonts w:ascii="Verdana" w:cs="Verdana" w:eastAsia="Verdana" w:hAnsi="Verdana"/>
          <w:sz w:val="19"/>
          <w:szCs w:val="19"/>
        </w:rPr>
        <w:t xml:space="preserve">224. Interest working for the first option (Chapter 56)</w:t>
      </w:r>
      <w:r>
        <w:rPr>
          <w:rFonts w:ascii="Verdana" w:cs="Verdana" w:eastAsia="Verdana" w:hAnsi="Verdana"/>
          <w:sz w:val="19"/>
          <w:szCs w:val="19"/>
        </w:rPr>
        <w:t xml:space="preserve">	253</w:t>
      </w:r>
    </w:p>
    <w:p>
      <w:pPr>
        <w:tabs>
          <w:tab w:val="right" w:pos="9638" w:leader="dot"/>
        </w:tabs>
        <w:spacing w:after="20"/>
        <w:ind w:left="300" w:right="0"/>
      </w:pPr>
      <w:r>
        <w:rPr>
          <w:rFonts w:ascii="Verdana" w:cs="Verdana" w:eastAsia="Verdana" w:hAnsi="Verdana"/>
          <w:sz w:val="19"/>
          <w:szCs w:val="19"/>
        </w:rPr>
        <w:t xml:space="preserve">225. Appeal and pre-deposit (Chapter 56)</w:t>
      </w:r>
      <w:r>
        <w:rPr>
          <w:rFonts w:ascii="Verdana" w:cs="Verdana" w:eastAsia="Verdana" w:hAnsi="Verdana"/>
          <w:sz w:val="19"/>
          <w:szCs w:val="19"/>
        </w:rPr>
        <w:t xml:space="preserve">	254</w:t>
      </w:r>
    </w:p>
    <w:p>
      <w:pPr>
        <w:tabs>
          <w:tab w:val="right" w:pos="9638" w:leader="dot"/>
        </w:tabs>
        <w:spacing w:after="20"/>
        <w:ind w:left="300" w:right="0"/>
      </w:pPr>
      <w:r>
        <w:rPr>
          <w:rFonts w:ascii="Verdana" w:cs="Verdana" w:eastAsia="Verdana" w:hAnsi="Verdana"/>
          <w:sz w:val="19"/>
          <w:szCs w:val="19"/>
        </w:rPr>
        <w:t xml:space="preserve">226. Additional liability paid through DRC-03 (Chapter 57)</w:t>
      </w:r>
      <w:r>
        <w:rPr>
          <w:rFonts w:ascii="Verdana" w:cs="Verdana" w:eastAsia="Verdana" w:hAnsi="Verdana"/>
          <w:sz w:val="19"/>
          <w:szCs w:val="19"/>
        </w:rPr>
        <w:t xml:space="preserve">	256</w:t>
      </w:r>
    </w:p>
    <w:p>
      <w:pPr>
        <w:tabs>
          <w:tab w:val="right" w:pos="9638" w:leader="dot"/>
        </w:tabs>
        <w:spacing w:after="20"/>
        <w:ind w:left="300" w:right="0"/>
      </w:pPr>
      <w:r>
        <w:rPr>
          <w:rFonts w:ascii="Verdana" w:cs="Verdana" w:eastAsia="Verdana" w:hAnsi="Verdana"/>
          <w:sz w:val="19"/>
          <w:szCs w:val="19"/>
        </w:rPr>
        <w:t xml:space="preserve">227. Transfer of credit through ITC-02 (Chapter 58)</w:t>
      </w:r>
      <w:r>
        <w:rPr>
          <w:rFonts w:ascii="Verdana" w:cs="Verdana" w:eastAsia="Verdana" w:hAnsi="Verdana"/>
          <w:sz w:val="19"/>
          <w:szCs w:val="19"/>
        </w:rPr>
        <w:t xml:space="preserve">	259</w:t>
      </w:r>
    </w:p>
    <w:p>
      <w:pPr>
        <w:tabs>
          <w:tab w:val="right" w:pos="9638" w:leader="dot"/>
        </w:tabs>
        <w:spacing w:after="20"/>
        <w:ind w:left="300" w:right="0"/>
      </w:pPr>
      <w:r>
        <w:rPr>
          <w:rFonts w:ascii="Verdana" w:cs="Verdana" w:eastAsia="Verdana" w:hAnsi="Verdana"/>
          <w:sz w:val="19"/>
          <w:szCs w:val="19"/>
        </w:rPr>
        <w:t xml:space="preserve">228. Section 18(6) on the press sold separately (Chapter 58)</w:t>
      </w:r>
      <w:r>
        <w:rPr>
          <w:rFonts w:ascii="Verdana" w:cs="Verdana" w:eastAsia="Verdana" w:hAnsi="Verdana"/>
          <w:sz w:val="19"/>
          <w:szCs w:val="19"/>
        </w:rPr>
        <w:t xml:space="preserve">	259</w:t>
      </w:r>
    </w:p>
    <w:p>
      <w:pPr>
        <w:tabs>
          <w:tab w:val="right" w:pos="9638" w:leader="dot"/>
        </w:tabs>
        <w:spacing w:after="20"/>
        <w:ind w:left="300" w:right="0"/>
      </w:pPr>
      <w:r>
        <w:rPr>
          <w:rFonts w:ascii="Verdana" w:cs="Verdana" w:eastAsia="Verdana" w:hAnsi="Verdana"/>
          <w:sz w:val="19"/>
          <w:szCs w:val="19"/>
        </w:rPr>
        <w:t xml:space="preserve">229. Consultant under section 10(2A) (Chapter 59)</w:t>
      </w:r>
      <w:r>
        <w:rPr>
          <w:rFonts w:ascii="Verdana" w:cs="Verdana" w:eastAsia="Verdana" w:hAnsi="Verdana"/>
          <w:sz w:val="19"/>
          <w:szCs w:val="19"/>
        </w:rPr>
        <w:t xml:space="preserve">	262</w:t>
      </w:r>
    </w:p>
    <w:p>
      <w:pPr>
        <w:tabs>
          <w:tab w:val="right" w:pos="9638" w:leader="dot"/>
        </w:tabs>
        <w:spacing w:after="20"/>
        <w:ind w:left="300" w:right="0"/>
      </w:pPr>
      <w:r>
        <w:rPr>
          <w:rFonts w:ascii="Verdana" w:cs="Verdana" w:eastAsia="Verdana" w:hAnsi="Verdana"/>
          <w:sz w:val="19"/>
          <w:szCs w:val="19"/>
        </w:rPr>
        <w:t xml:space="preserve">230. Interest on late payment of tax (Chapter 59)</w:t>
      </w:r>
      <w:r>
        <w:rPr>
          <w:rFonts w:ascii="Verdana" w:cs="Verdana" w:eastAsia="Verdana" w:hAnsi="Verdana"/>
          <w:sz w:val="19"/>
          <w:szCs w:val="19"/>
        </w:rPr>
        <w:t xml:space="preserve">	301</w:t>
      </w:r>
    </w:p>
    <w:p>
      <w:pPr>
        <w:tabs>
          <w:tab w:val="right" w:pos="9638" w:leader="dot"/>
        </w:tabs>
        <w:spacing w:after="20"/>
        <w:ind w:left="300" w:right="0"/>
      </w:pPr>
      <w:r>
        <w:rPr>
          <w:rFonts w:ascii="Verdana" w:cs="Verdana" w:eastAsia="Verdana" w:hAnsi="Verdana"/>
          <w:sz w:val="19"/>
          <w:szCs w:val="19"/>
        </w:rPr>
        <w:t xml:space="preserve">231. Late fee on GSTR-3B (Chapter 59)</w:t>
      </w:r>
      <w:r>
        <w:rPr>
          <w:rFonts w:ascii="Verdana" w:cs="Verdana" w:eastAsia="Verdana" w:hAnsi="Verdana"/>
          <w:sz w:val="19"/>
          <w:szCs w:val="19"/>
        </w:rPr>
        <w:t xml:space="preserve">	302</w:t>
      </w:r>
    </w:p>
    <w:p>
      <w:pPr>
        <w:tabs>
          <w:tab w:val="right" w:pos="9638" w:leader="dot"/>
        </w:tabs>
        <w:spacing w:after="20"/>
        <w:ind w:left="300" w:right="0"/>
      </w:pPr>
      <w:r>
        <w:rPr>
          <w:rFonts w:ascii="Verdana" w:cs="Verdana" w:eastAsia="Verdana" w:hAnsi="Verdana"/>
          <w:sz w:val="19"/>
          <w:szCs w:val="19"/>
        </w:rPr>
        <w:t xml:space="preserve">232. Interest on ITC wrongly availed and utilised (Chapter 59)</w:t>
      </w:r>
      <w:r>
        <w:rPr>
          <w:rFonts w:ascii="Verdana" w:cs="Verdana" w:eastAsia="Verdana" w:hAnsi="Verdana"/>
          <w:sz w:val="19"/>
          <w:szCs w:val="19"/>
        </w:rPr>
        <w:t xml:space="preserve">	302</w:t>
      </w:r>
    </w:p>
    <w:p>
      <w:pPr>
        <w:tabs>
          <w:tab w:val="right" w:pos="9638" w:leader="dot"/>
        </w:tabs>
        <w:spacing w:after="20"/>
        <w:ind w:left="300" w:right="0"/>
      </w:pPr>
      <w:r>
        <w:rPr>
          <w:rFonts w:ascii="Verdana" w:cs="Verdana" w:eastAsia="Verdana" w:hAnsi="Verdana"/>
          <w:sz w:val="19"/>
          <w:szCs w:val="19"/>
        </w:rPr>
        <w:t xml:space="preserve">233. Late fee on GSTR-9 (Chapter 59)</w:t>
      </w:r>
      <w:r>
        <w:rPr>
          <w:rFonts w:ascii="Verdana" w:cs="Verdana" w:eastAsia="Verdana" w:hAnsi="Verdana"/>
          <w:sz w:val="19"/>
          <w:szCs w:val="19"/>
        </w:rPr>
        <w:t xml:space="preserve">	302</w:t>
      </w:r>
    </w:p>
    <w:p>
      <w:pPr>
        <w:tabs>
          <w:tab w:val="right" w:pos="9638" w:leader="dot"/>
        </w:tabs>
        <w:spacing w:after="20"/>
        <w:ind w:left="300" w:right="0"/>
      </w:pPr>
      <w:r>
        <w:rPr>
          <w:rFonts w:ascii="Verdana" w:cs="Verdana" w:eastAsia="Verdana" w:hAnsi="Verdana"/>
          <w:sz w:val="19"/>
          <w:szCs w:val="19"/>
        </w:rPr>
        <w:t xml:space="preserve">234. Penalty under section 74A (Chapter 59)</w:t>
      </w:r>
      <w:r>
        <w:rPr>
          <w:rFonts w:ascii="Verdana" w:cs="Verdana" w:eastAsia="Verdana" w:hAnsi="Verdana"/>
          <w:sz w:val="19"/>
          <w:szCs w:val="19"/>
        </w:rPr>
        <w:t xml:space="preserve">	302</w:t>
      </w:r>
    </w:p>
    <w:p>
      <w:pPr>
        <w:pStyle w:val="TocPart"/>
        <w:pageBreakBefore/>
        <w:shd w:fill="92400E" w:color="auto" w:val="clear"/>
        <w:spacing w:after="0" w:before="0"/>
        <w:ind w:left="0"/>
      </w:pPr>
      <w:r>
        <w:rPr>
          <w:rFonts w:ascii="Verdana" w:cs="Verdana" w:eastAsia="Verdana" w:hAnsi="Verdana"/>
          <w:b/>
          <w:bCs/>
          <w:color w:val="FFFFFF"/>
          <w:sz w:val="26"/>
          <w:szCs w:val="26"/>
        </w:rPr>
        <w:t xml:space="preserve">  PART A: FOUNDATIONS</w:t>
      </w:r>
    </w:p>
    <w:p>
      <w:pPr>
        <w:shd w:fill="F6E8D2" w:color="auto" w:val="clear"/>
        <w:spacing w:after="200"/>
      </w:pPr>
      <w:r>
        <w:rPr>
          <w:rFonts w:ascii="Verdana" w:cs="Verdana" w:eastAsia="Verdana" w:hAnsi="Verdana"/>
          <w:i/>
          <w:iCs/>
          <w:color w:val="92400E"/>
          <w:sz w:val="20"/>
          <w:szCs w:val="20"/>
        </w:rPr>
        <w:t xml:space="preserve">  Structure, Constitution, recent reforms and the vocabulary of GST</w:t>
      </w:r>
    </w:p>
    <w:p>
      <w:pPr>
        <w:spacing w:after="240" w:line="276"/>
        <w:jc w:val="both"/>
      </w:pPr>
      <w:r>
        <w:rPr>
          <w:rFonts w:ascii="Verdana" w:cs="Verdana" w:eastAsia="Verdana" w:hAnsi="Verdana"/>
          <w:i/>
          <w:iCs/>
          <w:color w:val="404040"/>
          <w:sz w:val="21"/>
          <w:szCs w:val="21"/>
        </w:rPr>
        <w:t xml:space="preserve">This Part lays the base for the rest of the guide. It explains why GST was introduced, how the Constitution divides the power to tax, how the law is made and read, what changed with GST 2.0 and the Finance Acts of 2025 and 2026, and the definitions that decide most questions of taxability.</w:t>
      </w:r>
    </w:p>
    <w:p>
      <w:pPr>
        <w:pStyle w:val="Heading1"/>
        <w:spacing w:after="200" w:before="120"/>
      </w:pPr>
      <w:r>
        <w:rPr>
          <w:rFonts w:ascii="Verdana" w:cs="Verdana" w:eastAsia="Verdana" w:hAnsi="Verdana"/>
        </w:rPr>
        <w:t xml:space="preserve">1. GST at a Glance</w:t>
      </w:r>
    </w:p>
    <w:p>
      <w:pPr>
        <w:spacing w:after="120" w:line="276"/>
        <w:jc w:val="both"/>
      </w:pPr>
      <w:r>
        <w:rPr>
          <w:rFonts w:ascii="Verdana" w:cs="Verdana" w:eastAsia="Verdana" w:hAnsi="Verdana"/>
        </w:rPr>
        <w:t xml:space="preserve">Goods and Services Tax (GST) is a tax on the supply of goods and services, collected in stages along the chain and borne in the end by the consumer. It came into force on 1 July 2017 and replaced a large set of Central and State indirect taxes. This chapter sets out why the change was made, how the dual structure works, how the credit chain removes tax on tax, what is still outside GST, and the main milestones up to 2026.</w:t>
      </w:r>
    </w:p>
    <w:p>
      <w:pPr>
        <w:pStyle w:val="Heading2"/>
        <w:keepNext/>
        <w:spacing w:after="120" w:before="240"/>
      </w:pPr>
      <w:r>
        <w:rPr>
          <w:rFonts w:ascii="Verdana" w:cs="Verdana" w:eastAsia="Verdana" w:hAnsi="Verdana"/>
        </w:rPr>
        <w:t xml:space="preserve">1.1 Why GST replaced the old indirect taxes</w:t>
      </w:r>
    </w:p>
    <w:p>
      <w:pPr>
        <w:spacing w:after="120" w:line="276"/>
        <w:jc w:val="both"/>
      </w:pPr>
      <w:r>
        <w:rPr>
          <w:rFonts w:ascii="Verdana" w:cs="Verdana" w:eastAsia="Verdana" w:hAnsi="Verdana"/>
        </w:rPr>
        <w:t xml:space="preserve">Before July 2017 a manufacturer in India dealt with central excise duty on manufacture, State VAT on intra-State sales, Central Sales Tax (CST) on inter-State sales, service tax on services, entry tax or octroi at State and city borders, and a number of State levies such as luxury tax and entertainment tax. Each tax had its own law, its own return and its own officers. Three problems followed from this.</w:t>
      </w:r>
    </w:p>
    <w:p>
      <w:pPr>
        <w:pStyle w:val="ListParagraph"/>
        <w:numPr>
          <w:ilvl w:val="0"/>
          <w:numId w:val="2"/>
        </w:numPr>
        <w:spacing w:after="60" w:line="264"/>
      </w:pPr>
      <w:r>
        <w:rPr>
          <w:rFonts w:ascii="Verdana" w:cs="Verdana" w:eastAsia="Verdana" w:hAnsi="Verdana"/>
          <w:b/>
          <w:bCs/>
        </w:rPr>
        <w:t xml:space="preserve">Cascading.</w:t>
      </w:r>
      <w:r>
        <w:rPr>
          <w:rFonts w:ascii="Verdana" w:cs="Verdana" w:eastAsia="Verdana" w:hAnsi="Verdana"/>
        </w:rPr>
        <w:t xml:space="preserve"> Credit did not flow across taxes. A trader could not set off excise duty or CST paid on purchases against his VAT. Service tax paid on rent or advertising could not be set off against VAT. The unrelieved tax became part of cost, and VAT was then charged on that cost, so tax was charged on tax.</w:t>
      </w:r>
    </w:p>
    <w:p>
      <w:pPr>
        <w:pStyle w:val="ListParagraph"/>
        <w:numPr>
          <w:ilvl w:val="0"/>
          <w:numId w:val="2"/>
        </w:numPr>
        <w:spacing w:after="60" w:line="264"/>
      </w:pPr>
      <w:r>
        <w:rPr>
          <w:rFonts w:ascii="Verdana" w:cs="Verdana" w:eastAsia="Verdana" w:hAnsi="Verdana"/>
          <w:b/>
          <w:bCs/>
        </w:rPr>
        <w:t xml:space="preserve">Multiple taxes and a fragmented market.</w:t>
      </w:r>
      <w:r>
        <w:rPr>
          <w:rFonts w:ascii="Verdana" w:cs="Verdana" w:eastAsia="Verdana" w:hAnsi="Verdana"/>
        </w:rPr>
        <w:t xml:space="preserve"> CST at 2% on inter-State sales was not creditable in the buyer's State, so businesses set up depots in each State only to avoid it. The same product was taxed at different rates in different States.</w:t>
      </w:r>
    </w:p>
    <w:p>
      <w:pPr>
        <w:pStyle w:val="ListParagraph"/>
        <w:numPr>
          <w:ilvl w:val="0"/>
          <w:numId w:val="2"/>
        </w:numPr>
        <w:spacing w:after="60" w:line="264"/>
      </w:pPr>
      <w:r>
        <w:rPr>
          <w:rFonts w:ascii="Verdana" w:cs="Verdana" w:eastAsia="Verdana" w:hAnsi="Verdana"/>
          <w:b/>
          <w:bCs/>
        </w:rPr>
        <w:t xml:space="preserve">Check posts.</w:t>
      </w:r>
      <w:r>
        <w:rPr>
          <w:rFonts w:ascii="Verdana" w:cs="Verdana" w:eastAsia="Verdana" w:hAnsi="Verdana"/>
        </w:rPr>
        <w:t xml:space="preserve"> Entry tax and State border checks held up trucks for hours. Logistics costs were high and delivery times were uncertain.</w:t>
      </w:r>
    </w:p>
    <w:p>
      <w:pPr>
        <w:spacing w:after="120" w:line="276"/>
        <w:jc w:val="both"/>
      </w:pPr>
      <w:r>
        <w:rPr>
          <w:rFonts w:ascii="Verdana" w:cs="Verdana" w:eastAsia="Verdana" w:hAnsi="Verdana"/>
        </w:rPr>
        <w:t xml:space="preserve">GST addresses each of these. It is one tax on supply with a common base, credit is allowed across goods and services, inter-State supplies carry a creditable tax (IGST), and entry tax and border check posts have gone. Movement of goods is tracked through the e-way bill system instead of physical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 Tax on tax under the old system</w:t>
            </w:r>
          </w:p>
          <w:p>
            <w:pPr>
              <w:spacing w:after="60" w:line="260"/>
            </w:pPr>
            <w:r>
              <w:rPr>
                <w:rFonts w:ascii="Verdana" w:cs="Verdana" w:eastAsia="Verdana" w:hAnsi="Verdana"/>
                <w:sz w:val="20"/>
                <w:szCs w:val="20"/>
              </w:rPr>
              <w:t xml:space="preserve">Patel Pumps, a manufacturer in Gujarat, sells a pump to a wholesaler in Rajasthan for Rs. 1,00,000 before GST. Excise duty is taken at 12.5% and CST at 2% for this example.</w:t>
            </w:r>
          </w:p>
          <w:p>
            <w:pPr>
              <w:spacing w:after="60" w:line="260"/>
            </w:pPr>
            <w:r>
              <w:rPr>
                <w:rFonts w:ascii="Verdana" w:cs="Verdana" w:eastAsia="Verdana" w:hAnsi="Verdana"/>
                <w:sz w:val="20"/>
                <w:szCs w:val="20"/>
              </w:rPr>
              <w:t xml:space="preserve">Step 1: Excise duty = 12.5% of Rs. 1,00,000 = Rs. 12,500. Value after excise = Rs. 1,12,500.</w:t>
            </w:r>
          </w:p>
          <w:p>
            <w:pPr>
              <w:spacing w:after="60" w:line="260"/>
            </w:pPr>
            <w:r>
              <w:rPr>
                <w:rFonts w:ascii="Verdana" w:cs="Verdana" w:eastAsia="Verdana" w:hAnsi="Verdana"/>
                <w:sz w:val="20"/>
                <w:szCs w:val="20"/>
              </w:rPr>
              <w:t xml:space="preserve">Step 2: CST at 2% on Rs. 1,12,500 = Rs. 2,250. Wholesaler pays Rs. 1,14,750. He cannot take credit of excise or CST against his Rajasthan VAT, so his cost is Rs. 1,14,750.</w:t>
            </w:r>
          </w:p>
          <w:p>
            <w:pPr>
              <w:spacing w:after="60" w:line="260"/>
            </w:pPr>
            <w:r>
              <w:rPr>
                <w:rFonts w:ascii="Verdana" w:cs="Verdana" w:eastAsia="Verdana" w:hAnsi="Verdana"/>
                <w:sz w:val="20"/>
                <w:szCs w:val="20"/>
              </w:rPr>
              <w:t xml:space="preserve">Step 3: Wholesaler sells to a retailer for Rs. 1,30,000 (margin Rs. 15,250) plus VAT at 5% = Rs. 6,500.</w:t>
            </w:r>
          </w:p>
          <w:p>
            <w:pPr>
              <w:spacing w:after="60" w:line="260"/>
            </w:pPr>
            <w:r>
              <w:rPr>
                <w:rFonts w:ascii="Verdana" w:cs="Verdana" w:eastAsia="Verdana" w:hAnsi="Verdana"/>
                <w:sz w:val="20"/>
                <w:szCs w:val="20"/>
              </w:rPr>
              <w:t xml:space="preserve">Step 4: Retailer sells to a consumer for Rs. 1,43,500 plus VAT at 5% = Rs. 7,175. He takes VAT credit of Rs. 6,500 and pays Rs. 675.</w:t>
            </w:r>
          </w:p>
          <w:p>
            <w:pPr>
              <w:spacing w:after="60" w:line="260"/>
            </w:pPr>
            <w:r>
              <w:rPr>
                <w:rFonts w:ascii="Verdana" w:cs="Verdana" w:eastAsia="Verdana" w:hAnsi="Verdana"/>
                <w:sz w:val="20"/>
                <w:szCs w:val="20"/>
              </w:rPr>
              <w:t xml:space="preserve">Result: Total tax collected = Rs. 12,500 + Rs. 2,250 + Rs. 6,500 + Rs. 675 = Rs. 21,925. Of the VAT charged at the wholesale stage, Rs. 737.50 (5% of the embedded excise and CST of Rs. 14,750) is tax charged on tax. This is the cascading effect GST was designed to remove.</w:t>
            </w:r>
          </w:p>
        </w:tc>
      </w:tr>
    </w:tbl>
    <w:p>
      <w:pPr>
        <w:spacing w:after="60"/>
      </w:pPr>
    </w:p>
    <w:p>
      <w:pPr>
        <w:pStyle w:val="Heading2"/>
        <w:keepNext/>
        <w:spacing w:after="120" w:before="240"/>
      </w:pPr>
      <w:r>
        <w:rPr>
          <w:rFonts w:ascii="Verdana" w:cs="Verdana" w:eastAsia="Verdana" w:hAnsi="Verdana"/>
        </w:rPr>
        <w:t xml:space="preserve">1.2 Dual GST: CGST, SGST, UTGST and IGST</w:t>
      </w:r>
    </w:p>
    <w:p>
      <w:pPr>
        <w:spacing w:after="120" w:line="276"/>
        <w:jc w:val="both"/>
      </w:pPr>
      <w:r>
        <w:rPr>
          <w:rFonts w:ascii="Verdana" w:cs="Verdana" w:eastAsia="Verdana" w:hAnsi="Verdana"/>
        </w:rPr>
        <w:t xml:space="preserve">India has a federal structure. Both the Centre and the States needed the power to tax the same transaction, so GST was designed as a dual tax. Every intra-State supply carries two taxes at the same time: Central tax (CGST) and State tax (SGST), or Union territory tax (UTGST) in a Union territory without a legislature. An inter-State supply and an import carry Integrated tax (IGST), levied and collected by the Centre and later shared with the destination State.</w:t>
      </w:r>
    </w:p>
    <w:p>
      <w:pPr>
        <w:spacing w:after="120" w:line="276"/>
        <w:jc w:val="both"/>
      </w:pPr>
      <w:r>
        <w:rPr>
          <w:rFonts w:ascii="Verdana" w:cs="Verdana" w:eastAsia="Verdana" w:hAnsi="Verdana"/>
        </w:rPr>
        <w:t xml:space="preserve">The laws are the Central Goods and Services Tax Act, 2017 (CGST Act), a separate SGST Act in each State, the Union Territory Goods and Services Tax Act, 2017, the Integrated Goods and Services Tax Act, 2017 (IGST Act), and the Goods and Services Tax (Compensation to States) Act, 2017. The CGST and SGST Acts are almost identical, and most provisions of the CGST Act apply to IGST through section 20 of the IGST Act. For that reason this guide refers to the CGST Act unless the point is specific to IGST.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 Which tax applies</w:t>
            </w:r>
          </w:p>
          <w:p>
            <w:pPr>
              <w:spacing w:after="60" w:line="260"/>
            </w:pPr>
            <w:r>
              <w:rPr>
                <w:rFonts w:ascii="Verdana" w:cs="Verdana" w:eastAsia="Verdana" w:hAnsi="Verdana"/>
                <w:sz w:val="20"/>
                <w:szCs w:val="20"/>
              </w:rPr>
              <w:t xml:space="preserve">Mehta and Co., registered in Ahmedabad, supplies goods taxable at 18% worth Rs. 50,000 in each of the following cases.</w:t>
            </w:r>
          </w:p>
          <w:p>
            <w:pPr>
              <w:spacing w:after="60" w:line="260"/>
            </w:pPr>
            <w:r>
              <w:rPr>
                <w:rFonts w:ascii="Verdana" w:cs="Verdana" w:eastAsia="Verdana" w:hAnsi="Verdana"/>
                <w:sz w:val="20"/>
                <w:szCs w:val="20"/>
              </w:rPr>
              <w:t xml:space="preserve">(a) To a buyer in Surat (Gujarat): intra-State. CGST 9% = Rs. 4,500 and SGST 9% = Rs. 4,500.</w:t>
            </w:r>
          </w:p>
          <w:p>
            <w:pPr>
              <w:spacing w:after="60" w:line="260"/>
            </w:pPr>
            <w:r>
              <w:rPr>
                <w:rFonts w:ascii="Verdana" w:cs="Verdana" w:eastAsia="Verdana" w:hAnsi="Verdana"/>
                <w:sz w:val="20"/>
                <w:szCs w:val="20"/>
              </w:rPr>
              <w:t xml:space="preserve">(b) To a buyer in Pune (Maharashtra): inter-State. IGST 18% = Rs. 9,000.</w:t>
            </w:r>
          </w:p>
          <w:p>
            <w:pPr>
              <w:spacing w:after="60" w:line="260"/>
            </w:pPr>
            <w:r>
              <w:rPr>
                <w:rFonts w:ascii="Verdana" w:cs="Verdana" w:eastAsia="Verdana" w:hAnsi="Verdana"/>
                <w:sz w:val="20"/>
                <w:szCs w:val="20"/>
              </w:rPr>
              <w:t xml:space="preserve">(c) From its registered branch in Chandigarh to a buyer in Chandigarh: intra-Union territory. CGST 9% = Rs. 4,500 and UTGST 9% = Rs. 4,500.</w:t>
            </w:r>
          </w:p>
          <w:p>
            <w:pPr>
              <w:spacing w:after="60" w:line="260"/>
            </w:pPr>
            <w:r>
              <w:rPr>
                <w:rFonts w:ascii="Verdana" w:cs="Verdana" w:eastAsia="Verdana" w:hAnsi="Verdana"/>
                <w:sz w:val="20"/>
                <w:szCs w:val="20"/>
              </w:rPr>
              <w:t xml:space="preserve">(d) Goods of the same value imported by Mehta and Co. from Japan: IGST at 18% collected by customs at the time of import, on the assessable value plus customs duties.</w:t>
            </w:r>
          </w:p>
          <w:p>
            <w:pPr>
              <w:spacing w:after="60" w:line="260"/>
            </w:pPr>
            <w:r>
              <w:rPr>
                <w:rFonts w:ascii="Verdana" w:cs="Verdana" w:eastAsia="Verdana" w:hAnsi="Verdana"/>
                <w:sz w:val="20"/>
                <w:szCs w:val="20"/>
              </w:rPr>
              <w:t xml:space="preserve">(e) To a buyer in Dubai under a Letter of Undertaking (LUT): export, a zero-rated supply. No tax is charged and ITC on inputs remains available (or refundable).</w:t>
            </w:r>
          </w:p>
        </w:tc>
      </w:tr>
    </w:tbl>
    <w:p>
      <w:pPr>
        <w:spacing w:after="60"/>
      </w:pPr>
    </w:p>
    <w:p>
      <w:pPr>
        <w:pStyle w:val="Heading2"/>
        <w:keepNext/>
        <w:spacing w:after="120" w:before="240"/>
      </w:pPr>
      <w:r>
        <w:rPr>
          <w:rFonts w:ascii="Verdana" w:cs="Verdana" w:eastAsia="Verdana" w:hAnsi="Verdana"/>
        </w:rPr>
        <w:t xml:space="preserve">1.3 A destination-based consumption tax</w:t>
      </w:r>
    </w:p>
    <w:p>
      <w:pPr>
        <w:spacing w:after="120" w:line="276"/>
        <w:jc w:val="both"/>
      </w:pPr>
      <w:r>
        <w:rPr>
          <w:rFonts w:ascii="Verdana" w:cs="Verdana" w:eastAsia="Verdana" w:hAnsi="Verdana"/>
        </w:rPr>
        <w:t xml:space="preserve">GST is a tax on consumption. The revenue is meant to go to the State where the goods or services are consumed, not the State where they are produced. This is achieved through IGST. When goods move from Gujarat to Maharashtra, IGST is charged. The Maharashtra buyer takes credit of that IGST and uses it to pay tax on his own sales in Maharashtra. Through the IGST settlement, the Centre transfers to Maharashtra the SGST share of the tax finally paid on consumption there. The place of supply rules in the IGST Act (covered in a later Part) decide which State is the destination.</w:t>
      </w:r>
    </w:p>
    <w:p>
      <w:pPr>
        <w:pStyle w:val="Heading2"/>
        <w:keepNext/>
        <w:spacing w:after="120" w:before="240"/>
      </w:pPr>
      <w:r>
        <w:rPr>
          <w:rFonts w:ascii="Verdana" w:cs="Verdana" w:eastAsia="Verdana" w:hAnsi="Verdana"/>
        </w:rPr>
        <w:t xml:space="preserve">1.4 How the credit chain works</w:t>
      </w:r>
    </w:p>
    <w:p>
      <w:pPr>
        <w:spacing w:after="120" w:line="276"/>
        <w:jc w:val="both"/>
      </w:pPr>
      <w:r>
        <w:rPr>
          <w:rFonts w:ascii="Verdana" w:cs="Verdana" w:eastAsia="Verdana" w:hAnsi="Verdana"/>
        </w:rPr>
        <w:t xml:space="preserve">Each registered person in the chain charges tax on the full value of his sale but pays to the Government only the difference between the tax charged (output tax) and the tax paid on his purchases (input tax credit or ITC). The Government therefore collects tax at each stage only on the value added at that stage. The consumer, who cannot take credit, bears the whole tax. The total collected equals the rate applied to the final price.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3: Credit chain from manufacturer to consumer</w:t>
            </w:r>
          </w:p>
          <w:p>
            <w:pPr>
              <w:spacing w:after="60" w:line="260"/>
            </w:pPr>
            <w:r>
              <w:rPr>
                <w:rFonts w:ascii="Verdana" w:cs="Verdana" w:eastAsia="Verdana" w:hAnsi="Verdana"/>
                <w:sz w:val="20"/>
                <w:szCs w:val="20"/>
              </w:rPr>
              <w:t xml:space="preserve">Sharma Textiles Pvt. Ltd., Ahmedabad, buys raw material for Rs. 60,000 plus GST at 18% (Rs. 10,800). It sells finished goods to a wholesaler in Ahmedabad for Rs. 1,00,000. The wholesaler sells to a retailer in Mumbai for Rs. 1,20,000. The retailer sells to a consumer in Mumbai for Rs. 1,50,000. All goods are taxed at 18%.</w:t>
            </w:r>
          </w:p>
          <w:p>
            <w:pPr>
              <w:spacing w:after="60" w:line="260"/>
            </w:pPr>
            <w:r>
              <w:rPr>
                <w:rFonts w:ascii="Verdana" w:cs="Verdana" w:eastAsia="Verdana" w:hAnsi="Verdana"/>
                <w:sz w:val="20"/>
                <w:szCs w:val="20"/>
              </w:rPr>
              <w:t xml:space="preserve">Step 1 (manufacturer): Output tax on Rs. 1,00,000 = CGST Rs. 9,000 + SGST Rs. 9,000 = Rs. 18,000. Less ITC Rs. 10,800. Net tax paid = Rs. 7,200.</w:t>
            </w:r>
          </w:p>
          <w:p>
            <w:pPr>
              <w:spacing w:after="60" w:line="260"/>
            </w:pPr>
            <w:r>
              <w:rPr>
                <w:rFonts w:ascii="Verdana" w:cs="Verdana" w:eastAsia="Verdana" w:hAnsi="Verdana"/>
                <w:sz w:val="20"/>
                <w:szCs w:val="20"/>
              </w:rPr>
              <w:t xml:space="preserve">Step 2 (wholesaler, inter-State sale): IGST on Rs. 1,20,000 = Rs. 21,600. ITC of CGST Rs. 9,000 and SGST Rs. 9,000 is used against IGST. Net tax paid = Rs. 3,600.</w:t>
            </w:r>
          </w:p>
          <w:p>
            <w:pPr>
              <w:spacing w:after="60" w:line="260"/>
            </w:pPr>
            <w:r>
              <w:rPr>
                <w:rFonts w:ascii="Verdana" w:cs="Verdana" w:eastAsia="Verdana" w:hAnsi="Verdana"/>
                <w:sz w:val="20"/>
                <w:szCs w:val="20"/>
              </w:rPr>
              <w:t xml:space="preserve">Step 3 (retailer, intra-State sale in Maharashtra): CGST Rs. 13,500 + SGST Rs. 13,500 = Rs. 27,000. ITC of IGST Rs. 21,600. Net tax paid = Rs. 5,400.</w:t>
            </w:r>
          </w:p>
          <w:p>
            <w:pPr>
              <w:spacing w:after="60" w:line="260"/>
            </w:pPr>
            <w:r>
              <w:rPr>
                <w:rFonts w:ascii="Verdana" w:cs="Verdana" w:eastAsia="Verdana" w:hAnsi="Verdana"/>
                <w:sz w:val="20"/>
                <w:szCs w:val="20"/>
              </w:rPr>
              <w:t xml:space="preserve">Step 4 (check): Total tax paid in the chain = Rs. 10,800 (raw material supplier) + Rs. 7,200 + Rs. 3,600 + Rs. 5,400 = Rs. 27,000, which is 18% of the final price of Rs. 1,50,000. The consumer bears Rs. 27,000. No tax is charged on tax, and Maharashtra, the consuming State, ends up with the State share.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The chain works only if every link is intact. If any supplier in the chain does not report the invoice or does not pay the tax, the next buyer's credit is at risk (section 16(2)(aa) and (c) of the CGST Act). Most GST disputes in practice are about a broken link, not about rates.</w:t>
            </w:r>
          </w:p>
        </w:tc>
      </w:tr>
    </w:tbl>
    <w:p>
      <w:pPr>
        <w:spacing w:after="60"/>
      </w:pPr>
    </w:p>
    <w:p>
      <w:pPr>
        <w:pStyle w:val="Heading2"/>
        <w:keepNext/>
        <w:spacing w:after="120" w:before="240"/>
      </w:pPr>
      <w:r>
        <w:rPr>
          <w:rFonts w:ascii="Verdana" w:cs="Verdana" w:eastAsia="Verdana" w:hAnsi="Verdana"/>
        </w:rPr>
        <w:t xml:space="preserve">1.5 Taxes subsumed in GST</w:t>
      </w:r>
    </w:p>
    <w:p>
      <w:pPr>
        <w:spacing w:after="120" w:line="276"/>
        <w:jc w:val="both"/>
      </w:pPr>
      <w:r>
        <w:rPr>
          <w:rFonts w:ascii="Verdana" w:cs="Verdana" w:eastAsia="Verdana" w:hAnsi="Verdana"/>
        </w:rPr>
        <w:t xml:space="preserve">The table lists the main taxes that GST replaced.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Central taxes subsumed</w:t>
            </w:r>
          </w:p>
        </w:tc>
        <w:tc>
          <w:tcPr>
            <w:tcW w:type="dxa" w:w="481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State taxes subsumed</w:t>
            </w:r>
          </w:p>
        </w:tc>
      </w:tr>
      <w:tr>
        <w:trPr>
          <w:cantSplit/>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Central excise duty and additional excise duties</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State VAT and sales tax</w:t>
            </w:r>
          </w:p>
        </w:tc>
      </w:tr>
      <w:tr>
        <w:trPr>
          <w:cantSplit/>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Excise duty under the Medicinal and Toilet Preparations Act</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Central Sales Tax (levied by the Centre, collected by States)</w:t>
            </w:r>
          </w:p>
        </w:tc>
      </w:tr>
      <w:tr>
        <w:trPr>
          <w:cantSplit/>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 tax</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Entertainment tax (other than that levied by local bodies)</w:t>
            </w:r>
          </w:p>
        </w:tc>
      </w:tr>
      <w:tr>
        <w:trPr>
          <w:cantSplit/>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Additional customs duty (CVD) and special additional duty (SAD)</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Entry tax (all forms) and octroi</w:t>
            </w:r>
          </w:p>
        </w:tc>
      </w:tr>
      <w:tr>
        <w:trPr>
          <w:cantSplit/>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Central surcharges and cesses relating to supply of goods and services</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Purchase tax, luxury tax, taxes on lottery, betting and gambling, taxes on advertisements, State cesses and surcharges on supply</w:t>
            </w:r>
          </w:p>
        </w:tc>
      </w:tr>
    </w:tbl>
    <w:p>
      <w:pPr>
        <w:spacing w:after="60"/>
      </w:pPr>
    </w:p>
    <w:p>
      <w:pPr>
        <w:spacing w:after="120" w:line="276"/>
        <w:jc w:val="both"/>
      </w:pPr>
      <w:r>
        <w:rPr>
          <w:rFonts w:ascii="Verdana" w:cs="Verdana" w:eastAsia="Verdana" w:hAnsi="Verdana"/>
        </w:rPr>
        <w:t xml:space="preserve">Basic customs duty on imports was not subsumed and continues under the Customs Act, 1962. Stamp duty, electricity duty, vehicle tax and property tax are also outside GST.</w:t>
      </w:r>
    </w:p>
    <w:p>
      <w:pPr>
        <w:pStyle w:val="Heading2"/>
        <w:keepNext/>
        <w:spacing w:after="120" w:before="240"/>
      </w:pPr>
      <w:r>
        <w:rPr>
          <w:rFonts w:ascii="Verdana" w:cs="Verdana" w:eastAsia="Verdana" w:hAnsi="Verdana"/>
        </w:rPr>
        <w:t xml:space="preserve">1.6 What remains outside GST</w:t>
      </w:r>
    </w:p>
    <w:p>
      <w:pPr>
        <w:spacing w:after="120" w:line="276"/>
        <w:jc w:val="both"/>
      </w:pPr>
      <w:r>
        <w:rPr>
          <w:rFonts w:ascii="Verdana" w:cs="Verdana" w:eastAsia="Verdana" w:hAnsi="Verdana"/>
        </w:rPr>
        <w:t xml:space="preserve">Three categories need attention because they affect credit and turnover calculations in almost every business.</w:t>
      </w:r>
    </w:p>
    <w:p>
      <w:pPr>
        <w:pStyle w:val="ListParagraph"/>
        <w:numPr>
          <w:ilvl w:val="0"/>
          <w:numId w:val="2"/>
        </w:numPr>
        <w:spacing w:after="60" w:line="264"/>
      </w:pPr>
      <w:r>
        <w:rPr>
          <w:rFonts w:ascii="Verdana" w:cs="Verdana" w:eastAsia="Verdana" w:hAnsi="Verdana"/>
          <w:b/>
          <w:bCs/>
        </w:rPr>
        <w:t xml:space="preserve">Alcoholic liquor for human consumption</w:t>
      </w:r>
      <w:r>
        <w:rPr>
          <w:rFonts w:ascii="Verdana" w:cs="Verdana" w:eastAsia="Verdana" w:hAnsi="Verdana"/>
        </w:rPr>
        <w:t xml:space="preserve"> is outside GST by the Constitution itself (Article 366(12A)). States levy excise duty and VAT on it.</w:t>
      </w:r>
    </w:p>
    <w:p>
      <w:pPr>
        <w:pStyle w:val="ListParagraph"/>
        <w:numPr>
          <w:ilvl w:val="0"/>
          <w:numId w:val="2"/>
        </w:numPr>
        <w:spacing w:after="60" w:line="264"/>
      </w:pPr>
      <w:r>
        <w:rPr>
          <w:rFonts w:ascii="Verdana" w:cs="Verdana" w:eastAsia="Verdana" w:hAnsi="Verdana"/>
          <w:b/>
          <w:bCs/>
        </w:rPr>
        <w:t xml:space="preserve">Five petroleum products</w:t>
      </w:r>
      <w:r>
        <w:rPr>
          <w:rFonts w:ascii="Verdana" w:cs="Verdana" w:eastAsia="Verdana" w:hAnsi="Verdana"/>
        </w:rPr>
        <w:t xml:space="preserve"> (petroleum crude, high speed diesel, motor spirit or petrol, natural gas and aviation turbine fuel) are within GST in law, but tax on them applies only from a date the GST Council recommends (section 9(2) of the CGST Act). No date has been recommended so far, so they continue under central excise and State VAT.</w:t>
      </w:r>
    </w:p>
    <w:p>
      <w:pPr>
        <w:pStyle w:val="ListParagraph"/>
        <w:numPr>
          <w:ilvl w:val="0"/>
          <w:numId w:val="2"/>
        </w:numPr>
        <w:spacing w:after="60" w:line="264"/>
      </w:pPr>
      <w:r>
        <w:rPr>
          <w:rFonts w:ascii="Verdana" w:cs="Verdana" w:eastAsia="Verdana" w:hAnsi="Verdana"/>
          <w:b/>
          <w:bCs/>
        </w:rPr>
        <w:t xml:space="preserve">Electricity</w:t>
      </w:r>
      <w:r>
        <w:rPr>
          <w:rFonts w:ascii="Verdana" w:cs="Verdana" w:eastAsia="Verdana" w:hAnsi="Verdana"/>
        </w:rPr>
        <w:t xml:space="preserve"> is exempt under GST and is subject to State electricity duty. Transmission and distribution of electricity by a distribution or transmission utility is also exempt.</w:t>
      </w:r>
    </w:p>
    <w:p>
      <w:pPr>
        <w:spacing w:after="120" w:line="276"/>
        <w:jc w:val="both"/>
      </w:pPr>
      <w:r>
        <w:rPr>
          <w:rFonts w:ascii="Verdana" w:cs="Verdana" w:eastAsia="Verdana" w:hAnsi="Verdana"/>
        </w:rPr>
        <w:t xml:space="preserve">Because these items are outside GST, the tax paid on buying diesel, petrol or electricity is a cost and cannot be taken as ITC. Supplies of these items are treated as non-taxable or exempt supplies and must be counted when ITC on common inputs is apportioned.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4: A bill with GST and non-GST items</w:t>
            </w:r>
          </w:p>
          <w:p>
            <w:pPr>
              <w:spacing w:after="60" w:line="260"/>
            </w:pPr>
            <w:r>
              <w:rPr>
                <w:rFonts w:ascii="Verdana" w:cs="Verdana" w:eastAsia="Verdana" w:hAnsi="Verdana"/>
                <w:sz w:val="20"/>
                <w:szCs w:val="20"/>
              </w:rPr>
              <w:t xml:space="preserve">A standalone restaurant with a bar in Pune (not in a hotel with room tariff above Rs. 7,500) raises one bill: food Rs. 4,000 and beer Rs. 3,000. The State VAT on liquor is assumed at 20% for this example.</w:t>
            </w:r>
          </w:p>
          <w:p>
            <w:pPr>
              <w:spacing w:after="60" w:line="260"/>
            </w:pPr>
            <w:r>
              <w:rPr>
                <w:rFonts w:ascii="Verdana" w:cs="Verdana" w:eastAsia="Verdana" w:hAnsi="Verdana"/>
                <w:sz w:val="20"/>
                <w:szCs w:val="20"/>
              </w:rPr>
              <w:t xml:space="preserve">Step 1: GST on food at 5% (restaurant service without ITC) = Rs. 200 (CGST Rs. 100 + SGST Rs. 100).</w:t>
            </w:r>
          </w:p>
          <w:p>
            <w:pPr>
              <w:spacing w:after="60" w:line="260"/>
            </w:pPr>
            <w:r>
              <w:rPr>
                <w:rFonts w:ascii="Verdana" w:cs="Verdana" w:eastAsia="Verdana" w:hAnsi="Verdana"/>
                <w:sz w:val="20"/>
                <w:szCs w:val="20"/>
              </w:rPr>
              <w:t xml:space="preserve">Step 2: Beer is alcoholic liquor for human consumption and outside GST. VAT under the State law at 20% = Rs. 600.</w:t>
            </w:r>
          </w:p>
          <w:p>
            <w:pPr>
              <w:spacing w:after="60" w:line="260"/>
            </w:pPr>
            <w:r>
              <w:rPr>
                <w:rFonts w:ascii="Verdana" w:cs="Verdana" w:eastAsia="Verdana" w:hAnsi="Verdana"/>
                <w:sz w:val="20"/>
                <w:szCs w:val="20"/>
              </w:rPr>
              <w:t xml:space="preserve">Step 3: Total bill = Rs. 4,000 + Rs. 200 + Rs. 3,000 + Rs. 600 = Rs. 7,800. The liquor sale of Rs. 3,000 is a non-taxable supply. It counts in aggregate turnover and is treated as exempt when common credit is apportioned.</w:t>
            </w:r>
          </w:p>
        </w:tc>
      </w:tr>
    </w:tbl>
    <w:p>
      <w:pPr>
        <w:spacing w:after="60"/>
      </w:pPr>
    </w:p>
    <w:p>
      <w:pPr>
        <w:pStyle w:val="Heading2"/>
        <w:keepNext/>
        <w:spacing w:after="120" w:before="240"/>
      </w:pPr>
      <w:r>
        <w:rPr>
          <w:rFonts w:ascii="Verdana" w:cs="Verdana" w:eastAsia="Verdana" w:hAnsi="Verdana"/>
        </w:rPr>
        <w:t xml:space="preserve">1.7 GSTN and the common portal</w:t>
      </w:r>
    </w:p>
    <w:p>
      <w:pPr>
        <w:spacing w:after="120" w:line="276"/>
        <w:jc w:val="both"/>
      </w:pPr>
      <w:r>
        <w:rPr>
          <w:rFonts w:ascii="Verdana" w:cs="Verdana" w:eastAsia="Verdana" w:hAnsi="Verdana"/>
        </w:rPr>
        <w:t xml:space="preserve">GST is administered almost entirely online. The Goods and Services Tax Network (GSTN), a not-for-profit company now owned by the Centre and the States, runs the common portal. Registration, returns, payment of tax, refunds, notices, replies and appeals are all handled on the portal, along with linked systems for e-invoicing (the Invoice Registration Portal), e-way bills and the Invoice Management System (IMS). Tax officers of the Centre and the States work on back-end systems linked to the same data. In practice, most compliance and most disputes start from a mismatch that the portal throws up.</w:t>
      </w:r>
    </w:p>
    <w:p>
      <w:pPr>
        <w:pStyle w:val="Heading2"/>
        <w:keepNext/>
        <w:spacing w:after="120" w:before="240"/>
      </w:pPr>
      <w:r>
        <w:rPr>
          <w:rFonts w:ascii="Verdana" w:cs="Verdana" w:eastAsia="Verdana" w:hAnsi="Verdana"/>
        </w:rPr>
        <w:t xml:space="preserve">1.8 Key milestones from 2017 to 2026</w:t>
      </w:r>
    </w:p>
    <w:p>
      <w:pPr>
        <w:spacing w:after="120" w:line="276"/>
        <w:jc w:val="both"/>
      </w:pPr>
      <w:r>
        <w:rPr>
          <w:rFonts w:ascii="Verdana" w:cs="Verdana" w:eastAsia="Verdana" w:hAnsi="Verdana"/>
        </w:rPr>
        <w:t xml:space="preserve">The table shows the main changes that a practitioner should keep in view when handling any year from 2017-18 onwards.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Date</w:t>
            </w:r>
          </w:p>
        </w:tc>
        <w:tc>
          <w:tcPr>
            <w:tcW w:type="dxa" w:w="722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Milestone</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July 2017</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 launched. Taxes listed above subsumed.</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April 2018</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E-way bill made mandatory for inter-State movement of goods; intra-State rolled out in phases by June 2018.</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2020</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GSTR-2B introduced as a monthly static statement of ITC available.</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October 2020</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E-invoicing begins for large taxpayers; threshold lowered in stages to aggregate turnover above Rs. 5 crore from 1 August 2023.</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January 2021</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QRMP scheme for small taxpayers; rule 86B cash payment rule.</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January 2022</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16(2)(aa): ITC allowed only if the invoice is reported by the supplier and appears in GSTR-2B.</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October 2023</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Online gaming, casinos and horse racing taxed on full face value; specified actionable claims introduced.</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July 2024</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GSTR-1A introduced to amend the current period's outward details before filing GSTR-3B.</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October 2024</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Invoice Management System (IMS) goes live.</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FY 2024-25 onwards</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74A governs demands in place of sections 73 and 74.</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April 2025</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ISD registration mandatory for distribution of common input services; no new anti-profiteering complaints accepted.</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July 2025 tax period</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GSTR-3B Table 3 liability hard locked; three-year bar on filing old returns enforced on the portal.</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22 September 2025</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 2.0 rate rationalisation (5%, 18% and 40%); compensation cess removed on goods other than tobacco.</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24 September 2025</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GSTAT e-filing of appeals begins.</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October 2025</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Most Finance Act, 2025 amendments come into force.</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February 2026</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Compensation cess ends on tobacco and pan masala; these move to 40% GST (bidis 18%).</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March 2026</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Finance Act, 2026 enacted; place of supply of intermediary services moves to location of recipient.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GST replaced central excise, service tax, VAT, CST, entry tax and several other levies, removing tax on tax and internal trade barriers.</w:t>
            </w:r>
          </w:p>
          <w:p>
            <w:pPr>
              <w:spacing w:after="60" w:line="260"/>
            </w:pPr>
            <w:r>
              <w:rPr>
                <w:rFonts w:ascii="Verdana" w:cs="Verdana" w:eastAsia="Verdana" w:hAnsi="Verdana"/>
                <w:sz w:val="20"/>
                <w:szCs w:val="20"/>
              </w:rPr>
              <w:t xml:space="preserve">•  It is a dual tax: CGST plus SGST (or UTGST) on intra-State supplies, and IGST on inter-State supplies and imports.</w:t>
            </w:r>
          </w:p>
          <w:p>
            <w:pPr>
              <w:spacing w:after="60" w:line="260"/>
            </w:pPr>
            <w:r>
              <w:rPr>
                <w:rFonts w:ascii="Verdana" w:cs="Verdana" w:eastAsia="Verdana" w:hAnsi="Verdana"/>
                <w:sz w:val="20"/>
                <w:szCs w:val="20"/>
              </w:rPr>
              <w:t xml:space="preserve">•  It is a destination-based consumption tax; the revenue follows consumption through the IGST settlement.</w:t>
            </w:r>
          </w:p>
          <w:p>
            <w:pPr>
              <w:spacing w:after="60" w:line="260"/>
            </w:pPr>
            <w:r>
              <w:rPr>
                <w:rFonts w:ascii="Verdana" w:cs="Verdana" w:eastAsia="Verdana" w:hAnsi="Verdana"/>
                <w:sz w:val="20"/>
                <w:szCs w:val="20"/>
              </w:rPr>
              <w:t xml:space="preserve">•  Each registered person pays tax only on value added, through the input tax credit chain; the chain breaks if a supplier defaults.</w:t>
            </w:r>
          </w:p>
          <w:p>
            <w:pPr>
              <w:spacing w:after="60" w:line="260"/>
            </w:pPr>
            <w:r>
              <w:rPr>
                <w:rFonts w:ascii="Verdana" w:cs="Verdana" w:eastAsia="Verdana" w:hAnsi="Verdana"/>
                <w:sz w:val="20"/>
                <w:szCs w:val="20"/>
              </w:rPr>
              <w:t xml:space="preserve">•  Alcohol for human consumption is outside GST; the five petroleum products are within the law but not yet taxed; electricity is exempt. Tax paid on these is a cost.</w:t>
            </w:r>
          </w:p>
          <w:p>
            <w:pPr>
              <w:spacing w:after="60" w:line="260"/>
            </w:pPr>
            <w:r>
              <w:rPr>
                <w:rFonts w:ascii="Verdana" w:cs="Verdana" w:eastAsia="Verdana" w:hAnsi="Verdana"/>
                <w:sz w:val="20"/>
                <w:szCs w:val="20"/>
              </w:rPr>
              <w:t xml:space="preserve">•  GSTN runs the common portal; almost all compliance and most disputes begin there.</w:t>
            </w:r>
          </w:p>
        </w:tc>
      </w:tr>
    </w:tbl>
    <w:p>
      <w:pPr>
        <w:pStyle w:val="Heading1"/>
        <w:pageBreakBefore/>
        <w:spacing w:after="200" w:before="0"/>
      </w:pPr>
      <w:r>
        <w:rPr>
          <w:rFonts w:ascii="Verdana" w:cs="Verdana" w:eastAsia="Verdana" w:hAnsi="Verdana"/>
        </w:rPr>
        <w:t xml:space="preserve">2. Constitutional Framework and the GST Council</w:t>
      </w:r>
    </w:p>
    <w:p>
      <w:pPr>
        <w:spacing w:after="120" w:line="276"/>
        <w:jc w:val="both"/>
      </w:pPr>
      <w:r>
        <w:rPr>
          <w:rFonts w:ascii="Verdana" w:cs="Verdana" w:eastAsia="Verdana" w:hAnsi="Verdana"/>
        </w:rPr>
        <w:t xml:space="preserve">GST needed a change in the Constitution because the old scheme divided taxing powers sharply: the Centre could tax manufacture and services, the States could tax sale of goods. Neither could tax the whole value of a supply. This chapter explains the constitutional provisions, the GST Council, and how a practitioner should read the law and the many instruments issued under it.</w:t>
      </w:r>
    </w:p>
    <w:p>
      <w:pPr>
        <w:pStyle w:val="Heading2"/>
        <w:keepNext/>
        <w:spacing w:after="120" w:before="240"/>
      </w:pPr>
      <w:r>
        <w:rPr>
          <w:rFonts w:ascii="Verdana" w:cs="Verdana" w:eastAsia="Verdana" w:hAnsi="Verdana"/>
        </w:rPr>
        <w:t xml:space="preserve">2.1 The 101st Constitutional Amendment</w:t>
      </w:r>
    </w:p>
    <w:p>
      <w:pPr>
        <w:spacing w:after="120" w:line="276"/>
        <w:jc w:val="both"/>
      </w:pPr>
      <w:r>
        <w:rPr>
          <w:rFonts w:ascii="Verdana" w:cs="Verdana" w:eastAsia="Verdana" w:hAnsi="Verdana"/>
        </w:rPr>
        <w:t xml:space="preserve">The Constitution (One Hundred and First Amendment) Act, 2016 inserted new Articles and amended the Seventh Schedule. The provisions a practitioner should know are these.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7430"/>
      </w:tblGrid>
      <w:tr>
        <w:trPr>
          <w:cantSplit/>
          <w:tblHeader/>
        </w:trPr>
        <w:tc>
          <w:tcPr>
            <w:tcW w:type="dxa" w:w="220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Article</w:t>
            </w:r>
          </w:p>
        </w:tc>
        <w:tc>
          <w:tcPr>
            <w:tcW w:type="dxa" w:w="743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What it provides</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Article 246A</w:t>
            </w:r>
          </w:p>
        </w:tc>
        <w:tc>
          <w:tcPr>
            <w:tcW w:type="dxa" w:w="7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Parliament and every State Legislature both have power to make laws on GST imposed by the Union or that State. Parliament alone can make laws on GST where the supply is in the course of inter-State trade or commerce.</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Article 269A</w:t>
            </w:r>
          </w:p>
        </w:tc>
        <w:tc>
          <w:tcPr>
            <w:tcW w:type="dxa" w:w="7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 on inter-State supplies (and on imports, which are deemed inter-State) is levied and collected by the Centre and apportioned between the Centre and the States as Parliament provides on the Council's recommendation.</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Article 279A</w:t>
            </w:r>
          </w:p>
        </w:tc>
        <w:tc>
          <w:tcPr>
            <w:tcW w:type="dxa" w:w="7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Constitutes the GST Council and lists the matters on which it makes recommendations.</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Article 366(12A)</w:t>
            </w:r>
          </w:p>
        </w:tc>
        <w:tc>
          <w:tcPr>
            <w:tcW w:type="dxa" w:w="7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Defines GST as any tax on supply of goods, or services or both, except tax on supply of alcoholic liquor for human consumption.</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Article 366(26A)</w:t>
            </w:r>
          </w:p>
        </w:tc>
        <w:tc>
          <w:tcPr>
            <w:tcW w:type="dxa" w:w="7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Defines services as anything other than goods.</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Article 286</w:t>
            </w:r>
          </w:p>
        </w:tc>
        <w:tc>
          <w:tcPr>
            <w:tcW w:type="dxa" w:w="7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State law may tax a supply that takes place outside the State or in the course of import into or export out of India. Parliament may lay down the principles for this.</w:t>
            </w:r>
          </w:p>
        </w:tc>
      </w:tr>
    </w:tbl>
    <w:p>
      <w:pPr>
        <w:spacing w:after="60"/>
      </w:pPr>
    </w:p>
    <w:p>
      <w:pPr>
        <w:spacing w:after="120" w:line="276"/>
        <w:jc w:val="both"/>
      </w:pPr>
      <w:r>
        <w:rPr>
          <w:rFonts w:ascii="Verdana" w:cs="Verdana" w:eastAsia="Verdana" w:hAnsi="Verdana"/>
        </w:rPr>
        <w:t xml:space="preserve">Two older provisions remain important. Article 265 says no tax shall be levied or collected except by authority of law. Every demand must therefore rest on a charging section read with a valid rate notification; a circular or FAQ cannot create a levy. Article 14 (equality) and Article 19(1)(g) (freedom of trade) are the usual grounds when a provision is challenged in a writ petition.</w:t>
      </w:r>
    </w:p>
    <w:p>
      <w:pPr>
        <w:spacing w:after="120" w:line="276"/>
        <w:jc w:val="both"/>
      </w:pPr>
      <w:r>
        <w:rPr>
          <w:rFonts w:ascii="Verdana" w:cs="Verdana" w:eastAsia="Verdana" w:hAnsi="Verdana"/>
        </w:rPr>
        <w:t xml:space="preserve">The Seventh Schedule was also changed. Central excise now covers only tobacco and the five petroleum products; State sales tax covers only the petroleum products and alcoholic liquor; and entertainment tax by States survives only to the extent levied by local bodies.</w:t>
      </w:r>
    </w:p>
    <w:p>
      <w:pPr>
        <w:pStyle w:val="Heading2"/>
        <w:keepNext/>
        <w:spacing w:after="120" w:before="240"/>
      </w:pPr>
      <w:r>
        <w:rPr>
          <w:rFonts w:ascii="Verdana" w:cs="Verdana" w:eastAsia="Verdana" w:hAnsi="Verdana"/>
        </w:rPr>
        <w:t xml:space="preserve">2.2 Compensation to States</w:t>
      </w:r>
    </w:p>
    <w:p>
      <w:pPr>
        <w:spacing w:after="120" w:line="276"/>
        <w:jc w:val="both"/>
      </w:pPr>
      <w:r>
        <w:rPr>
          <w:rFonts w:ascii="Verdana" w:cs="Verdana" w:eastAsia="Verdana" w:hAnsi="Verdana"/>
        </w:rPr>
        <w:t xml:space="preserve">States gave up VAT, entry tax and other levies and were worried about loss of revenue. Section 18 of the Amendment Act required Parliament to provide compensation for five years. The GST (Compensation to States) Act, 2017 guaranteed each State a 14% annual growth on its 2015-16 base revenue for five years ending 30 June 2022, funded by a compensation cess on luxury and demerit goods such as tobacco, pan masala, aerated drinks, coal and motor cars. Because collections fell short during the pandemic, the Centre borrowed and passed the funds to States, and the cess was continued beyond June 2022 to repay those loans. Under GST 2.0 the cess was removed on all goods other than tobacco from 22 September 2025, and it ended on tobacco and pan masala from 1 February 2026 (Chapter 3).</w:t>
      </w:r>
    </w:p>
    <w:p>
      <w:pPr>
        <w:pStyle w:val="Heading2"/>
        <w:keepNext/>
        <w:spacing w:after="120" w:before="240"/>
      </w:pPr>
      <w:r>
        <w:rPr>
          <w:rFonts w:ascii="Verdana" w:cs="Verdana" w:eastAsia="Verdana" w:hAnsi="Verdana"/>
        </w:rPr>
        <w:t xml:space="preserve">2.3 The GST Council</w:t>
      </w:r>
    </w:p>
    <w:p>
      <w:pPr>
        <w:spacing w:after="120" w:line="276"/>
        <w:jc w:val="both"/>
      </w:pPr>
      <w:r>
        <w:rPr>
          <w:rFonts w:ascii="Verdana" w:cs="Verdana" w:eastAsia="Verdana" w:hAnsi="Verdana"/>
        </w:rPr>
        <w:t xml:space="preserve">Article 279A sets up the GST Council as a joint forum of the Centre and the States. Its composition is:</w:t>
      </w:r>
    </w:p>
    <w:p>
      <w:pPr>
        <w:pStyle w:val="ListParagraph"/>
        <w:numPr>
          <w:ilvl w:val="0"/>
          <w:numId w:val="2"/>
        </w:numPr>
        <w:spacing w:after="60" w:line="264"/>
      </w:pPr>
      <w:r>
        <w:rPr>
          <w:rFonts w:ascii="Verdana" w:cs="Verdana" w:eastAsia="Verdana" w:hAnsi="Verdana"/>
        </w:rPr>
        <w:t xml:space="preserve">the Union Finance Minister, as Chairperson;</w:t>
      </w:r>
    </w:p>
    <w:p>
      <w:pPr>
        <w:pStyle w:val="ListParagraph"/>
        <w:numPr>
          <w:ilvl w:val="0"/>
          <w:numId w:val="2"/>
        </w:numPr>
        <w:spacing w:after="60" w:line="264"/>
      </w:pPr>
      <w:r>
        <w:rPr>
          <w:rFonts w:ascii="Verdana" w:cs="Verdana" w:eastAsia="Verdana" w:hAnsi="Verdana"/>
        </w:rPr>
        <w:t xml:space="preserve">the Union Minister of State in charge of Revenue or Finance; and</w:t>
      </w:r>
    </w:p>
    <w:p>
      <w:pPr>
        <w:pStyle w:val="ListParagraph"/>
        <w:numPr>
          <w:ilvl w:val="0"/>
          <w:numId w:val="2"/>
        </w:numPr>
        <w:spacing w:after="60" w:line="264"/>
      </w:pPr>
      <w:r>
        <w:rPr>
          <w:rFonts w:ascii="Verdana" w:cs="Verdana" w:eastAsia="Verdana" w:hAnsi="Verdana"/>
        </w:rPr>
        <w:t xml:space="preserve">the Minister in charge of Finance or Taxation, or any other Minister nominated, by each State Government (including the Union territories with a legislature).</w:t>
      </w:r>
    </w:p>
    <w:p>
      <w:pPr>
        <w:spacing w:after="120" w:line="276"/>
        <w:jc w:val="both"/>
      </w:pPr>
      <w:r>
        <w:rPr>
          <w:rFonts w:ascii="Verdana" w:cs="Verdana" w:eastAsia="Verdana" w:hAnsi="Verdana"/>
        </w:rPr>
        <w:t xml:space="preserve">The Council recommends on the taxes to be subsumed, goods and services to be exempted, model GST laws, principles of levy, apportionment of IGST and place of supply, the threshold for registration, rates including floor rates and bands, special rates for natural calamities, special provisions for certain States, and the date from which GST will apply to the petroleum products. Half of the members form the quorum.</w:t>
      </w:r>
    </w:p>
    <w:p>
      <w:pPr>
        <w:pStyle w:val="Heading3"/>
        <w:keepNext/>
        <w:spacing w:after="80" w:before="160"/>
      </w:pPr>
      <w:r>
        <w:rPr>
          <w:rFonts w:ascii="Verdana" w:cs="Verdana" w:eastAsia="Verdana" w:hAnsi="Verdana"/>
        </w:rPr>
        <w:t xml:space="preserve">Voting</w:t>
      </w:r>
    </w:p>
    <w:p>
      <w:pPr>
        <w:spacing w:after="120" w:line="276"/>
        <w:jc w:val="both"/>
      </w:pPr>
      <w:r>
        <w:rPr>
          <w:rFonts w:ascii="Verdana" w:cs="Verdana" w:eastAsia="Verdana" w:hAnsi="Verdana"/>
        </w:rPr>
        <w:t xml:space="preserve">Every decision is taken at a meeting by a majority of not less than three-fourths of the weighted votes of members present and voting. The vote of the Centre has a weight of one-third of the total votes cast, and the votes of all the States together have a weight of two-thirds. The result is that neither side can carry a proposal alone: the Centre needs the support of a large majority of the States, and the States together cannot pass a proposal against the Centre.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5: Weighted voting in the Council</w:t>
            </w:r>
          </w:p>
          <w:p>
            <w:pPr>
              <w:spacing w:after="60" w:line="260"/>
            </w:pPr>
            <w:r>
              <w:rPr>
                <w:rFonts w:ascii="Verdana" w:cs="Verdana" w:eastAsia="Verdana" w:hAnsi="Verdana"/>
                <w:sz w:val="20"/>
                <w:szCs w:val="20"/>
              </w:rPr>
              <w:t xml:space="preserve">Assume 31 States and Union territories with a legislature are present and voting, along with the Centre. Each State's weight = two-thirds divided by 31 = 2.1505% of the total.</w:t>
            </w:r>
          </w:p>
          <w:p>
            <w:pPr>
              <w:spacing w:after="60" w:line="260"/>
            </w:pPr>
            <w:r>
              <w:rPr>
                <w:rFonts w:ascii="Verdana" w:cs="Verdana" w:eastAsia="Verdana" w:hAnsi="Verdana"/>
                <w:sz w:val="20"/>
                <w:szCs w:val="20"/>
              </w:rPr>
              <w:t xml:space="preserve">Step 1: Centre plus 20 States vote in favour: 33.3333% + (20 x 2.1505%) = 76.34%. This is more than 75%, so the proposal is carried.</w:t>
            </w:r>
          </w:p>
          <w:p>
            <w:pPr>
              <w:spacing w:after="60" w:line="260"/>
            </w:pPr>
            <w:r>
              <w:rPr>
                <w:rFonts w:ascii="Verdana" w:cs="Verdana" w:eastAsia="Verdana" w:hAnsi="Verdana"/>
                <w:sz w:val="20"/>
                <w:szCs w:val="20"/>
              </w:rPr>
              <w:t xml:space="preserve">Step 2: Centre plus 19 States: 33.3333% + (19 x 2.1505%) = 74.19%. Less than 75%, so it fails.</w:t>
            </w:r>
          </w:p>
          <w:p>
            <w:pPr>
              <w:spacing w:after="60" w:line="260"/>
            </w:pPr>
            <w:r>
              <w:rPr>
                <w:rFonts w:ascii="Verdana" w:cs="Verdana" w:eastAsia="Verdana" w:hAnsi="Verdana"/>
                <w:sz w:val="20"/>
                <w:szCs w:val="20"/>
              </w:rPr>
              <w:t xml:space="preserve">Step 3: All 31 States without the Centre: 66.67%. Less than 75%, so it fails.</w:t>
            </w:r>
          </w:p>
          <w:p>
            <w:pPr>
              <w:spacing w:after="60" w:line="260"/>
            </w:pPr>
            <w:r>
              <w:rPr>
                <w:rFonts w:ascii="Verdana" w:cs="Verdana" w:eastAsia="Verdana" w:hAnsi="Verdana"/>
                <w:sz w:val="20"/>
                <w:szCs w:val="20"/>
              </w:rPr>
              <w:t xml:space="preserve">Result: The Centre in effect has a veto, and it needs at least 20 of the 31 States to carry a proposal. In practice almost all Council decisions have been taken by consensus.</w:t>
            </w:r>
          </w:p>
        </w:tc>
      </w:tr>
    </w:tbl>
    <w:p>
      <w:pPr>
        <w:spacing w:after="60"/>
      </w:pPr>
    </w:p>
    <w:p>
      <w:pPr>
        <w:pStyle w:val="Heading2"/>
        <w:keepNext/>
        <w:spacing w:after="120" w:before="240"/>
      </w:pPr>
      <w:r>
        <w:rPr>
          <w:rFonts w:ascii="Verdana" w:cs="Verdana" w:eastAsia="Verdana" w:hAnsi="Verdana"/>
        </w:rPr>
        <w:t xml:space="preserve">2.4 Are Council recommendations binding?</w:t>
      </w:r>
    </w:p>
    <w:p>
      <w:pPr>
        <w:spacing w:after="120" w:line="276"/>
        <w:jc w:val="both"/>
      </w:pPr>
      <w:r>
        <w:rPr>
          <w:rFonts w:ascii="Verdana" w:cs="Verdana" w:eastAsia="Verdana" w:hAnsi="Verdana"/>
        </w:rPr>
        <w:t xml:space="preserve">For some years it was assumed that a Council recommendation automatically bound Parliament and the State Legislatures. The Supreme Court settled the position in 2022.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Council recommendations are persuasive</w:t>
            </w:r>
          </w:p>
          <w:p>
            <w:pPr>
              <w:spacing w:after="60" w:line="260"/>
            </w:pPr>
            <w:r>
              <w:rPr>
                <w:rFonts w:ascii="Verdana" w:cs="Verdana" w:eastAsia="Verdana" w:hAnsi="Verdana"/>
                <w:b/>
                <w:bCs/>
                <w:sz w:val="20"/>
                <w:szCs w:val="20"/>
              </w:rPr>
              <w:t xml:space="preserve">Union of India v. Mohit Minerals (P) Ltd. (Supreme Court, 2022):</w:t>
            </w:r>
            <w:r>
              <w:rPr>
                <w:rFonts w:ascii="Verdana" w:cs="Verdana" w:eastAsia="Verdana" w:hAnsi="Verdana"/>
                <w:sz w:val="20"/>
                <w:szCs w:val="20"/>
              </w:rPr>
              <w:t xml:space="preserve"> The Court held that Article 246A gives Parliament and the State Legislatures simultaneous power to legislate on GST, and that recommendations of the GST Council are not binding on them. They have persuasive value and are the product of a collaborative dialogue; Indian federalism is described as cooperative as well as contested. The Council itself is not a body whose decisions override the legislature.</w:t>
            </w:r>
          </w:p>
          <w:p>
            <w:pPr>
              <w:spacing w:after="60" w:line="260"/>
            </w:pPr>
            <w:r>
              <w:rPr>
                <w:rFonts w:ascii="Verdana" w:cs="Verdana" w:eastAsia="Verdana" w:hAnsi="Verdana"/>
                <w:sz w:val="20"/>
                <w:szCs w:val="20"/>
              </w:rPr>
              <w:t xml:space="preserve">On the facts, the Court struck down the levy of IGST under reverse charge on ocean freight paid by the foreign seller in a CIF import. The importer already pays IGST on the CIF value, which includes freight. Taxing the freight again separately offends the composite supply principle in section 8 of the CGST Act.</w:t>
            </w:r>
          </w:p>
          <w:p>
            <w:pPr>
              <w:spacing w:after="60" w:line="260"/>
            </w:pPr>
            <w:r>
              <w:rPr>
                <w:rFonts w:ascii="Verdana" w:cs="Verdana" w:eastAsia="Verdana" w:hAnsi="Verdana"/>
                <w:b/>
                <w:bCs/>
                <w:sz w:val="20"/>
                <w:szCs w:val="20"/>
              </w:rPr>
              <w:t xml:space="preserve">Practical relevance:</w:t>
            </w:r>
            <w:r>
              <w:rPr>
                <w:rFonts w:ascii="Verdana" w:cs="Verdana" w:eastAsia="Verdana" w:hAnsi="Verdana"/>
                <w:sz w:val="20"/>
                <w:szCs w:val="20"/>
              </w:rPr>
              <w:t xml:space="preserve"> Recommendations become law only through the Acts, Rules and notifications. When advising a client, check the notification, not the press release of the Council meeting.</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6: Double tax struck down in Mohit Minerals</w:t>
            </w:r>
          </w:p>
          <w:p>
            <w:pPr>
              <w:spacing w:after="60" w:line="260"/>
            </w:pPr>
            <w:r>
              <w:rPr>
                <w:rFonts w:ascii="Verdana" w:cs="Verdana" w:eastAsia="Verdana" w:hAnsi="Verdana"/>
                <w:sz w:val="20"/>
                <w:szCs w:val="20"/>
              </w:rPr>
              <w:t xml:space="preserve">An importer in Gujarat imported coal on CIF terms. CIF value Rs. 1,00,00,000 included ocean freight of Rs. 6,00,000 paid by the foreign seller to a foreign shipping line. Basic customs duty 10% and social welfare surcharge 10% of that duty are assumed.</w:t>
            </w:r>
          </w:p>
          <w:p>
            <w:pPr>
              <w:spacing w:after="60" w:line="260"/>
            </w:pPr>
            <w:r>
              <w:rPr>
                <w:rFonts w:ascii="Verdana" w:cs="Verdana" w:eastAsia="Verdana" w:hAnsi="Verdana"/>
                <w:sz w:val="20"/>
                <w:szCs w:val="20"/>
              </w:rPr>
              <w:t xml:space="preserve">Step 1: Value for IGST at customs = Rs. 1,00,00,000 + Rs. 10,00,000 + Rs. 1,00,000 = Rs. 1,11,00,000. IGST at 5% (the rate then applicable to coal) = Rs. 5,55,000. This value already includes the freight element.</w:t>
            </w:r>
          </w:p>
          <w:p>
            <w:pPr>
              <w:spacing w:after="60" w:line="260"/>
            </w:pPr>
            <w:r>
              <w:rPr>
                <w:rFonts w:ascii="Verdana" w:cs="Verdana" w:eastAsia="Verdana" w:hAnsi="Verdana"/>
                <w:sz w:val="20"/>
                <w:szCs w:val="20"/>
              </w:rPr>
              <w:t xml:space="preserve">Step 2: The notifications also made the importer pay IGST at 5% under reverse charge on the freight: 5% of Rs. 6,00,000 = Rs. 30,000.</w:t>
            </w:r>
          </w:p>
          <w:p>
            <w:pPr>
              <w:spacing w:after="60" w:line="260"/>
            </w:pPr>
            <w:r>
              <w:rPr>
                <w:rFonts w:ascii="Verdana" w:cs="Verdana" w:eastAsia="Verdana" w:hAnsi="Verdana"/>
                <w:sz w:val="20"/>
                <w:szCs w:val="20"/>
              </w:rPr>
              <w:t xml:space="preserve">Result: The Supreme Court held that the second levy of Rs. 30,000 could not be collected. Importers who paid it can rely on the ruling in refund claims, subject to limitation.</w:t>
            </w:r>
          </w:p>
        </w:tc>
      </w:tr>
    </w:tbl>
    <w:p>
      <w:pPr>
        <w:spacing w:after="60"/>
      </w:pPr>
    </w:p>
    <w:p>
      <w:pPr>
        <w:pStyle w:val="Heading2"/>
        <w:keepNext/>
        <w:spacing w:after="120" w:before="240"/>
      </w:pPr>
      <w:r>
        <w:rPr>
          <w:rFonts w:ascii="Verdana" w:cs="Verdana" w:eastAsia="Verdana" w:hAnsi="Verdana"/>
        </w:rPr>
        <w:t xml:space="preserve">2.5 How GST law is made</w:t>
      </w:r>
    </w:p>
    <w:p>
      <w:pPr>
        <w:spacing w:after="120" w:line="276"/>
        <w:jc w:val="both"/>
      </w:pPr>
      <w:r>
        <w:rPr>
          <w:rFonts w:ascii="Verdana" w:cs="Verdana" w:eastAsia="Verdana" w:hAnsi="Verdana"/>
        </w:rPr>
        <w:t xml:space="preserve">GST law comes in layers. Each layer draws its power from the one above it and cannot go beyond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13"/>
        <w:gridCol w:w="3313"/>
        <w:gridCol w:w="3012"/>
      </w:tblGrid>
      <w:tr>
        <w:trPr>
          <w:cantSplit/>
          <w:tblHeader/>
        </w:trPr>
        <w:tc>
          <w:tcPr>
            <w:tcW w:type="dxa" w:w="331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Instrument</w:t>
            </w:r>
          </w:p>
        </w:tc>
        <w:tc>
          <w:tcPr>
            <w:tcW w:type="dxa" w:w="331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Made under</w:t>
            </w:r>
          </w:p>
        </w:tc>
        <w:tc>
          <w:tcPr>
            <w:tcW w:type="dxa" w:w="301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Binding on</w:t>
            </w:r>
          </w:p>
        </w:tc>
      </w:tr>
      <w:tr>
        <w:trPr>
          <w:cantSplit/>
        </w:trPr>
        <w:tc>
          <w:tcPr>
            <w:tcW w:type="dxa" w:w="3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Constitution</w:t>
            </w:r>
          </w:p>
        </w:tc>
        <w:tc>
          <w:tcPr>
            <w:tcW w:type="dxa" w:w="3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Parliament (amendment)</w:t>
            </w:r>
          </w:p>
        </w:tc>
        <w:tc>
          <w:tcPr>
            <w:tcW w:type="dxa" w:w="30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Everyone</w:t>
            </w:r>
          </w:p>
        </w:tc>
      </w:tr>
      <w:tr>
        <w:trPr>
          <w:cantSplit/>
        </w:trPr>
        <w:tc>
          <w:tcPr>
            <w:tcW w:type="dxa" w:w="3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CGST, IGST, UTGST, SGST Acts</w:t>
            </w:r>
          </w:p>
        </w:tc>
        <w:tc>
          <w:tcPr>
            <w:tcW w:type="dxa" w:w="3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Articles 246A and 269A</w:t>
            </w:r>
          </w:p>
        </w:tc>
        <w:tc>
          <w:tcPr>
            <w:tcW w:type="dxa" w:w="30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Everyone</w:t>
            </w:r>
          </w:p>
        </w:tc>
      </w:tr>
      <w:tr>
        <w:trPr>
          <w:cantSplit/>
        </w:trPr>
        <w:tc>
          <w:tcPr>
            <w:tcW w:type="dxa" w:w="3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CGST Rules, 2017 (and State rules)</w:t>
            </w:r>
          </w:p>
        </w:tc>
        <w:tc>
          <w:tcPr>
            <w:tcW w:type="dxa" w:w="3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164 of the CGST Act</w:t>
            </w:r>
          </w:p>
        </w:tc>
        <w:tc>
          <w:tcPr>
            <w:tcW w:type="dxa" w:w="30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Everyone, if within the Act</w:t>
            </w:r>
          </w:p>
        </w:tc>
      </w:tr>
      <w:tr>
        <w:trPr>
          <w:cantSplit/>
        </w:trPr>
        <w:tc>
          <w:tcPr>
            <w:tcW w:type="dxa" w:w="3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Notifications (rate, exemption, procedural)</w:t>
            </w:r>
          </w:p>
        </w:tc>
        <w:tc>
          <w:tcPr>
            <w:tcW w:type="dxa" w:w="3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9, 11, 148, 164 and others</w:t>
            </w:r>
          </w:p>
        </w:tc>
        <w:tc>
          <w:tcPr>
            <w:tcW w:type="dxa" w:w="30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Everyone, if within the Act</w:t>
            </w:r>
          </w:p>
        </w:tc>
      </w:tr>
      <w:tr>
        <w:trPr>
          <w:cantSplit/>
        </w:trPr>
        <w:tc>
          <w:tcPr>
            <w:tcW w:type="dxa" w:w="3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Circulars and instructions</w:t>
            </w:r>
          </w:p>
        </w:tc>
        <w:tc>
          <w:tcPr>
            <w:tcW w:type="dxa" w:w="3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168 of the CGST Act</w:t>
            </w:r>
          </w:p>
        </w:tc>
        <w:tc>
          <w:tcPr>
            <w:tcW w:type="dxa" w:w="30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Department only</w:t>
            </w:r>
          </w:p>
        </w:tc>
      </w:tr>
      <w:tr>
        <w:trPr>
          <w:cantSplit/>
        </w:trPr>
        <w:tc>
          <w:tcPr>
            <w:tcW w:type="dxa" w:w="3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Removal of difficulty orders</w:t>
            </w:r>
          </w:p>
        </w:tc>
        <w:tc>
          <w:tcPr>
            <w:tcW w:type="dxa" w:w="3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172 of the CGST Act</w:t>
            </w:r>
          </w:p>
        </w:tc>
        <w:tc>
          <w:tcPr>
            <w:tcW w:type="dxa" w:w="30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Everyone, if within the Act</w:t>
            </w:r>
          </w:p>
        </w:tc>
      </w:tr>
      <w:tr>
        <w:trPr>
          <w:cantSplit/>
        </w:trPr>
        <w:tc>
          <w:tcPr>
            <w:tcW w:type="dxa" w:w="3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FAQs, press releases, flyers</w:t>
            </w:r>
          </w:p>
        </w:tc>
        <w:tc>
          <w:tcPr>
            <w:tcW w:type="dxa" w:w="3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statutory force</w:t>
            </w:r>
          </w:p>
        </w:tc>
        <w:tc>
          <w:tcPr>
            <w:tcW w:type="dxa" w:w="30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one (guidance only)</w:t>
            </w:r>
          </w:p>
        </w:tc>
      </w:tr>
      <w:tr>
        <w:trPr>
          <w:cantSplit/>
        </w:trPr>
        <w:tc>
          <w:tcPr>
            <w:tcW w:type="dxa" w:w="3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Advance rulings</w:t>
            </w:r>
          </w:p>
        </w:tc>
        <w:tc>
          <w:tcPr>
            <w:tcW w:type="dxa" w:w="3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95 to 106 of the CGST Act</w:t>
            </w:r>
          </w:p>
        </w:tc>
        <w:tc>
          <w:tcPr>
            <w:tcW w:type="dxa" w:w="30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Applicant and its jurisdictional officer</w:t>
            </w:r>
          </w:p>
        </w:tc>
      </w:tr>
      <w:tr>
        <w:trPr>
          <w:cantSplit/>
        </w:trPr>
        <w:tc>
          <w:tcPr>
            <w:tcW w:type="dxa" w:w="3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Court judgments</w:t>
            </w:r>
          </w:p>
        </w:tc>
        <w:tc>
          <w:tcPr>
            <w:tcW w:type="dxa" w:w="3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Constitution</w:t>
            </w:r>
          </w:p>
        </w:tc>
        <w:tc>
          <w:tcPr>
            <w:tcW w:type="dxa" w:w="30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Supreme Court binds all; High Court within its State</w:t>
            </w:r>
          </w:p>
        </w:tc>
      </w:tr>
    </w:tbl>
    <w:p>
      <w:pPr>
        <w:spacing w:after="60"/>
      </w:pPr>
    </w:p>
    <w:p>
      <w:pPr>
        <w:pStyle w:val="Heading3"/>
        <w:keepNext/>
        <w:spacing w:after="80" w:before="160"/>
      </w:pPr>
      <w:r>
        <w:rPr>
          <w:rFonts w:ascii="Verdana" w:cs="Verdana" w:eastAsia="Verdana" w:hAnsi="Verdana"/>
        </w:rPr>
        <w:t xml:space="preserve">Notifications</w:t>
      </w:r>
    </w:p>
    <w:p>
      <w:pPr>
        <w:spacing w:after="120" w:line="276"/>
        <w:jc w:val="both"/>
      </w:pPr>
      <w:r>
        <w:rPr>
          <w:rFonts w:ascii="Verdana" w:cs="Verdana" w:eastAsia="Verdana" w:hAnsi="Verdana"/>
        </w:rPr>
        <w:t xml:space="preserve">Notifications are of three kinds. </w:t>
      </w:r>
      <w:r>
        <w:rPr>
          <w:rFonts w:ascii="Verdana" w:cs="Verdana" w:eastAsia="Verdana" w:hAnsi="Verdana"/>
          <w:b/>
          <w:bCs/>
        </w:rPr>
        <w:t xml:space="preserve">Rate notifications</w:t>
      </w:r>
      <w:r>
        <w:rPr>
          <w:rFonts w:ascii="Verdana" w:cs="Verdana" w:eastAsia="Verdana" w:hAnsi="Verdana"/>
        </w:rPr>
        <w:t xml:space="preserve"> prescribe the rate for goods and services. For CGST, goods were covered by Notification 1/2017-Central Tax (Rate) until 21 September 2025; from 22 September 2025 it was superseded by Notification 9/2025-Central Tax (Rate). Services remain under Notification 11/2017-Central Tax (Rate), amended many times, most recently for GST 2.0. </w:t>
      </w:r>
      <w:r>
        <w:rPr>
          <w:rFonts w:ascii="Verdana" w:cs="Verdana" w:eastAsia="Verdana" w:hAnsi="Verdana"/>
          <w:b/>
          <w:bCs/>
        </w:rPr>
        <w:t xml:space="preserve">Exemption notifications</w:t>
      </w:r>
      <w:r>
        <w:rPr>
          <w:rFonts w:ascii="Verdana" w:cs="Verdana" w:eastAsia="Verdana" w:hAnsi="Verdana"/>
        </w:rPr>
        <w:t xml:space="preserve"> exempt specified goods or services: for goods, Notification 2/2017-Central Tax (Rate), superseded from 22 September 2025 by Notification 10/2025-Central Tax (Rate); for services, Notification 12/2017-Central Tax (Rate), as amended. For a supply made before 22 September 2025, the 2017 goods notifications still decide the rate. </w:t>
      </w:r>
      <w:r>
        <w:rPr>
          <w:rFonts w:ascii="Verdana" w:cs="Verdana" w:eastAsia="Verdana" w:hAnsi="Verdana"/>
          <w:b/>
          <w:bCs/>
        </w:rPr>
        <w:t xml:space="preserve">Procedural notifications</w:t>
      </w:r>
      <w:r>
        <w:rPr>
          <w:rFonts w:ascii="Verdana" w:cs="Verdana" w:eastAsia="Verdana" w:hAnsi="Verdana"/>
        </w:rPr>
        <w:t xml:space="preserve"> (Central Tax series) appoint dates, extend due dates, prescribe forms and notify classes of persons. Each CGST notification has a matching SGST notification issued by each State and an IGST notification; a practitioner handling a State demand should check that the State notification exists and has the same effect.</w:t>
      </w:r>
    </w:p>
    <w:p>
      <w:pPr>
        <w:pStyle w:val="Heading3"/>
        <w:keepNext/>
        <w:spacing w:after="80" w:before="160"/>
      </w:pPr>
      <w:r>
        <w:rPr>
          <w:rFonts w:ascii="Verdana" w:cs="Verdana" w:eastAsia="Verdana" w:hAnsi="Verdana"/>
        </w:rPr>
        <w:t xml:space="preserve">Circulars</w:t>
      </w:r>
    </w:p>
    <w:p>
      <w:pPr>
        <w:spacing w:after="120" w:line="276"/>
        <w:jc w:val="both"/>
      </w:pPr>
      <w:r>
        <w:rPr>
          <w:rFonts w:ascii="Verdana" w:cs="Verdana" w:eastAsia="Verdana" w:hAnsi="Verdana"/>
        </w:rPr>
        <w:t xml:space="preserve">CBIC issues circulars under section 168 to ensure uniformity in implementation. A circular binds the officers, not the taxpayer or the courts. A beneficial circular can be relied on against the department even when the officer disagrees with it. A circular that is contrary to the Act has no legal effect.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Circulars bind the department</w:t>
            </w:r>
          </w:p>
          <w:p>
            <w:pPr>
              <w:spacing w:after="60" w:line="260"/>
            </w:pPr>
            <w:r>
              <w:rPr>
                <w:rFonts w:ascii="Verdana" w:cs="Verdana" w:eastAsia="Verdana" w:hAnsi="Verdana"/>
                <w:b/>
                <w:bCs/>
                <w:sz w:val="20"/>
                <w:szCs w:val="20"/>
              </w:rPr>
              <w:t xml:space="preserve">Commissioner of Central Excise v. Ratan Melting and Wire Industries (Supreme Court, 2008, Constitution Bench):</w:t>
            </w:r>
            <w:r>
              <w:rPr>
                <w:rFonts w:ascii="Verdana" w:cs="Verdana" w:eastAsia="Verdana" w:hAnsi="Verdana"/>
                <w:sz w:val="20"/>
                <w:szCs w:val="20"/>
              </w:rPr>
              <w:t xml:space="preserve"> Circulars and instructions issued by the Board are binding on the department, but not on the Court or the taxpayer. A circular contrary to a statutory provision has no existence in law, and the Court will declare the law as it reads.</w:t>
            </w:r>
          </w:p>
          <w:p>
            <w:pPr>
              <w:spacing w:after="60" w:line="260"/>
            </w:pPr>
            <w:r>
              <w:rPr>
                <w:rFonts w:ascii="Verdana" w:cs="Verdana" w:eastAsia="Verdana" w:hAnsi="Verdana"/>
                <w:b/>
                <w:bCs/>
                <w:sz w:val="20"/>
                <w:szCs w:val="20"/>
              </w:rPr>
              <w:t xml:space="preserve">Practical relevance under GST:</w:t>
            </w:r>
            <w:r>
              <w:rPr>
                <w:rFonts w:ascii="Verdana" w:cs="Verdana" w:eastAsia="Verdana" w:hAnsi="Verdana"/>
                <w:sz w:val="20"/>
                <w:szCs w:val="20"/>
              </w:rPr>
              <w:t xml:space="preserve"> When a show cause notice takes a view against a CBIC circular that favours the taxpayer, the reply should cite the circular and this ruling. When a circular is against the taxpayer, it can be challenged as contrary to the Act.</w:t>
            </w:r>
          </w:p>
        </w:tc>
      </w:tr>
    </w:tbl>
    <w:p>
      <w:pPr>
        <w:spacing w:after="60"/>
      </w:pPr>
    </w:p>
    <w:p>
      <w:pPr>
        <w:pStyle w:val="Heading3"/>
        <w:keepNext/>
        <w:spacing w:after="80" w:before="160"/>
      </w:pPr>
      <w:r>
        <w:rPr>
          <w:rFonts w:ascii="Verdana" w:cs="Verdana" w:eastAsia="Verdana" w:hAnsi="Verdana"/>
        </w:rPr>
        <w:t xml:space="preserve">Advance rulings</w:t>
      </w:r>
    </w:p>
    <w:p>
      <w:pPr>
        <w:spacing w:after="120" w:line="276"/>
        <w:jc w:val="both"/>
      </w:pPr>
      <w:r>
        <w:rPr>
          <w:rFonts w:ascii="Verdana" w:cs="Verdana" w:eastAsia="Verdana" w:hAnsi="Verdana"/>
        </w:rPr>
        <w:t xml:space="preserve">An advance ruling by the Authority for Advance Ruling (AAR) or the Appellate Authority (AAAR) binds only the applicant and the jurisdictional officer in respect of the applicant (section 103). Each GSTIN is a separate person, so a ruling obtained by a company's Gujarat registration does not bind the officers of its Maharashtra registration. Rulings in one State are often contrary to rulings in another. They show how officers think, but they are not precedents. Until the National Appellate Authority is set up, section 101A(1A), inserted by the Finance Act, 2026, allows an existing authority to hear appeals under section 101B.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7: Scope of an advance ruling</w:t>
            </w:r>
          </w:p>
          <w:p>
            <w:pPr>
              <w:spacing w:after="60" w:line="260"/>
            </w:pPr>
            <w:r>
              <w:rPr>
                <w:rFonts w:ascii="Verdana" w:cs="Verdana" w:eastAsia="Verdana" w:hAnsi="Verdana"/>
                <w:sz w:val="20"/>
                <w:szCs w:val="20"/>
              </w:rPr>
              <w:t xml:space="preserve">Kavya Foods Pvt. Ltd. has registrations in Gujarat and Maharashtra. The Gujarat registration obtained an advance ruling that its product is taxable at 5%. The Maharashtra registration sells the same product, with annual turnover of Rs. 2,00,00,000.</w:t>
            </w:r>
          </w:p>
          <w:p>
            <w:pPr>
              <w:spacing w:after="60" w:line="260"/>
            </w:pPr>
            <w:r>
              <w:rPr>
                <w:rFonts w:ascii="Verdana" w:cs="Verdana" w:eastAsia="Verdana" w:hAnsi="Verdana"/>
                <w:sz w:val="20"/>
                <w:szCs w:val="20"/>
              </w:rPr>
              <w:t xml:space="preserve">Step 1: The ruling binds only the Gujarat GSTIN and its officer. The Maharashtra officer may classify the product at 18%.</w:t>
            </w:r>
          </w:p>
          <w:p>
            <w:pPr>
              <w:spacing w:after="60" w:line="260"/>
            </w:pPr>
            <w:r>
              <w:rPr>
                <w:rFonts w:ascii="Verdana" w:cs="Verdana" w:eastAsia="Verdana" w:hAnsi="Verdana"/>
                <w:sz w:val="20"/>
                <w:szCs w:val="20"/>
              </w:rPr>
              <w:t xml:space="preserve">Step 2: Exposure in Maharashtra if 18% is upheld: 13% of Rs. 2,00,00,000 = Rs. 26,00,000 a year, plus interest.</w:t>
            </w:r>
          </w:p>
          <w:p>
            <w:pPr>
              <w:spacing w:after="60" w:line="260"/>
            </w:pPr>
            <w:r>
              <w:rPr>
                <w:rFonts w:ascii="Verdana" w:cs="Verdana" w:eastAsia="Verdana" w:hAnsi="Verdana"/>
                <w:sz w:val="20"/>
                <w:szCs w:val="20"/>
              </w:rPr>
              <w:t xml:space="preserve">Result: The Maharashtra registration should apply for its own ruling or keep a clear classification note and evidence, instead of relying on the Gujarat ruling.</w:t>
            </w:r>
          </w:p>
        </w:tc>
      </w:tr>
    </w:tbl>
    <w:p>
      <w:pPr>
        <w:spacing w:after="60"/>
      </w:pPr>
    </w:p>
    <w:p>
      <w:pPr>
        <w:pStyle w:val="Heading2"/>
        <w:keepNext/>
        <w:spacing w:after="120" w:before="240"/>
      </w:pPr>
      <w:r>
        <w:rPr>
          <w:rFonts w:ascii="Verdana" w:cs="Verdana" w:eastAsia="Verdana" w:hAnsi="Verdana"/>
        </w:rPr>
        <w:t xml:space="preserve">2.6 Sources to check and in what order</w:t>
      </w:r>
    </w:p>
    <w:p>
      <w:pPr>
        <w:spacing w:after="120" w:line="276"/>
        <w:jc w:val="both"/>
      </w:pPr>
      <w:r>
        <w:rPr>
          <w:rFonts w:ascii="Verdana" w:cs="Verdana" w:eastAsia="Verdana" w:hAnsi="Verdana"/>
        </w:rPr>
        <w:t xml:space="preserve">When a client asks whether a transaction is taxable and at what rate, the following order avoids most errors:</w:t>
      </w:r>
    </w:p>
    <w:p>
      <w:pPr>
        <w:pStyle w:val="ListParagraph"/>
        <w:numPr>
          <w:ilvl w:val="0"/>
          <w:numId w:val="2"/>
        </w:numPr>
        <w:spacing w:after="60" w:line="264"/>
      </w:pPr>
      <w:r>
        <w:rPr>
          <w:rFonts w:ascii="Verdana" w:cs="Verdana" w:eastAsia="Verdana" w:hAnsi="Verdana"/>
        </w:rPr>
        <w:t xml:space="preserve">the charging section and the relevant definition in the CGST or IGST Act, including Schedules I, II and III;</w:t>
      </w:r>
    </w:p>
    <w:p>
      <w:pPr>
        <w:pStyle w:val="ListParagraph"/>
        <w:numPr>
          <w:ilvl w:val="0"/>
          <w:numId w:val="2"/>
        </w:numPr>
        <w:spacing w:after="60" w:line="264"/>
      </w:pPr>
      <w:r>
        <w:rPr>
          <w:rFonts w:ascii="Verdana" w:cs="Verdana" w:eastAsia="Verdana" w:hAnsi="Verdana"/>
        </w:rPr>
        <w:t xml:space="preserve">the current rate notification and exemption notification, as amended up to date (for GST 2.0 changes, check the September 2025 amendments and any later corrigendum);</w:t>
      </w:r>
    </w:p>
    <w:p>
      <w:pPr>
        <w:pStyle w:val="ListParagraph"/>
        <w:numPr>
          <w:ilvl w:val="0"/>
          <w:numId w:val="2"/>
        </w:numPr>
        <w:spacing w:after="60" w:line="264"/>
      </w:pPr>
      <w:r>
        <w:rPr>
          <w:rFonts w:ascii="Verdana" w:cs="Verdana" w:eastAsia="Verdana" w:hAnsi="Verdana"/>
        </w:rPr>
        <w:t xml:space="preserve">the Rules, where valuation, time or procedure is in issue;</w:t>
      </w:r>
    </w:p>
    <w:p>
      <w:pPr>
        <w:pStyle w:val="ListParagraph"/>
        <w:numPr>
          <w:ilvl w:val="0"/>
          <w:numId w:val="2"/>
        </w:numPr>
        <w:spacing w:after="60" w:line="264"/>
      </w:pPr>
      <w:r>
        <w:rPr>
          <w:rFonts w:ascii="Verdana" w:cs="Verdana" w:eastAsia="Verdana" w:hAnsi="Verdana"/>
        </w:rPr>
        <w:t xml:space="preserve">CBIC circulars on the point, and whether any later circular has withdrawn or modified them;</w:t>
      </w:r>
    </w:p>
    <w:p>
      <w:pPr>
        <w:pStyle w:val="ListParagraph"/>
        <w:numPr>
          <w:ilvl w:val="0"/>
          <w:numId w:val="2"/>
        </w:numPr>
        <w:spacing w:after="60" w:line="264"/>
      </w:pPr>
      <w:r>
        <w:rPr>
          <w:rFonts w:ascii="Verdana" w:cs="Verdana" w:eastAsia="Verdana" w:hAnsi="Verdana"/>
        </w:rPr>
        <w:t xml:space="preserve">Supreme Court and jurisdictional High Court decisions, including pre-GST decisions where the principle carries over;</w:t>
      </w:r>
    </w:p>
    <w:p>
      <w:pPr>
        <w:pStyle w:val="ListParagraph"/>
        <w:numPr>
          <w:ilvl w:val="0"/>
          <w:numId w:val="2"/>
        </w:numPr>
        <w:spacing w:after="60" w:line="264"/>
      </w:pPr>
      <w:r>
        <w:rPr>
          <w:rFonts w:ascii="Verdana" w:cs="Verdana" w:eastAsia="Verdana" w:hAnsi="Verdana"/>
        </w:rPr>
        <w:t xml:space="preserve">advance rulings, FAQs and Council minutes, as guidance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Keep a dated copy of the notification and circular relied on in the client file. Rates and conditions change often, and a demand notice two or three years later will be judged by the law as it stood on the date of supply.</w:t>
            </w:r>
          </w:p>
        </w:tc>
      </w:tr>
    </w:tbl>
    <w:p>
      <w:pPr>
        <w:spacing w:after="60"/>
      </w:pPr>
    </w:p>
    <w:p>
      <w:pPr>
        <w:pStyle w:val="Heading2"/>
        <w:keepNext/>
        <w:spacing w:after="120" w:before="240"/>
      </w:pPr>
      <w:r>
        <w:rPr>
          <w:rFonts w:ascii="Verdana" w:cs="Verdana" w:eastAsia="Verdana" w:hAnsi="Verdana"/>
        </w:rPr>
        <w:t xml:space="preserve">2.7 Interpretation of taxing statutes</w:t>
      </w:r>
    </w:p>
    <w:p>
      <w:pPr>
        <w:spacing w:after="120" w:line="276"/>
        <w:jc w:val="both"/>
      </w:pPr>
      <w:r>
        <w:rPr>
          <w:rFonts w:ascii="Verdana" w:cs="Verdana" w:eastAsia="Verdana" w:hAnsi="Verdana"/>
        </w:rPr>
        <w:t xml:space="preserve">Courts read a charging provision strictly. There is no tax by implication: if a case does not clearly fall within the words of the charging section, no tax arises, and a doubt in the charge goes in favour of the taxpayer. Exemptions are read differently. A person claiming an exemption must show that he clearly falls within it, and a doubt in an exemption goes in favour of the revenue. Procedural provisions are read more liberally so that substantive benefits are not lost over technical lapses. Definitions in the Act apply unless the context requires otherwise; where a term is not defined, the meaning in common or commercial usage is taken.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Exemptions are construed strictly</w:t>
            </w:r>
          </w:p>
          <w:p>
            <w:pPr>
              <w:spacing w:after="60" w:line="260"/>
            </w:pPr>
            <w:r>
              <w:rPr>
                <w:rFonts w:ascii="Verdana" w:cs="Verdana" w:eastAsia="Verdana" w:hAnsi="Verdana"/>
                <w:b/>
                <w:bCs/>
                <w:sz w:val="20"/>
                <w:szCs w:val="20"/>
              </w:rPr>
              <w:t xml:space="preserve">Commissioner of Customs v. Dilip Kumar and Co. (Supreme Court, 2018, Constitution Bench):</w:t>
            </w:r>
            <w:r>
              <w:rPr>
                <w:rFonts w:ascii="Verdana" w:cs="Verdana" w:eastAsia="Verdana" w:hAnsi="Verdana"/>
                <w:sz w:val="20"/>
                <w:szCs w:val="20"/>
              </w:rPr>
              <w:t xml:space="preserve"> An exemption notification must be interpreted strictly. The burden of proving that a case falls within the exemption is on the person claiming it, and where there is ambiguity in an exemption notification, the benefit goes to the revenue. The contrary view in the earlier Sun Export case was overruled.</w:t>
            </w:r>
          </w:p>
          <w:p>
            <w:pPr>
              <w:spacing w:after="60" w:line="260"/>
            </w:pPr>
            <w:r>
              <w:rPr>
                <w:rFonts w:ascii="Verdana" w:cs="Verdana" w:eastAsia="Verdana" w:hAnsi="Verdana"/>
                <w:b/>
                <w:bCs/>
                <w:sz w:val="20"/>
                <w:szCs w:val="20"/>
              </w:rPr>
              <w:t xml:space="preserve">Practical relevance under GST:</w:t>
            </w:r>
            <w:r>
              <w:rPr>
                <w:rFonts w:ascii="Verdana" w:cs="Verdana" w:eastAsia="Verdana" w:hAnsi="Verdana"/>
                <w:sz w:val="20"/>
                <w:szCs w:val="20"/>
              </w:rPr>
              <w:t xml:space="preserve"> Claims under the exemption notifications (for example, health care, education or charitable activities) should be supported by evidence of each condition. A reasonable but uncertain reading of an exemption will not be accepted merely because another view is possible.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The 101st Amendment gave the Centre and the States simultaneous power to tax supply (Article 246A); inter-State supplies and imports are taxed by the Centre as IGST (Article 269A).</w:t>
            </w:r>
          </w:p>
          <w:p>
            <w:pPr>
              <w:spacing w:after="60" w:line="260"/>
            </w:pPr>
            <w:r>
              <w:rPr>
                <w:rFonts w:ascii="Verdana" w:cs="Verdana" w:eastAsia="Verdana" w:hAnsi="Verdana"/>
                <w:sz w:val="20"/>
                <w:szCs w:val="20"/>
              </w:rPr>
              <w:t xml:space="preserve">•  GST excludes alcohol for human consumption by definition (Article 366(12A)); services are anything other than goods (Article 366(26A)).</w:t>
            </w:r>
          </w:p>
          <w:p>
            <w:pPr>
              <w:spacing w:after="60" w:line="260"/>
            </w:pPr>
            <w:r>
              <w:rPr>
                <w:rFonts w:ascii="Verdana" w:cs="Verdana" w:eastAsia="Verdana" w:hAnsi="Verdana"/>
                <w:sz w:val="20"/>
                <w:szCs w:val="20"/>
              </w:rPr>
              <w:t xml:space="preserve">•  The GST Council decides by three-fourths of weighted votes; the Centre has one-third weight and the States two-thirds.</w:t>
            </w:r>
          </w:p>
          <w:p>
            <w:pPr>
              <w:spacing w:after="60" w:line="260"/>
            </w:pPr>
            <w:r>
              <w:rPr>
                <w:rFonts w:ascii="Verdana" w:cs="Verdana" w:eastAsia="Verdana" w:hAnsi="Verdana"/>
                <w:sz w:val="20"/>
                <w:szCs w:val="20"/>
              </w:rPr>
              <w:t xml:space="preserve">•  Council recommendations are persuasive, not binding (Mohit Minerals); they take effect only through Acts, Rules and notifications.</w:t>
            </w:r>
          </w:p>
          <w:p>
            <w:pPr>
              <w:spacing w:after="60" w:line="260"/>
            </w:pPr>
            <w:r>
              <w:rPr>
                <w:rFonts w:ascii="Verdana" w:cs="Verdana" w:eastAsia="Verdana" w:hAnsi="Verdana"/>
                <w:sz w:val="20"/>
                <w:szCs w:val="20"/>
              </w:rPr>
              <w:t xml:space="preserve">•  Circulars bind the department only; advance rulings bind only the applicant GSTIN and its officer.</w:t>
            </w:r>
          </w:p>
          <w:p>
            <w:pPr>
              <w:spacing w:after="60" w:line="260"/>
            </w:pPr>
            <w:r>
              <w:rPr>
                <w:rFonts w:ascii="Verdana" w:cs="Verdana" w:eastAsia="Verdana" w:hAnsi="Verdana"/>
                <w:sz w:val="20"/>
                <w:szCs w:val="20"/>
              </w:rPr>
              <w:t xml:space="preserve">•  Charging provisions are read strictly in favour of the taxpayer; exemptions are read strictly against the claimant (Dilip Kumar).</w:t>
            </w:r>
          </w:p>
        </w:tc>
      </w:tr>
    </w:tbl>
    <w:p>
      <w:pPr>
        <w:pStyle w:val="Heading1"/>
        <w:pageBreakBefore/>
        <w:spacing w:after="200" w:before="0"/>
      </w:pPr>
      <w:r>
        <w:rPr>
          <w:rFonts w:ascii="Verdana" w:cs="Verdana" w:eastAsia="Verdana" w:hAnsi="Verdana"/>
        </w:rPr>
        <w:t xml:space="preserve">3. GST 2.0 and Recent Reforms (2025 to 2026)</w:t>
      </w:r>
    </w:p>
    <w:p>
      <w:pPr>
        <w:spacing w:after="120" w:line="276"/>
        <w:jc w:val="both"/>
      </w:pPr>
      <w:r>
        <w:rPr>
          <w:rFonts w:ascii="Verdana" w:cs="Verdana" w:eastAsia="Verdana" w:hAnsi="Verdana"/>
        </w:rPr>
        <w:t xml:space="preserve">The period from 2024 to 2026 brought the largest set of changes since 2017. The rate structure was rewritten, compensation cess came to an end, the returns system moved to tighter matching, and the appellate tribunal finally started work. This chapter summarises these changes. Later chapters deal with each area in detail.</w:t>
      </w:r>
    </w:p>
    <w:p>
      <w:pPr>
        <w:pStyle w:val="Heading2"/>
        <w:keepNext/>
        <w:spacing w:after="120" w:before="240"/>
      </w:pPr>
      <w:r>
        <w:rPr>
          <w:rFonts w:ascii="Verdana" w:cs="Verdana" w:eastAsia="Verdana" w:hAnsi="Verdana"/>
        </w:rPr>
        <w:t xml:space="preserve">3.1 The rate rationalisation of 22 September 2025</w:t>
      </w:r>
    </w:p>
    <w:p>
      <w:pPr>
        <w:spacing w:after="120" w:line="276"/>
        <w:jc w:val="both"/>
      </w:pPr>
      <w:r>
        <w:rPr>
          <w:rFonts w:ascii="Verdana" w:cs="Verdana" w:eastAsia="Verdana" w:hAnsi="Verdana"/>
        </w:rPr>
        <w:t xml:space="preserve">The 56th meeting of the GST Council on 3 September 2025 recommended what is commonly called GST 2.0. The changes took effect from 22 September 2025. The four-slab structure of 5%, 12%, 18% and 28% gave way to two main rates: 5% (merit rate) and 18% (standard rate), with a 40% rate for a small list of demerit and luxury goods and services. Most items at 12% moved to 5%, and most items at 28% moved to 18%. Special rates continue: nil, 0.25% for rough precious stones, 1.5% for cut and polished diamonds, 3% for gold, silver and jewellery, 0.1% for supplies to merchant exporters, and 1% and 5% for residential real estate.</w:t>
      </w:r>
    </w:p>
    <w:p>
      <w:pPr>
        <w:spacing w:after="120" w:line="276"/>
        <w:jc w:val="both"/>
      </w:pPr>
      <w:r>
        <w:rPr>
          <w:rFonts w:ascii="Verdana" w:cs="Verdana" w:eastAsia="Verdana" w:hAnsi="Verdana"/>
        </w:rPr>
        <w:t xml:space="preserve">The table shows the main movements for goods.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9"/>
        <w:gridCol w:w="2208"/>
        <w:gridCol w:w="2411"/>
      </w:tblGrid>
      <w:tr>
        <w:trPr>
          <w:cantSplit/>
          <w:tblHeader/>
        </w:trPr>
        <w:tc>
          <w:tcPr>
            <w:tcW w:type="dxa" w:w="501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Goods</w:t>
            </w:r>
          </w:p>
        </w:tc>
        <w:tc>
          <w:tcPr>
            <w:tcW w:type="dxa" w:w="220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Earlier rate</w:t>
            </w:r>
          </w:p>
        </w:tc>
        <w:tc>
          <w:tcPr>
            <w:tcW w:type="dxa" w:w="241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From 22 September 2025</w:t>
            </w:r>
          </w:p>
        </w:tc>
      </w:tr>
      <w:tr>
        <w:trPr>
          <w:cantSplit/>
        </w:trPr>
        <w:tc>
          <w:tcPr>
            <w:tcW w:type="dxa" w:w="50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UHT milk, pre-packaged paneer, Indian breads (chapati, roti, paratha)</w:t>
            </w:r>
          </w:p>
        </w:tc>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 or 18%</w:t>
            </w:r>
          </w:p>
        </w:tc>
        <w:tc>
          <w:tcPr>
            <w:tcW w:type="dxa" w:w="24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w:t>
            </w:r>
          </w:p>
        </w:tc>
      </w:tr>
      <w:tr>
        <w:trPr>
          <w:cantSplit/>
        </w:trPr>
        <w:tc>
          <w:tcPr>
            <w:tcW w:type="dxa" w:w="50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33 life-saving drugs</w:t>
            </w:r>
          </w:p>
        </w:tc>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 (some 5%)</w:t>
            </w:r>
          </w:p>
        </w:tc>
        <w:tc>
          <w:tcPr>
            <w:tcW w:type="dxa" w:w="24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w:t>
            </w:r>
          </w:p>
        </w:tc>
      </w:tr>
      <w:tr>
        <w:trPr>
          <w:cantSplit/>
        </w:trPr>
        <w:tc>
          <w:tcPr>
            <w:tcW w:type="dxa" w:w="50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Hair oil, soap, toothpaste and similar toiletries</w:t>
            </w:r>
          </w:p>
        </w:tc>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w:t>
            </w:r>
          </w:p>
        </w:tc>
        <w:tc>
          <w:tcPr>
            <w:tcW w:type="dxa" w:w="24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r>
      <w:tr>
        <w:trPr>
          <w:cantSplit/>
        </w:trPr>
        <w:tc>
          <w:tcPr>
            <w:tcW w:type="dxa" w:w="50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Many packaged foods (namkeen, butter, ghee, sauces and similar)</w:t>
            </w:r>
          </w:p>
        </w:tc>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 or 18%</w:t>
            </w:r>
          </w:p>
        </w:tc>
        <w:tc>
          <w:tcPr>
            <w:tcW w:type="dxa" w:w="24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r>
      <w:tr>
        <w:trPr>
          <w:cantSplit/>
        </w:trPr>
        <w:tc>
          <w:tcPr>
            <w:tcW w:type="dxa" w:w="50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Bicycles, tractors and farm machinery, solar devices</w:t>
            </w:r>
          </w:p>
        </w:tc>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w:t>
            </w:r>
          </w:p>
        </w:tc>
        <w:tc>
          <w:tcPr>
            <w:tcW w:type="dxa" w:w="24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r>
      <w:tr>
        <w:trPr>
          <w:cantSplit/>
        </w:trPr>
        <w:tc>
          <w:tcPr>
            <w:tcW w:type="dxa" w:w="50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Man-made fibre and man-made yarn</w:t>
            </w:r>
          </w:p>
        </w:tc>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 and 12%</w:t>
            </w:r>
          </w:p>
        </w:tc>
        <w:tc>
          <w:tcPr>
            <w:tcW w:type="dxa" w:w="24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r>
      <w:tr>
        <w:trPr>
          <w:cantSplit/>
        </w:trPr>
        <w:tc>
          <w:tcPr>
            <w:tcW w:type="dxa" w:w="50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Cement, air conditioners, televisions</w:t>
            </w:r>
          </w:p>
        </w:tc>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28%</w:t>
            </w:r>
          </w:p>
        </w:tc>
        <w:tc>
          <w:tcPr>
            <w:tcW w:type="dxa" w:w="24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w:t>
            </w:r>
          </w:p>
        </w:tc>
      </w:tr>
      <w:tr>
        <w:trPr>
          <w:cantSplit/>
        </w:trPr>
        <w:tc>
          <w:tcPr>
            <w:tcW w:type="dxa" w:w="50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Small cars (petrol up to 1200cc, diesel up to 1500cc, length up to 4 m)</w:t>
            </w:r>
          </w:p>
        </w:tc>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28% plus cess</w:t>
            </w:r>
          </w:p>
        </w:tc>
        <w:tc>
          <w:tcPr>
            <w:tcW w:type="dxa" w:w="24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w:t>
            </w:r>
          </w:p>
        </w:tc>
      </w:tr>
      <w:tr>
        <w:trPr>
          <w:cantSplit/>
        </w:trPr>
        <w:tc>
          <w:tcPr>
            <w:tcW w:type="dxa" w:w="50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Motorcycles up to 350cc, buses and trucks</w:t>
            </w:r>
          </w:p>
        </w:tc>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28%</w:t>
            </w:r>
          </w:p>
        </w:tc>
        <w:tc>
          <w:tcPr>
            <w:tcW w:type="dxa" w:w="24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w:t>
            </w:r>
          </w:p>
        </w:tc>
      </w:tr>
      <w:tr>
        <w:trPr>
          <w:cantSplit/>
        </w:trPr>
        <w:tc>
          <w:tcPr>
            <w:tcW w:type="dxa" w:w="50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Larger cars and motorcycles above 350cc</w:t>
            </w:r>
          </w:p>
        </w:tc>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28% plus cess</w:t>
            </w:r>
          </w:p>
        </w:tc>
        <w:tc>
          <w:tcPr>
            <w:tcW w:type="dxa" w:w="24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40% (no cess)</w:t>
            </w:r>
          </w:p>
        </w:tc>
      </w:tr>
      <w:tr>
        <w:trPr>
          <w:cantSplit/>
        </w:trPr>
        <w:tc>
          <w:tcPr>
            <w:tcW w:type="dxa" w:w="50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Aerated sugary drinks and caffeinated beverages</w:t>
            </w:r>
          </w:p>
        </w:tc>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28% plus 12% cess</w:t>
            </w:r>
          </w:p>
        </w:tc>
        <w:tc>
          <w:tcPr>
            <w:tcW w:type="dxa" w:w="24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40%</w:t>
            </w:r>
          </w:p>
        </w:tc>
      </w:tr>
      <w:tr>
        <w:trPr>
          <w:cantSplit/>
        </w:trPr>
        <w:tc>
          <w:tcPr>
            <w:tcW w:type="dxa" w:w="50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Gold, silver and jewellery</w:t>
            </w:r>
          </w:p>
        </w:tc>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w:t>
            </w:r>
          </w:p>
        </w:tc>
        <w:tc>
          <w:tcPr>
            <w:tcW w:type="dxa" w:w="24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 (unchanged)</w:t>
            </w:r>
          </w:p>
        </w:tc>
      </w:tr>
    </w:tbl>
    <w:p>
      <w:pPr>
        <w:spacing w:after="60"/>
      </w:pPr>
    </w:p>
    <w:p>
      <w:pPr>
        <w:spacing w:after="120" w:line="276"/>
        <w:jc w:val="both"/>
      </w:pPr>
      <w:r>
        <w:rPr>
          <w:rFonts w:ascii="Verdana" w:cs="Verdana" w:eastAsia="Verdana" w:hAnsi="Verdana"/>
        </w:rPr>
        <w:t xml:space="preserve">The main changes for services are set out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17"/>
        <w:gridCol w:w="2610"/>
        <w:gridCol w:w="2711"/>
      </w:tblGrid>
      <w:tr>
        <w:trPr>
          <w:cantSplit/>
          <w:tblHeader/>
        </w:trPr>
        <w:tc>
          <w:tcPr>
            <w:tcW w:type="dxa" w:w="431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Service</w:t>
            </w:r>
          </w:p>
        </w:tc>
        <w:tc>
          <w:tcPr>
            <w:tcW w:type="dxa" w:w="261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Earlier position</w:t>
            </w:r>
          </w:p>
        </w:tc>
        <w:tc>
          <w:tcPr>
            <w:tcW w:type="dxa" w:w="271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From 22 September 2025</w:t>
            </w:r>
          </w:p>
        </w:tc>
      </w:tr>
      <w:tr>
        <w:trPr>
          <w:cantSplit/>
        </w:trPr>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Hotel accommodation up to Rs. 7,500 per unit per day</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 with ITC</w:t>
            </w:r>
          </w:p>
        </w:tc>
        <w:tc>
          <w:tcPr>
            <w:tcW w:type="dxa" w:w="27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 without ITC</w:t>
            </w:r>
          </w:p>
        </w:tc>
      </w:tr>
      <w:tr>
        <w:trPr>
          <w:cantSplit/>
        </w:trPr>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Hotel accommodation above Rs. 7,500</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 with ITC</w:t>
            </w:r>
          </w:p>
        </w:tc>
        <w:tc>
          <w:tcPr>
            <w:tcW w:type="dxa" w:w="27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 with ITC</w:t>
            </w:r>
          </w:p>
        </w:tc>
      </w:tr>
      <w:tr>
        <w:trPr>
          <w:cantSplit/>
        </w:trPr>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Restaurant service</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 without ITC</w:t>
            </w:r>
          </w:p>
        </w:tc>
        <w:tc>
          <w:tcPr>
            <w:tcW w:type="dxa" w:w="27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 without ITC; 18% with ITC in specified premises</w:t>
            </w:r>
          </w:p>
        </w:tc>
      </w:tr>
      <w:tr>
        <w:trPr>
          <w:cantSplit/>
        </w:trPr>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Beauty and wellness (salons, gyms, yoga centres)</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 with ITC</w:t>
            </w:r>
          </w:p>
        </w:tc>
        <w:tc>
          <w:tcPr>
            <w:tcW w:type="dxa" w:w="27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 without ITC</w:t>
            </w:r>
          </w:p>
        </w:tc>
      </w:tr>
      <w:tr>
        <w:trPr>
          <w:cantSplit/>
        </w:trPr>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Individual life and health insurance, and their reinsurance</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w:t>
            </w:r>
          </w:p>
        </w:tc>
        <w:tc>
          <w:tcPr>
            <w:tcW w:type="dxa" w:w="27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w:t>
            </w:r>
          </w:p>
        </w:tc>
      </w:tr>
      <w:tr>
        <w:trPr>
          <w:cantSplit/>
        </w:trPr>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GTA, multimodal transport, goods carriage with operator</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 without ITC or 12% with ITC</w:t>
            </w:r>
          </w:p>
        </w:tc>
        <w:tc>
          <w:tcPr>
            <w:tcW w:type="dxa" w:w="27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 without ITC or 18% with ITC</w:t>
            </w:r>
          </w:p>
        </w:tc>
      </w:tr>
      <w:tr>
        <w:trPr>
          <w:cantSplit/>
        </w:trPr>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Passenger transport by motor vehicle</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 without ITC or 12% with ITC</w:t>
            </w:r>
          </w:p>
        </w:tc>
        <w:tc>
          <w:tcPr>
            <w:tcW w:type="dxa" w:w="27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 without ITC or 18% with ITC</w:t>
            </w:r>
          </w:p>
        </w:tc>
      </w:tr>
      <w:tr>
        <w:trPr>
          <w:cantSplit/>
        </w:trPr>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Air travel other than economy class</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w:t>
            </w:r>
          </w:p>
        </w:tc>
        <w:tc>
          <w:tcPr>
            <w:tcW w:type="dxa" w:w="27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w:t>
            </w:r>
          </w:p>
        </w:tc>
      </w:tr>
      <w:tr>
        <w:trPr>
          <w:cantSplit/>
        </w:trPr>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Cinema tickets up to Rs. 100</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w:t>
            </w:r>
          </w:p>
        </w:tc>
        <w:tc>
          <w:tcPr>
            <w:tcW w:type="dxa" w:w="27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r>
      <w:tr>
        <w:trPr>
          <w:cantSplit/>
        </w:trPr>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Casinos, race clubs, betting, lottery, online money gaming, IPL-type events</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28%</w:t>
            </w:r>
          </w:p>
        </w:tc>
        <w:tc>
          <w:tcPr>
            <w:tcW w:type="dxa" w:w="27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40%</w:t>
            </w:r>
          </w:p>
        </w:tc>
      </w:tr>
    </w:tbl>
    <w:p>
      <w:pPr>
        <w:spacing w:after="60"/>
      </w:pPr>
    </w:p>
    <w:p>
      <w:pPr>
        <w:spacing w:after="120" w:line="276"/>
        <w:jc w:val="both"/>
      </w:pPr>
      <w:r>
        <w:rPr>
          <w:rFonts w:ascii="Verdana" w:cs="Verdana" w:eastAsia="Verdana" w:hAnsi="Verdana"/>
        </w:rPr>
        <w:t xml:space="preserve">Job work for specified items (pharma, leather, printing, bricks, umbrellas) is at 5% and other job work at 18%. Leasing of goods without an operator follows the rate of the goods. Most works contract services, including those supplied to Government, are at 18%; check the specific entry before applying a lower rate. Local delivery services through an e-commerce operator, where the delivery person is unregistered, are taxed in the hands of the operator at 18% under section 9(5).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8: Effect of the rate cut on the consumer price</w:t>
            </w:r>
          </w:p>
          <w:p>
            <w:pPr>
              <w:spacing w:after="60" w:line="260"/>
            </w:pPr>
            <w:r>
              <w:rPr>
                <w:rFonts w:ascii="Verdana" w:cs="Verdana" w:eastAsia="Verdana" w:hAnsi="Verdana"/>
                <w:sz w:val="20"/>
                <w:szCs w:val="20"/>
              </w:rPr>
              <w:t xml:space="preserve">A dealer in Ahmedabad sells a 43-inch television with a value of Rs. 40,000, and a petrol small car with an ex-showroom value of Rs. 6,00,000.</w:t>
            </w:r>
          </w:p>
          <w:p>
            <w:pPr>
              <w:spacing w:after="60" w:line="260"/>
            </w:pPr>
            <w:r>
              <w:rPr>
                <w:rFonts w:ascii="Verdana" w:cs="Verdana" w:eastAsia="Verdana" w:hAnsi="Verdana"/>
                <w:sz w:val="20"/>
                <w:szCs w:val="20"/>
              </w:rPr>
              <w:t xml:space="preserve">Step 1 (television): Before 22 September 2025 at 28%: Rs. 40,000 + Rs. 11,200 = Rs. 51,200. After at 18%: Rs. 40,000 + Rs. 7,200 = Rs. 47,200. Saving Rs. 4,000, or 7.81% of the old price.</w:t>
            </w:r>
          </w:p>
          <w:p>
            <w:pPr>
              <w:spacing w:after="60" w:line="260"/>
            </w:pPr>
            <w:r>
              <w:rPr>
                <w:rFonts w:ascii="Verdana" w:cs="Verdana" w:eastAsia="Verdana" w:hAnsi="Verdana"/>
                <w:sz w:val="20"/>
                <w:szCs w:val="20"/>
              </w:rPr>
              <w:t xml:space="preserve">Step 2 (small car): Before at 28% GST plus 1% cess = 29%: tax Rs. 1,74,000, price Rs. 7,74,000. After at 18%: tax Rs. 1,08,000, price Rs. 7,08,000. Saving Rs. 66,000, or 8.53% of the old price.</w:t>
            </w:r>
          </w:p>
          <w:p>
            <w:pPr>
              <w:spacing w:after="60" w:line="260"/>
            </w:pPr>
            <w:r>
              <w:rPr>
                <w:rFonts w:ascii="Verdana" w:cs="Verdana" w:eastAsia="Verdana" w:hAnsi="Verdana"/>
                <w:sz w:val="20"/>
                <w:szCs w:val="20"/>
              </w:rPr>
              <w:t xml:space="preserve">Result: If the base value is unchanged, the full benefit reaches the buyer. Anti-profiteering proceedings under section 171 are no longer available for new complaints (sunset from 1 April 2025), but the Government monitored prices after GST 2.0 and dealers should keep price lists that show the base value was not raised.</w:t>
            </w:r>
          </w:p>
        </w:tc>
      </w:tr>
    </w:tbl>
    <w:p>
      <w:pPr>
        <w:spacing w:after="60"/>
      </w:pPr>
    </w:p>
    <w:p>
      <w:pPr>
        <w:pStyle w:val="Heading3"/>
        <w:keepNext/>
        <w:spacing w:after="80" w:before="160"/>
      </w:pPr>
      <w:r>
        <w:rPr>
          <w:rFonts w:ascii="Verdana" w:cs="Verdana" w:eastAsia="Verdana" w:hAnsi="Verdana"/>
        </w:rPr>
        <w:t xml:space="preserve">Stock in hand on the date of change</w:t>
      </w:r>
    </w:p>
    <w:p>
      <w:pPr>
        <w:spacing w:after="120" w:line="276"/>
        <w:jc w:val="both"/>
      </w:pPr>
      <w:r>
        <w:rPr>
          <w:rFonts w:ascii="Verdana" w:cs="Verdana" w:eastAsia="Verdana" w:hAnsi="Verdana"/>
        </w:rPr>
        <w:t xml:space="preserve">A rate cut does not require the dealer to reverse ITC already taken at the old rate. The goods remain taxable, so section 17(2) does not apply. The dealer may end up with more ITC than output tax on that stock, which is carried forward in the electronic credit ledger. CBIC's view (Circular 135/05/2020) is that no refund under the inverted duty route is available where the input and the output are the same goods and the accumulation arises only from a rate cut. The Legal Metrology authorities allowed revised retail prices to be declared on unsold packages for a limited period.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9: Stock held on 21 September 2025</w:t>
            </w:r>
          </w:p>
          <w:p>
            <w:pPr>
              <w:spacing w:after="60" w:line="260"/>
            </w:pPr>
            <w:r>
              <w:rPr>
                <w:rFonts w:ascii="Verdana" w:cs="Verdana" w:eastAsia="Verdana" w:hAnsi="Verdana"/>
                <w:sz w:val="20"/>
                <w:szCs w:val="20"/>
              </w:rPr>
              <w:t xml:space="preserve">Cool Air Traders, Surat, had 20 air conditioners in stock on 21 September 2025, bought at Rs. 30,000 each plus GST at 28%. It sold all of them in October 2025 at Rs. 36,000 each.</w:t>
            </w:r>
          </w:p>
          <w:p>
            <w:pPr>
              <w:spacing w:after="60" w:line="260"/>
            </w:pPr>
            <w:r>
              <w:rPr>
                <w:rFonts w:ascii="Verdana" w:cs="Verdana" w:eastAsia="Verdana" w:hAnsi="Verdana"/>
                <w:sz w:val="20"/>
                <w:szCs w:val="20"/>
              </w:rPr>
              <w:t xml:space="preserve">Step 1: ITC already taken = 20 x Rs. 30,000 x 28% = Rs. 1,68,000.</w:t>
            </w:r>
          </w:p>
          <w:p>
            <w:pPr>
              <w:spacing w:after="60" w:line="260"/>
            </w:pPr>
            <w:r>
              <w:rPr>
                <w:rFonts w:ascii="Verdana" w:cs="Verdana" w:eastAsia="Verdana" w:hAnsi="Verdana"/>
                <w:sz w:val="20"/>
                <w:szCs w:val="20"/>
              </w:rPr>
              <w:t xml:space="preserve">Step 2: Output tax at 18% = 20 x Rs. 36,000 x 18% = Rs. 1,29,600 (CGST Rs. 64,800 + SGST Rs. 64,800).</w:t>
            </w:r>
          </w:p>
          <w:p>
            <w:pPr>
              <w:spacing w:after="60" w:line="260"/>
            </w:pPr>
            <w:r>
              <w:rPr>
                <w:rFonts w:ascii="Verdana" w:cs="Verdana" w:eastAsia="Verdana" w:hAnsi="Verdana"/>
                <w:sz w:val="20"/>
                <w:szCs w:val="20"/>
              </w:rPr>
              <w:t xml:space="preserve">Step 3: Excess ITC on this stock = Rs. 1,68,000 minus Rs. 1,29,600 = Rs. 38,400.</w:t>
            </w:r>
          </w:p>
          <w:p>
            <w:pPr>
              <w:spacing w:after="60" w:line="260"/>
            </w:pPr>
            <w:r>
              <w:rPr>
                <w:rFonts w:ascii="Verdana" w:cs="Verdana" w:eastAsia="Verdana" w:hAnsi="Verdana"/>
                <w:sz w:val="20"/>
                <w:szCs w:val="20"/>
              </w:rPr>
              <w:t xml:space="preserve">Result: No reversal is required. The Rs. 38,400 stays in the credit ledger and is used against future output tax. It is not refundable as inverted duty, since the input and the output are the same goods.</w:t>
            </w:r>
          </w:p>
        </w:tc>
      </w:tr>
    </w:tbl>
    <w:p>
      <w:pPr>
        <w:spacing w:after="60"/>
      </w:pPr>
    </w:p>
    <w:p>
      <w:pPr>
        <w:pStyle w:val="Heading3"/>
        <w:keepNext/>
        <w:spacing w:after="80" w:before="160"/>
      </w:pPr>
      <w:r>
        <w:rPr>
          <w:rFonts w:ascii="Verdana" w:cs="Verdana" w:eastAsia="Verdana" w:hAnsi="Verdana"/>
        </w:rPr>
        <w:t xml:space="preserve">Where a supply becomes exempt</w:t>
      </w:r>
    </w:p>
    <w:p>
      <w:pPr>
        <w:spacing w:after="120" w:line="276"/>
        <w:jc w:val="both"/>
      </w:pPr>
      <w:r>
        <w:rPr>
          <w:rFonts w:ascii="Verdana" w:cs="Verdana" w:eastAsia="Verdana" w:hAnsi="Verdana"/>
        </w:rPr>
        <w:t xml:space="preserve">The position is different where an output becomes exempt. ITC is not available on inputs and input services used for exempt supplies (section 17(2) read with rules 42 and 43). A business that makes only exempt supplies after the change must also reverse ITC on stock and capital goods under section 18(4). The clearest case is an insurer: from 22 September 2025, individual life and health insurance policies are exempt, while group policies and general insurance remain taxable. Commission to agents on individual policies continues to be taxed under reverse charge, and the ITC on it is lost.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10: ITC reversal by a health insurer</w:t>
            </w:r>
          </w:p>
          <w:p>
            <w:pPr>
              <w:spacing w:after="60" w:line="260"/>
            </w:pPr>
            <w:r>
              <w:rPr>
                <w:rFonts w:ascii="Verdana" w:cs="Verdana" w:eastAsia="Verdana" w:hAnsi="Verdana"/>
                <w:sz w:val="20"/>
                <w:szCs w:val="20"/>
              </w:rPr>
              <w:t xml:space="preserve">Suraksha Health Insurance Ltd. has, in October 2025, taxable premium (group health and other taxable policies) of Rs. 6,00,00,000 and exempt premium on individual health policies of Rs. 4,00,00,000. Common ITC (rent, IT services, advertising) is Rs. 50,00,000. RCM tax of Rs. 9,00,000 was paid on commission to agents for individual policies only.</w:t>
            </w:r>
          </w:p>
          <w:p>
            <w:pPr>
              <w:spacing w:after="60" w:line="260"/>
            </w:pPr>
            <w:r>
              <w:rPr>
                <w:rFonts w:ascii="Verdana" w:cs="Verdana" w:eastAsia="Verdana" w:hAnsi="Verdana"/>
                <w:sz w:val="20"/>
                <w:szCs w:val="20"/>
              </w:rPr>
              <w:t xml:space="preserve">Step 1: Exempt share of total premium = Rs. 4,00,00,000 / Rs. 10,00,00,000 = 40%.</w:t>
            </w:r>
          </w:p>
          <w:p>
            <w:pPr>
              <w:spacing w:after="60" w:line="260"/>
            </w:pPr>
            <w:r>
              <w:rPr>
                <w:rFonts w:ascii="Verdana" w:cs="Verdana" w:eastAsia="Verdana" w:hAnsi="Verdana"/>
                <w:sz w:val="20"/>
                <w:szCs w:val="20"/>
              </w:rPr>
              <w:t xml:space="preserve">Step 2: Common ITC to be reversed under rule 42 = 40% of Rs. 50,00,000 = Rs. 20,00,000 (CGST Rs. 10,00,000 + SGST Rs. 10,00,000).</w:t>
            </w:r>
          </w:p>
          <w:p>
            <w:pPr>
              <w:spacing w:after="60" w:line="260"/>
            </w:pPr>
            <w:r>
              <w:rPr>
                <w:rFonts w:ascii="Verdana" w:cs="Verdana" w:eastAsia="Verdana" w:hAnsi="Verdana"/>
                <w:sz w:val="20"/>
                <w:szCs w:val="20"/>
              </w:rPr>
              <w:t xml:space="preserve">Step 3: ITC of Rs. 9,00,000 on agents' commission is used wholly for exempt supplies and is not available at all.</w:t>
            </w:r>
          </w:p>
          <w:p>
            <w:pPr>
              <w:spacing w:after="60" w:line="260"/>
            </w:pPr>
            <w:r>
              <w:rPr>
                <w:rFonts w:ascii="Verdana" w:cs="Verdana" w:eastAsia="Verdana" w:hAnsi="Verdana"/>
                <w:sz w:val="20"/>
                <w:szCs w:val="20"/>
              </w:rPr>
              <w:t xml:space="preserve">Result: ITC lost in the month = Rs. 29,00,000. The exemption lowered the policyholder's premium but raised the insurer's cost, which is why the pricing of these policies was revised after September 2025.</w:t>
            </w:r>
          </w:p>
        </w:tc>
      </w:tr>
    </w:tbl>
    <w:p>
      <w:pPr>
        <w:spacing w:after="60"/>
      </w:pPr>
    </w:p>
    <w:p>
      <w:pPr>
        <w:pStyle w:val="Heading3"/>
        <w:keepNext/>
        <w:spacing w:after="80" w:before="160"/>
      </w:pPr>
      <w:r>
        <w:rPr>
          <w:rFonts w:ascii="Verdana" w:cs="Verdana" w:eastAsia="Verdana" w:hAnsi="Verdana"/>
        </w:rPr>
        <w:t xml:space="preserve">Invoices raised around the date of change</w:t>
      </w:r>
    </w:p>
    <w:p>
      <w:pPr>
        <w:spacing w:after="120" w:line="276"/>
        <w:jc w:val="both"/>
      </w:pPr>
      <w:r>
        <w:rPr>
          <w:rFonts w:ascii="Verdana" w:cs="Verdana" w:eastAsia="Verdana" w:hAnsi="Verdana"/>
        </w:rPr>
        <w:t xml:space="preserve">Where goods or services are supplied close to the date of a rate change, section 14 of the CGST Act decides whether the old or new rate applies. It looks at three events: date of supply, date of invoice and date of receipt of payment. If two of the three events fall after the change, the new rate generally applies; if two fall before, the old rate applies. The detailed rules are in the chapter on time of supply.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11: Cement supplied around 22 September 2025</w:t>
            </w:r>
          </w:p>
          <w:p>
            <w:pPr>
              <w:spacing w:after="60" w:line="260"/>
            </w:pPr>
            <w:r>
              <w:rPr>
                <w:rFonts w:ascii="Verdana" w:cs="Verdana" w:eastAsia="Verdana" w:hAnsi="Verdana"/>
                <w:sz w:val="20"/>
                <w:szCs w:val="20"/>
              </w:rPr>
              <w:t xml:space="preserve">Rathod Cement Traders supplies cement worth Rs. 5,00,000 in each case. The rate fell from 28% to 18% on 22 September 2025.</w:t>
            </w:r>
          </w:p>
          <w:p>
            <w:pPr>
              <w:spacing w:after="60" w:line="260"/>
            </w:pPr>
            <w:r>
              <w:rPr>
                <w:rFonts w:ascii="Verdana" w:cs="Verdana" w:eastAsia="Verdana" w:hAnsi="Verdana"/>
                <w:sz w:val="20"/>
                <w:szCs w:val="20"/>
              </w:rPr>
              <w:t xml:space="preserve">Case A: Supply and invoice on 19 September 2025, payment on 30 September 2025. Supply before the change, invoice before, payment after. The time of supply is the date of invoice. Old rate 28% applies: tax Rs. 1,40,000.</w:t>
            </w:r>
          </w:p>
          <w:p>
            <w:pPr>
              <w:spacing w:after="60" w:line="260"/>
            </w:pPr>
            <w:r>
              <w:rPr>
                <w:rFonts w:ascii="Verdana" w:cs="Verdana" w:eastAsia="Verdana" w:hAnsi="Verdana"/>
                <w:sz w:val="20"/>
                <w:szCs w:val="20"/>
              </w:rPr>
              <w:t xml:space="preserve">Case B: Advance received on 10 September 2025, supply and invoice on 24 September 2025. Supply after the change, payment before, invoice after. The time of supply is the date of invoice. New rate 18% applies: tax Rs. 90,000.</w:t>
            </w:r>
          </w:p>
          <w:p>
            <w:pPr>
              <w:spacing w:after="60" w:line="260"/>
            </w:pPr>
            <w:r>
              <w:rPr>
                <w:rFonts w:ascii="Verdana" w:cs="Verdana" w:eastAsia="Verdana" w:hAnsi="Verdana"/>
                <w:sz w:val="20"/>
                <w:szCs w:val="20"/>
              </w:rPr>
              <w:t xml:space="preserve">Result: Getting the event dates wrong changes the tax by Rs. 50,000 on each consignment.</w:t>
            </w:r>
          </w:p>
        </w:tc>
      </w:tr>
    </w:tbl>
    <w:p>
      <w:pPr>
        <w:spacing w:after="60"/>
      </w:pPr>
    </w:p>
    <w:p>
      <w:pPr>
        <w:pStyle w:val="Heading2"/>
        <w:keepNext/>
        <w:spacing w:after="120" w:before="240"/>
      </w:pPr>
      <w:r>
        <w:rPr>
          <w:rFonts w:ascii="Verdana" w:cs="Verdana" w:eastAsia="Verdana" w:hAnsi="Verdana"/>
        </w:rPr>
        <w:t xml:space="preserve">3.2 End of compensation cess and the tobacco regime</w:t>
      </w:r>
    </w:p>
    <w:p>
      <w:pPr>
        <w:spacing w:after="120" w:line="276"/>
        <w:jc w:val="both"/>
      </w:pPr>
      <w:r>
        <w:rPr>
          <w:rFonts w:ascii="Verdana" w:cs="Verdana" w:eastAsia="Verdana" w:hAnsi="Verdana"/>
        </w:rPr>
        <w:t xml:space="preserve">Compensation cess was removed on all goods other than tobacco and related products from 22 September 2025, and its incidence was folded into the new rates. That is why larger cars moved to 40% with no cess. For tobacco and pan masala, cess continued until the loans taken for compensation were repaid. From 1 February 2026 compensation cess ended on these goods too. Tobacco products and pan masala now attract GST at 40% (bidis at 18%), and the value of specified tobacco products is determined on the basis of retail sale price. At the same time, a central excise duty on tobacco and the Health Security se National Security Cess on pan masala manufacturing capacity came into force. Tobacco manufacturers therefore now deal with GST, central excise and the new cess together.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Balances of compensation cess credit lying unused on the date the cess was removed, particularly with automobile dealers, could not be set off against GST. Check the latest CBIC clarification before advising on any claim for such balances.</w:t>
            </w:r>
          </w:p>
        </w:tc>
      </w:tr>
    </w:tbl>
    <w:p>
      <w:pPr>
        <w:spacing w:after="60"/>
      </w:pPr>
    </w:p>
    <w:p>
      <w:pPr>
        <w:pStyle w:val="Heading2"/>
        <w:keepNext/>
        <w:spacing w:after="120" w:before="240"/>
      </w:pPr>
      <w:r>
        <w:rPr>
          <w:rFonts w:ascii="Verdana" w:cs="Verdana" w:eastAsia="Verdana" w:hAnsi="Verdana"/>
        </w:rPr>
        <w:t xml:space="preserve">3.3 Finance Act, 2025 amendments</w:t>
      </w:r>
    </w:p>
    <w:p>
      <w:pPr>
        <w:spacing w:after="120" w:line="276"/>
        <w:jc w:val="both"/>
      </w:pPr>
      <w:r>
        <w:rPr>
          <w:rFonts w:ascii="Verdana" w:cs="Verdana" w:eastAsia="Verdana" w:hAnsi="Verdana"/>
        </w:rPr>
        <w:t xml:space="preserve">Most GST amendments made by the Finance Act, 2025 came into force on 1 October 2025. Some were retrospective. The table gives the status as on 28 September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4618"/>
        <w:gridCol w:w="3013"/>
      </w:tblGrid>
      <w:tr>
        <w:trPr>
          <w:cantSplit/>
          <w:tblHeader/>
        </w:trPr>
        <w:tc>
          <w:tcPr>
            <w:tcW w:type="dxa" w:w="200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Provision</w:t>
            </w:r>
          </w:p>
        </w:tc>
        <w:tc>
          <w:tcPr>
            <w:tcW w:type="dxa" w:w="461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Change</w:t>
            </w:r>
          </w:p>
        </w:tc>
        <w:tc>
          <w:tcPr>
            <w:tcW w:type="dxa" w:w="301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Status</w:t>
            </w:r>
          </w:p>
        </w:tc>
      </w:tr>
      <w:tr>
        <w:trPr>
          <w:cantSplit/>
        </w:trPr>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17(5)(d)</w:t>
            </w:r>
          </w:p>
        </w:tc>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Words "plant or machinery" replaced by "plant and machinery" to undo Safari Retreats</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 force, retrospective from 1 July 2017</w:t>
            </w:r>
          </w:p>
        </w:tc>
      </w:tr>
      <w:tr>
        <w:trPr>
          <w:cantSplit/>
        </w:trPr>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2(61) and 20</w:t>
            </w:r>
          </w:p>
        </w:tc>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ISD to distribute tax paid under reverse charge, including IGST on inter-State RCM</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 force (from 1 April 2025)</w:t>
            </w:r>
          </w:p>
        </w:tc>
      </w:tr>
      <w:tr>
        <w:trPr>
          <w:cantSplit/>
        </w:trPr>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12(4) and 13(4)</w:t>
            </w:r>
          </w:p>
        </w:tc>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Time of supply provisions for vouchers omitted</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 force</w:t>
            </w:r>
          </w:p>
        </w:tc>
      </w:tr>
      <w:tr>
        <w:trPr>
          <w:cantSplit/>
        </w:trPr>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34(2)</w:t>
            </w:r>
          </w:p>
        </w:tc>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Supplier can reduce output tax on a credit note only if recipient has reversed ITC</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 force</w:t>
            </w:r>
          </w:p>
        </w:tc>
      </w:tr>
      <w:tr>
        <w:trPr>
          <w:cantSplit/>
        </w:trPr>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38 and 39</w:t>
            </w:r>
          </w:p>
        </w:tc>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GSTR-2B regenerated through IMS; conditions for filing returns</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 force</w:t>
            </w:r>
          </w:p>
        </w:tc>
      </w:tr>
      <w:tr>
        <w:trPr>
          <w:cantSplit/>
        </w:trPr>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107(6), 112(8)</w:t>
            </w:r>
          </w:p>
        </w:tc>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 pre-deposit for penalty-only appeals</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 force from 1 October 2025 (held prospective)</w:t>
            </w:r>
          </w:p>
        </w:tc>
      </w:tr>
      <w:tr>
        <w:trPr>
          <w:cantSplit/>
        </w:trPr>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148A, 122B</w:t>
            </w:r>
          </w:p>
        </w:tc>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Track and trace marking on notified goods; penalty Rs. 1 lakh or 10% of tax, whichever higher</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 force; applies to goods as notified</w:t>
            </w:r>
          </w:p>
        </w:tc>
      </w:tr>
      <w:tr>
        <w:trPr>
          <w:cantSplit/>
        </w:trPr>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Schedule III para 8(a)</w:t>
            </w:r>
          </w:p>
        </w:tc>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Covers goods warehoused in SEZ or FTWZ sold before clearance for export or DTA</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 force, retrospective from 1 July 2017; no refund of tax already collected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Why section 17(5)(d) was amended</w:t>
            </w:r>
          </w:p>
          <w:p>
            <w:pPr>
              <w:spacing w:after="60" w:line="260"/>
            </w:pPr>
            <w:r>
              <w:rPr>
                <w:rFonts w:ascii="Verdana" w:cs="Verdana" w:eastAsia="Verdana" w:hAnsi="Verdana"/>
                <w:b/>
                <w:bCs/>
                <w:sz w:val="20"/>
                <w:szCs w:val="20"/>
              </w:rPr>
              <w:t xml:space="preserve">Safari Retreats (P) Ltd. v. Chief Commissioner of CGST (Supreme Court, 2024):</w:t>
            </w:r>
            <w:r>
              <w:rPr>
                <w:rFonts w:ascii="Verdana" w:cs="Verdana" w:eastAsia="Verdana" w:hAnsi="Verdana"/>
                <w:sz w:val="20"/>
                <w:szCs w:val="20"/>
              </w:rPr>
              <w:t xml:space="preserve"> The Court upheld the validity of section 17(5)(c) and (d), but held that the words "plant or machinery" in clause (d) are different from "plant and machinery" defined in the Explanation. Whether a building, such as a mall let out on rent, is a "plant" had to be decided on a functionality test on the facts of each case. If it was a plant, ITC on its construction would not be blocked.</w:t>
            </w:r>
          </w:p>
          <w:p>
            <w:pPr>
              <w:spacing w:after="60" w:line="260"/>
            </w:pPr>
            <w:r>
              <w:rPr>
                <w:rFonts w:ascii="Verdana" w:cs="Verdana" w:eastAsia="Verdana" w:hAnsi="Verdana"/>
                <w:b/>
                <w:bCs/>
                <w:sz w:val="20"/>
                <w:szCs w:val="20"/>
              </w:rPr>
              <w:t xml:space="preserve">Practical relevance:</w:t>
            </w:r>
            <w:r>
              <w:rPr>
                <w:rFonts w:ascii="Verdana" w:cs="Verdana" w:eastAsia="Verdana" w:hAnsi="Verdana"/>
                <w:sz w:val="20"/>
                <w:szCs w:val="20"/>
              </w:rPr>
              <w:t xml:space="preserve"> The Finance Act, 2025 replaced "plant or machinery" with "plant and machinery" retrospectively from 1 July 2017, so the functionality test no longer opens the door to ITC on buildings. Claims made on the strength of Safari Retreats need to be reviewed; the retrospective amendment itself may be challenged, and practitioners should watch for litigation on that point.</w:t>
            </w:r>
          </w:p>
        </w:tc>
      </w:tr>
    </w:tbl>
    <w:p>
      <w:pPr>
        <w:spacing w:after="60"/>
      </w:pPr>
    </w:p>
    <w:p>
      <w:pPr>
        <w:pStyle w:val="Heading2"/>
        <w:keepNext/>
        <w:spacing w:after="120" w:before="240"/>
      </w:pPr>
      <w:r>
        <w:rPr>
          <w:rFonts w:ascii="Verdana" w:cs="Verdana" w:eastAsia="Verdana" w:hAnsi="Verdana"/>
        </w:rPr>
        <w:t xml:space="preserve">3.4 Finance Act, 2026 amendments</w:t>
      </w:r>
    </w:p>
    <w:p>
      <w:pPr>
        <w:spacing w:after="120" w:line="276"/>
        <w:jc w:val="both"/>
      </w:pPr>
      <w:r>
        <w:rPr>
          <w:rFonts w:ascii="Verdana" w:cs="Verdana" w:eastAsia="Verdana" w:hAnsi="Verdana"/>
        </w:rPr>
        <w:t xml:space="preserve">The Finance Act, 2026 was enacted on 30 March 2026. Two amendments are in force and two are enacted but await notification. The distinction matters: until a provision is notified, the old law continues to apply.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4919"/>
        <w:gridCol w:w="2511"/>
      </w:tblGrid>
      <w:tr>
        <w:trPr>
          <w:cantSplit/>
          <w:tblHeader/>
        </w:trPr>
        <w:tc>
          <w:tcPr>
            <w:tcW w:type="dxa" w:w="220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Provision</w:t>
            </w:r>
          </w:p>
        </w:tc>
        <w:tc>
          <w:tcPr>
            <w:tcW w:type="dxa" w:w="491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Change</w:t>
            </w:r>
          </w:p>
        </w:tc>
        <w:tc>
          <w:tcPr>
            <w:tcW w:type="dxa" w:w="251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Status on 28 September 2026</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13(8)(b), IGST Act</w:t>
            </w:r>
          </w:p>
        </w:tc>
        <w:tc>
          <w:tcPr>
            <w:tcW w:type="dxa" w:w="49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Omitted: place of supply of intermediary services is now the location of the recipient under section 13(2). Indian intermediaries serving foreign clients can qualify as exporters if section 2(6) conditions are met</w:t>
            </w:r>
          </w:p>
        </w:tc>
        <w:tc>
          <w:tcPr>
            <w:tcW w:type="dxa" w:w="25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 force from 30 March 2026</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101A(1A), CGST Act</w:t>
            </w:r>
          </w:p>
        </w:tc>
        <w:tc>
          <w:tcPr>
            <w:tcW w:type="dxa" w:w="49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Existing authority (including GSTAT) may hear appeals under section 101B until NAAAR is constituted</w:t>
            </w:r>
          </w:p>
        </w:tc>
        <w:tc>
          <w:tcPr>
            <w:tcW w:type="dxa" w:w="25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 force from 1 April 2026</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15(3)(b) and 34</w:t>
            </w:r>
          </w:p>
        </w:tc>
        <w:tc>
          <w:tcPr>
            <w:tcW w:type="dxa" w:w="49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Post-sale discounts can be excluded from value through credit notes where recipient reverses ITC, without a prior agreement linked to invoices</w:t>
            </w:r>
          </w:p>
        </w:tc>
        <w:tc>
          <w:tcPr>
            <w:tcW w:type="dxa" w:w="25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Enacted, </w:t>
            </w:r>
            <w:r>
              <w:rPr>
                <w:rFonts w:ascii="Verdana" w:cs="Verdana" w:eastAsia="Verdana" w:hAnsi="Verdana"/>
                <w:sz w:val="19"/>
                <w:szCs w:val="19"/>
              </w:rPr>
              <w:t xml:space="preserve">not yet notified</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54</w:t>
            </w:r>
          </w:p>
        </w:tc>
        <w:tc>
          <w:tcPr>
            <w:tcW w:type="dxa" w:w="49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90% provisional refund extended to inverted duty refunds; Rs. 1,000 minimum removed for export refunds with payment of tax</w:t>
            </w:r>
          </w:p>
        </w:tc>
        <w:tc>
          <w:tcPr>
            <w:tcW w:type="dxa" w:w="25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Enacted, </w:t>
            </w:r>
            <w:r>
              <w:rPr>
                <w:rFonts w:ascii="Verdana" w:cs="Verdana" w:eastAsia="Verdana" w:hAnsi="Verdana"/>
                <w:sz w:val="19"/>
                <w:szCs w:val="19"/>
              </w:rPr>
              <w:t xml:space="preserve">not yet notified</w:t>
            </w:r>
            <w:r>
              <w:rPr>
                <w:rFonts w:ascii="Verdana" w:cs="Verdana" w:eastAsia="Verdana" w:hAnsi="Verdana"/>
                <w:sz w:val="19"/>
                <w:szCs w:val="19"/>
              </w:rPr>
              <w:t xml:space="preserve">; CBIC grants 90% provisionally on a risk basis meanwhile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12: Year-end discount under the present law</w:t>
            </w:r>
          </w:p>
          <w:p>
            <w:pPr>
              <w:spacing w:after="60" w:line="260"/>
            </w:pPr>
            <w:r>
              <w:rPr>
                <w:rFonts w:ascii="Verdana" w:cs="Verdana" w:eastAsia="Verdana" w:hAnsi="Verdana"/>
                <w:sz w:val="20"/>
                <w:szCs w:val="20"/>
              </w:rPr>
              <w:t xml:space="preserve">Om Distributors receives a year-end turnover discount of 2% on purchases of Rs. 50,00,000 from Bhavani Foods Ltd. The discount was announced after the year ended and was not agreed in any contract before the supplies.</w:t>
            </w:r>
          </w:p>
          <w:p>
            <w:pPr>
              <w:spacing w:after="60" w:line="260"/>
            </w:pPr>
            <w:r>
              <w:rPr>
                <w:rFonts w:ascii="Verdana" w:cs="Verdana" w:eastAsia="Verdana" w:hAnsi="Verdana"/>
                <w:sz w:val="20"/>
                <w:szCs w:val="20"/>
              </w:rPr>
              <w:t xml:space="preserve">Step 1: Discount = 2% of Rs. 50,00,000 = Rs. 1,00,000.</w:t>
            </w:r>
          </w:p>
          <w:p>
            <w:pPr>
              <w:spacing w:after="60" w:line="260"/>
            </w:pPr>
            <w:r>
              <w:rPr>
                <w:rFonts w:ascii="Verdana" w:cs="Verdana" w:eastAsia="Verdana" w:hAnsi="Verdana"/>
                <w:sz w:val="20"/>
                <w:szCs w:val="20"/>
              </w:rPr>
              <w:t xml:space="preserve">Step 2: Under section 15(3)(b) as it stands today, a post-supply discount reduces value only if it was agreed before or at the time of supply and is linked to specific invoices. That condition is not met.</w:t>
            </w:r>
          </w:p>
          <w:p>
            <w:pPr>
              <w:spacing w:after="60" w:line="260"/>
            </w:pPr>
            <w:r>
              <w:rPr>
                <w:rFonts w:ascii="Verdana" w:cs="Verdana" w:eastAsia="Verdana" w:hAnsi="Verdana"/>
                <w:sz w:val="20"/>
                <w:szCs w:val="20"/>
              </w:rPr>
              <w:t xml:space="preserve">Step 3: Bhavani Foods may issue a financial credit note for Rs. 1,00,000 without GST. Its output tax (Rs. 18,000 at 18%) is not reduced.</w:t>
            </w:r>
          </w:p>
          <w:p>
            <w:pPr>
              <w:spacing w:after="60" w:line="260"/>
            </w:pPr>
            <w:r>
              <w:rPr>
                <w:rFonts w:ascii="Verdana" w:cs="Verdana" w:eastAsia="Verdana" w:hAnsi="Verdana"/>
                <w:sz w:val="20"/>
                <w:szCs w:val="20"/>
              </w:rPr>
              <w:t xml:space="preserve">Result: Once the Finance Act, 2026 amendment is notified, Bhavani Foods could issue a GST credit note and reduce its tax by Rs. 18,000, provided Om Distributors reverses ITC of Rs. 18,000. Until then, the old rule applies.</w:t>
            </w:r>
          </w:p>
        </w:tc>
      </w:tr>
    </w:tbl>
    <w:p>
      <w:pPr>
        <w:spacing w:after="60"/>
      </w:pPr>
    </w:p>
    <w:p>
      <w:pPr>
        <w:pStyle w:val="Heading2"/>
        <w:keepNext/>
        <w:spacing w:after="120" w:before="240"/>
      </w:pPr>
      <w:r>
        <w:rPr>
          <w:rFonts w:ascii="Verdana" w:cs="Verdana" w:eastAsia="Verdana" w:hAnsi="Verdana"/>
        </w:rPr>
        <w:t xml:space="preserve">3.5 Returns and matching: IMS, hard lock and the three-year bar</w:t>
      </w:r>
    </w:p>
    <w:p>
      <w:pPr>
        <w:pStyle w:val="ListParagraph"/>
        <w:numPr>
          <w:ilvl w:val="0"/>
          <w:numId w:val="2"/>
        </w:numPr>
        <w:spacing w:after="60" w:line="264"/>
      </w:pPr>
      <w:r>
        <w:rPr>
          <w:rFonts w:ascii="Verdana" w:cs="Verdana" w:eastAsia="Verdana" w:hAnsi="Verdana"/>
          <w:b/>
          <w:bCs/>
        </w:rPr>
        <w:t xml:space="preserve">Invoice Management System (IMS)</w:t>
      </w:r>
      <w:r>
        <w:rPr>
          <w:rFonts w:ascii="Verdana" w:cs="Verdana" w:eastAsia="Verdana" w:hAnsi="Verdana"/>
        </w:rPr>
        <w:t xml:space="preserve">, from 1 October 2024: the recipient can accept, reject or keep pending each inward invoice. No action means deemed acceptance. From the October 2025 tax period, "pending" is allowed for one tax period only for most records, and the recipient declares the amount of ITC reversed against a credit note (full or partial). GSTR-2B reflects these actions.</w:t>
      </w:r>
    </w:p>
    <w:p>
      <w:pPr>
        <w:pStyle w:val="ListParagraph"/>
        <w:numPr>
          <w:ilvl w:val="0"/>
          <w:numId w:val="2"/>
        </w:numPr>
        <w:spacing w:after="60" w:line="264"/>
      </w:pPr>
      <w:r>
        <w:rPr>
          <w:rFonts w:ascii="Verdana" w:cs="Verdana" w:eastAsia="Verdana" w:hAnsi="Verdana"/>
          <w:b/>
          <w:bCs/>
        </w:rPr>
        <w:t xml:space="preserve">GSTR-3B hard lock</w:t>
      </w:r>
      <w:r>
        <w:rPr>
          <w:rFonts w:ascii="Verdana" w:cs="Verdana" w:eastAsia="Verdana" w:hAnsi="Verdana"/>
        </w:rPr>
        <w:t xml:space="preserve">: from the July 2025 period, the liability in Table 3 of GSTR-3B is auto-populated from GSTR-1, GSTR-1A or IFF and cannot be edited. Errors must be corrected through GSTR-1A before filing GSTR-3B.</w:t>
      </w:r>
    </w:p>
    <w:p>
      <w:pPr>
        <w:pStyle w:val="ListParagraph"/>
        <w:numPr>
          <w:ilvl w:val="0"/>
          <w:numId w:val="2"/>
        </w:numPr>
        <w:spacing w:after="60" w:line="264"/>
      </w:pPr>
      <w:r>
        <w:rPr>
          <w:rFonts w:ascii="Verdana" w:cs="Verdana" w:eastAsia="Verdana" w:hAnsi="Verdana"/>
          <w:b/>
          <w:bCs/>
        </w:rPr>
        <w:t xml:space="preserve">Three-year bar</w:t>
      </w:r>
      <w:r>
        <w:rPr>
          <w:rFonts w:ascii="Verdana" w:cs="Verdana" w:eastAsia="Verdana" w:hAnsi="Verdana"/>
        </w:rPr>
        <w:t xml:space="preserve">: a return (GSTR-1, 3B, 4, 5, 6, 7, 8 or 9) cannot be filed after three years from its due date. The portal enforces this from the July 2025 period. Old non-filers lose the chance to regularise through returns.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13: Credit note after the section 34(2) amendment</w:t>
            </w:r>
          </w:p>
          <w:p>
            <w:pPr>
              <w:spacing w:after="60" w:line="260"/>
            </w:pPr>
            <w:r>
              <w:rPr>
                <w:rFonts w:ascii="Verdana" w:cs="Verdana" w:eastAsia="Verdana" w:hAnsi="Verdana"/>
                <w:sz w:val="20"/>
                <w:szCs w:val="20"/>
              </w:rPr>
              <w:t xml:space="preserve">Jain Electricals issues a credit note to Verma Builders for goods returned: value Rs. 1,00,000 plus GST at 18% = Rs. 18,000. Verma Builders had availed full ITC on the original invoice.</w:t>
            </w:r>
          </w:p>
          <w:p>
            <w:pPr>
              <w:spacing w:after="60" w:line="260"/>
            </w:pPr>
            <w:r>
              <w:rPr>
                <w:rFonts w:ascii="Verdana" w:cs="Verdana" w:eastAsia="Verdana" w:hAnsi="Verdana"/>
                <w:sz w:val="20"/>
                <w:szCs w:val="20"/>
              </w:rPr>
              <w:t xml:space="preserve">Step 1: Verma Builders accepts the credit note in IMS and declares reversal of Rs. 18,000.</w:t>
            </w:r>
          </w:p>
          <w:p>
            <w:pPr>
              <w:spacing w:after="60" w:line="260"/>
            </w:pPr>
            <w:r>
              <w:rPr>
                <w:rFonts w:ascii="Verdana" w:cs="Verdana" w:eastAsia="Verdana" w:hAnsi="Verdana"/>
                <w:sz w:val="20"/>
                <w:szCs w:val="20"/>
              </w:rPr>
              <w:t xml:space="preserve">Step 2: Jain Electricals can then reduce its output tax by Rs. 18,000 in its return.</w:t>
            </w:r>
          </w:p>
          <w:p>
            <w:pPr>
              <w:spacing w:after="60" w:line="260"/>
            </w:pPr>
            <w:r>
              <w:rPr>
                <w:rFonts w:ascii="Verdana" w:cs="Verdana" w:eastAsia="Verdana" w:hAnsi="Verdana"/>
                <w:sz w:val="20"/>
                <w:szCs w:val="20"/>
              </w:rPr>
              <w:t xml:space="preserve">Result: If Verma Builders keeps the credit note pending or rejects it, Jain Electricals cannot reduce its tax until the recipient acts. Suppliers should follow up with customers on credit notes before the return is filed.</w:t>
            </w:r>
          </w:p>
        </w:tc>
      </w:tr>
    </w:tbl>
    <w:p>
      <w:pPr>
        <w:spacing w:after="60"/>
      </w:pPr>
    </w:p>
    <w:p>
      <w:pPr>
        <w:pStyle w:val="Heading2"/>
        <w:keepNext/>
        <w:spacing w:after="120" w:before="240"/>
      </w:pPr>
      <w:r>
        <w:rPr>
          <w:rFonts w:ascii="Verdana" w:cs="Verdana" w:eastAsia="Verdana" w:hAnsi="Verdana"/>
        </w:rPr>
        <w:t xml:space="preserve">3.6 GSTAT and what to watch</w:t>
      </w:r>
    </w:p>
    <w:p>
      <w:pPr>
        <w:spacing w:after="120" w:line="276"/>
        <w:jc w:val="both"/>
      </w:pPr>
      <w:r>
        <w:rPr>
          <w:rFonts w:ascii="Verdana" w:cs="Verdana" w:eastAsia="Verdana" w:hAnsi="Verdana"/>
        </w:rPr>
        <w:t xml:space="preserve">The Goods and Services Tax Appellate Tribunal is now working. E-filing of appeals began on 24 September 2025, the Principal Bench at New Delhi is functioning, and 31 State benches have been notified. A notification of 30 June 2026 fixed 31 July 2026 as the last date for appeals against orders communicated before 1 May 2026; for later orders the normal three months applies. The appeals chapter covers pre-deposit and procedure.</w:t>
      </w:r>
    </w:p>
    <w:p>
      <w:pPr>
        <w:spacing w:after="120" w:line="276"/>
        <w:jc w:val="both"/>
      </w:pPr>
      <w:r>
        <w:rPr>
          <w:rFonts w:ascii="Verdana" w:cs="Verdana" w:eastAsia="Verdana" w:hAnsi="Verdana"/>
        </w:rPr>
        <w:t xml:space="preserve">The 57th meeting of the GST Council is scheduled for October 2026 and is expected to focus on process reforms. Nothing from that meeting is reflected in this edition. Readers should check its outcome, and the notification status of the Finance Act, 2026 amendments, before relying on this chapter.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GST 2.0 (22 September 2025) moved to 5% and 18% as main rates, with 40% for demerit and luxury items; 12% and 28% largely removed.</w:t>
            </w:r>
          </w:p>
          <w:p>
            <w:pPr>
              <w:spacing w:after="60" w:line="260"/>
            </w:pPr>
            <w:r>
              <w:rPr>
                <w:rFonts w:ascii="Verdana" w:cs="Verdana" w:eastAsia="Verdana" w:hAnsi="Verdana"/>
                <w:sz w:val="20"/>
                <w:szCs w:val="20"/>
              </w:rPr>
              <w:t xml:space="preserve">•  A rate cut does not require ITC reversal on stock; accumulation from a rate cut on the same goods is not refundable as inverted duty.</w:t>
            </w:r>
          </w:p>
          <w:p>
            <w:pPr>
              <w:spacing w:after="60" w:line="260"/>
            </w:pPr>
            <w:r>
              <w:rPr>
                <w:rFonts w:ascii="Verdana" w:cs="Verdana" w:eastAsia="Verdana" w:hAnsi="Verdana"/>
                <w:sz w:val="20"/>
                <w:szCs w:val="20"/>
              </w:rPr>
              <w:t xml:space="preserve">•  Where an output becomes exempt (for example individual health insurance), ITC must be reversed under section 17(2) and rules 42 and 43.</w:t>
            </w:r>
          </w:p>
          <w:p>
            <w:pPr>
              <w:spacing w:after="60" w:line="260"/>
            </w:pPr>
            <w:r>
              <w:rPr>
                <w:rFonts w:ascii="Verdana" w:cs="Verdana" w:eastAsia="Verdana" w:hAnsi="Verdana"/>
                <w:sz w:val="20"/>
                <w:szCs w:val="20"/>
              </w:rPr>
              <w:t xml:space="preserve">•  Compensation cess ended on most goods from 22 September 2025 and on tobacco from 1 February 2026; tobacco and pan masala now attract 40% GST.</w:t>
            </w:r>
          </w:p>
          <w:p>
            <w:pPr>
              <w:spacing w:after="60" w:line="260"/>
            </w:pPr>
            <w:r>
              <w:rPr>
                <w:rFonts w:ascii="Verdana" w:cs="Verdana" w:eastAsia="Verdana" w:hAnsi="Verdana"/>
                <w:sz w:val="20"/>
                <w:szCs w:val="20"/>
              </w:rPr>
              <w:t xml:space="preserve">•  Finance Act, 2025: retrospective 17(5)(d) and Schedule III changes, ISD for RCM, credit note condition, IMS, penalty pre-deposit, track and trace.</w:t>
            </w:r>
          </w:p>
          <w:p>
            <w:pPr>
              <w:spacing w:after="60" w:line="260"/>
            </w:pPr>
            <w:r>
              <w:rPr>
                <w:rFonts w:ascii="Verdana" w:cs="Verdana" w:eastAsia="Verdana" w:hAnsi="Verdana"/>
                <w:sz w:val="20"/>
                <w:szCs w:val="20"/>
              </w:rPr>
              <w:t xml:space="preserve">•  Finance Act, 2026: intermediary place of supply changed and interim NAAAR in force; post-sale discount and refund amendments not yet notified.</w:t>
            </w:r>
          </w:p>
          <w:p>
            <w:pPr>
              <w:spacing w:after="60" w:line="260"/>
            </w:pPr>
            <w:r>
              <w:rPr>
                <w:rFonts w:ascii="Verdana" w:cs="Verdana" w:eastAsia="Verdana" w:hAnsi="Verdana"/>
                <w:sz w:val="20"/>
                <w:szCs w:val="20"/>
              </w:rPr>
              <w:t xml:space="preserve">•  IMS, GSTR-3B hard lock and the three-year bar make timely and accurate returns more important than ever; GSTAT is now operational.</w:t>
            </w:r>
          </w:p>
        </w:tc>
      </w:tr>
    </w:tbl>
    <w:p>
      <w:pPr>
        <w:pStyle w:val="Heading1"/>
        <w:pageBreakBefore/>
        <w:spacing w:after="200" w:before="0"/>
      </w:pPr>
      <w:r>
        <w:rPr>
          <w:rFonts w:ascii="Verdana" w:cs="Verdana" w:eastAsia="Verdana" w:hAnsi="Verdana"/>
        </w:rPr>
        <w:t xml:space="preserve">4. Key Definitions (Section 2)</w:t>
      </w:r>
    </w:p>
    <w:p>
      <w:pPr>
        <w:spacing w:after="120" w:line="276"/>
        <w:jc w:val="both"/>
      </w:pPr>
      <w:r>
        <w:rPr>
          <w:rFonts w:ascii="Verdana" w:cs="Verdana" w:eastAsia="Verdana" w:hAnsi="Verdana"/>
        </w:rPr>
        <w:t xml:space="preserve">Section 2 of the CGST Act has more than 120 definitions, and section 2 of the IGST Act adds a few more. Many disputes turn on one word: whether an item is goods or a service, whether a receipt is consideration, whether two entities are related. This chapter explains the definitions that matter most in daily work, with a short illustration of each important term.</w:t>
      </w:r>
    </w:p>
    <w:p>
      <w:pPr>
        <w:pStyle w:val="Heading2"/>
        <w:keepNext/>
        <w:spacing w:after="120" w:before="240"/>
      </w:pPr>
      <w:r>
        <w:rPr>
          <w:rFonts w:ascii="Verdana" w:cs="Verdana" w:eastAsia="Verdana" w:hAnsi="Verdana"/>
        </w:rPr>
        <w:t xml:space="preserve">4.1 Goods, services, money and securities</w:t>
      </w:r>
    </w:p>
    <w:p>
      <w:pPr>
        <w:spacing w:after="120" w:line="276"/>
        <w:jc w:val="both"/>
      </w:pPr>
      <w:r>
        <w:rPr>
          <w:rFonts w:ascii="Verdana" w:cs="Verdana" w:eastAsia="Verdana" w:hAnsi="Verdana"/>
          <w:b/>
          <w:bCs/>
        </w:rPr>
        <w:t xml:space="preserve">Goods</w:t>
      </w:r>
      <w:r>
        <w:rPr>
          <w:rFonts w:ascii="Verdana" w:cs="Verdana" w:eastAsia="Verdana" w:hAnsi="Verdana"/>
        </w:rPr>
        <w:t xml:space="preserve"> (section 2(52)) means every kind of movable property other than money and securities. It includes actionable claims, growing crops, grass and things attached to or forming part of the land which are agreed to be severed before supply or under a contract of supply. </w:t>
      </w:r>
      <w:r>
        <w:rPr>
          <w:rFonts w:ascii="Verdana" w:cs="Verdana" w:eastAsia="Verdana" w:hAnsi="Verdana"/>
          <w:b/>
          <w:bCs/>
        </w:rPr>
        <w:t xml:space="preserve">Services</w:t>
      </w:r>
      <w:r>
        <w:rPr>
          <w:rFonts w:ascii="Verdana" w:cs="Verdana" w:eastAsia="Verdana" w:hAnsi="Verdana"/>
        </w:rPr>
        <w:t xml:space="preserve"> (section 2(102)) means anything other than goods, money and securities. It includes activities relating to the use of money or its conversion from one form, currency or denomination to another for which a separate consideration is charged, and facilitating or arranging transactions in securities.</w:t>
      </w:r>
    </w:p>
    <w:p>
      <w:pPr>
        <w:spacing w:after="120" w:line="276"/>
        <w:jc w:val="both"/>
      </w:pPr>
      <w:r>
        <w:rPr>
          <w:rFonts w:ascii="Verdana" w:cs="Verdana" w:eastAsia="Verdana" w:hAnsi="Verdana"/>
          <w:b/>
          <w:bCs/>
        </w:rPr>
        <w:t xml:space="preserve">Money</w:t>
      </w:r>
      <w:r>
        <w:rPr>
          <w:rFonts w:ascii="Verdana" w:cs="Verdana" w:eastAsia="Verdana" w:hAnsi="Verdana"/>
        </w:rPr>
        <w:t xml:space="preserve"> (section 2(75)) covers Indian legal tender, foreign currency, cheques, promissory notes, bills of exchange, letters of credit, drafts, pay orders, traveller cheques, money orders, postal or electronic remittances and other instruments recognised by the RBI, when used as consideration or exchanged for legal tender of another denomination. Currency held for its numismatic value is not money; a rare coin sold to a collector is goods. </w:t>
      </w:r>
      <w:r>
        <w:rPr>
          <w:rFonts w:ascii="Verdana" w:cs="Verdana" w:eastAsia="Verdana" w:hAnsi="Verdana"/>
          <w:b/>
          <w:bCs/>
        </w:rPr>
        <w:t xml:space="preserve">Securities</w:t>
      </w:r>
      <w:r>
        <w:rPr>
          <w:rFonts w:ascii="Verdana" w:cs="Verdana" w:eastAsia="Verdana" w:hAnsi="Verdana"/>
        </w:rPr>
        <w:t xml:space="preserve"> (section 2(101)) take the meaning in the Securities Contracts (Regulation) Act, 1956: shares, debentures, bonds, units of mutual funds and similar instruments.</w:t>
      </w:r>
    </w:p>
    <w:p>
      <w:pPr>
        <w:spacing w:after="120" w:line="276"/>
        <w:jc w:val="both"/>
      </w:pPr>
      <w:r>
        <w:rPr>
          <w:rFonts w:ascii="Verdana" w:cs="Verdana" w:eastAsia="Verdana" w:hAnsi="Verdana"/>
        </w:rPr>
        <w:t xml:space="preserve">Money and securities are neither goods nor services, so their transfer is not a supply. But a fee charged for dealing in them (brokerage, money-changing margin, loan processing fee) is a service. The residual definition of services means nothing escapes classification: whatever is not goods, money or securities is a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Software as goods</w:t>
            </w:r>
          </w:p>
          <w:p>
            <w:pPr>
              <w:spacing w:after="60" w:line="260"/>
            </w:pPr>
            <w:r>
              <w:rPr>
                <w:rFonts w:ascii="Verdana" w:cs="Verdana" w:eastAsia="Verdana" w:hAnsi="Verdana"/>
                <w:b/>
                <w:bCs/>
                <w:sz w:val="20"/>
                <w:szCs w:val="20"/>
              </w:rPr>
              <w:t xml:space="preserve">Tata Consultancy Services v. State of Andhra Pradesh (Supreme Court, 2004):</w:t>
            </w:r>
            <w:r>
              <w:rPr>
                <w:rFonts w:ascii="Verdana" w:cs="Verdana" w:eastAsia="Verdana" w:hAnsi="Verdana"/>
                <w:sz w:val="20"/>
                <w:szCs w:val="20"/>
              </w:rPr>
              <w:t xml:space="preserve"> Canned (off-the-shelf) software recorded on a medium and sold to customers was held to be goods, liable to State sales tax. The Court reasoned that intangible property can be goods if it is capable of being bought, sold, transmitted and stored.</w:t>
            </w:r>
          </w:p>
          <w:p>
            <w:pPr>
              <w:spacing w:after="60" w:line="260"/>
            </w:pPr>
            <w:r>
              <w:rPr>
                <w:rFonts w:ascii="Verdana" w:cs="Verdana" w:eastAsia="Verdana" w:hAnsi="Verdana"/>
                <w:b/>
                <w:bCs/>
                <w:sz w:val="20"/>
                <w:szCs w:val="20"/>
              </w:rPr>
              <w:t xml:space="preserve">Practical relevance under GST:</w:t>
            </w:r>
            <w:r>
              <w:rPr>
                <w:rFonts w:ascii="Verdana" w:cs="Verdana" w:eastAsia="Verdana" w:hAnsi="Verdana"/>
                <w:sz w:val="20"/>
                <w:szCs w:val="20"/>
              </w:rPr>
              <w:t xml:space="preserve"> Pre-packaged software supplied on a physical medium is still treated as goods, while development, customisation, upgradation and implementation of software are services under Schedule II para 5(d), as is a licence to use software. Both are mostly at 18%, but the distinction matters for place of supply, time of supply and the e-way bill.</w:t>
            </w:r>
          </w:p>
        </w:tc>
      </w:tr>
    </w:tbl>
    <w:p>
      <w:pPr>
        <w:spacing w:after="60"/>
      </w:pPr>
    </w:p>
    <w:p>
      <w:pPr>
        <w:pStyle w:val="Heading2"/>
        <w:keepNext/>
        <w:spacing w:after="120" w:before="240"/>
      </w:pPr>
      <w:r>
        <w:rPr>
          <w:rFonts w:ascii="Verdana" w:cs="Verdana" w:eastAsia="Verdana" w:hAnsi="Verdana"/>
        </w:rPr>
        <w:t xml:space="preserve">4.2 Actionable claims and specified actionable claims</w:t>
      </w:r>
    </w:p>
    <w:p>
      <w:pPr>
        <w:spacing w:after="120" w:line="276"/>
        <w:jc w:val="both"/>
      </w:pPr>
      <w:r>
        <w:rPr>
          <w:rFonts w:ascii="Verdana" w:cs="Verdana" w:eastAsia="Verdana" w:hAnsi="Verdana"/>
        </w:rPr>
        <w:t xml:space="preserve">An </w:t>
      </w:r>
      <w:r>
        <w:rPr>
          <w:rFonts w:ascii="Verdana" w:cs="Verdana" w:eastAsia="Verdana" w:hAnsi="Verdana"/>
          <w:b/>
          <w:bCs/>
        </w:rPr>
        <w:t xml:space="preserve">actionable claim</w:t>
      </w:r>
      <w:r>
        <w:rPr>
          <w:rFonts w:ascii="Verdana" w:cs="Verdana" w:eastAsia="Verdana" w:hAnsi="Verdana"/>
        </w:rPr>
        <w:t xml:space="preserve"> (section 2(1), taking the meaning in section 3 of the Transfer of Property Act, 1882) is a claim to an unsecured debt or to a beneficial interest in movable property not in possession, which the civil courts recognise as a ground for relief. Book debts, lottery tickets and a claim to a prize are common examples. Actionable claims are goods, but Schedule III treats them as neither goods nor services, except </w:t>
      </w:r>
      <w:r>
        <w:rPr>
          <w:rFonts w:ascii="Verdana" w:cs="Verdana" w:eastAsia="Verdana" w:hAnsi="Verdana"/>
          <w:b/>
          <w:bCs/>
        </w:rPr>
        <w:t xml:space="preserve">specified actionable claims</w:t>
      </w:r>
      <w:r>
        <w:rPr>
          <w:rFonts w:ascii="Verdana" w:cs="Verdana" w:eastAsia="Verdana" w:hAnsi="Verdana"/>
        </w:rPr>
        <w:t xml:space="preserve"> (section 2(102A), from 1 October 2023): betting, casinos, gambling, horse racing, lottery and online money gaming. From 22 September 2025 these are taxed at 40%. Assignment of a trade receivable to a factor is therefore not a supply, though the factoring charge is a service.</w:t>
      </w:r>
    </w:p>
    <w:p>
      <w:pPr>
        <w:pStyle w:val="Heading2"/>
        <w:keepNext/>
        <w:spacing w:after="120" w:before="240"/>
      </w:pPr>
      <w:r>
        <w:rPr>
          <w:rFonts w:ascii="Verdana" w:cs="Verdana" w:eastAsia="Verdana" w:hAnsi="Verdana"/>
        </w:rPr>
        <w:t xml:space="preserve">4.3 Business (section 2(17))</w:t>
      </w:r>
    </w:p>
    <w:p>
      <w:pPr>
        <w:spacing w:after="120" w:line="276"/>
        <w:jc w:val="both"/>
      </w:pPr>
      <w:r>
        <w:rPr>
          <w:rFonts w:ascii="Verdana" w:cs="Verdana" w:eastAsia="Verdana" w:hAnsi="Verdana"/>
        </w:rPr>
        <w:t xml:space="preserve">Supply is taxable only when made in the course or furtherance of business, so the width of this definition is important. "Business" includes:</w:t>
      </w:r>
    </w:p>
    <w:p>
      <w:pPr>
        <w:pStyle w:val="ListParagraph"/>
        <w:numPr>
          <w:ilvl w:val="0"/>
          <w:numId w:val="2"/>
        </w:numPr>
        <w:spacing w:after="60" w:line="264"/>
      </w:pPr>
      <w:r>
        <w:rPr>
          <w:rFonts w:ascii="Verdana" w:cs="Verdana" w:eastAsia="Verdana" w:hAnsi="Verdana"/>
        </w:rPr>
        <w:t xml:space="preserve">any trade, commerce, manufacture, profession, vocation, adventure, wager or similar activity, whether or not for a profit;</w:t>
      </w:r>
    </w:p>
    <w:p>
      <w:pPr>
        <w:pStyle w:val="ListParagraph"/>
        <w:numPr>
          <w:ilvl w:val="0"/>
          <w:numId w:val="2"/>
        </w:numPr>
        <w:spacing w:after="60" w:line="264"/>
      </w:pPr>
      <w:r>
        <w:rPr>
          <w:rFonts w:ascii="Verdana" w:cs="Verdana" w:eastAsia="Verdana" w:hAnsi="Verdana"/>
        </w:rPr>
        <w:t xml:space="preserve">any activity in connection with, incidental or ancillary to the above, including supply or acquisition of goods (including capital goods) and services at the start or closure of business;</w:t>
      </w:r>
    </w:p>
    <w:p>
      <w:pPr>
        <w:pStyle w:val="ListParagraph"/>
        <w:numPr>
          <w:ilvl w:val="0"/>
          <w:numId w:val="2"/>
        </w:numPr>
        <w:spacing w:after="60" w:line="264"/>
      </w:pPr>
      <w:r>
        <w:rPr>
          <w:rFonts w:ascii="Verdana" w:cs="Verdana" w:eastAsia="Verdana" w:hAnsi="Verdana"/>
        </w:rPr>
        <w:t xml:space="preserve">any activity of that nature whether or not there is volume, frequency, continuity or regularity; a one-time transaction can be business;</w:t>
      </w:r>
    </w:p>
    <w:p>
      <w:pPr>
        <w:pStyle w:val="ListParagraph"/>
        <w:numPr>
          <w:ilvl w:val="0"/>
          <w:numId w:val="2"/>
        </w:numPr>
        <w:spacing w:after="60" w:line="264"/>
      </w:pPr>
      <w:r>
        <w:rPr>
          <w:rFonts w:ascii="Verdana" w:cs="Verdana" w:eastAsia="Verdana" w:hAnsi="Verdana"/>
        </w:rPr>
        <w:t xml:space="preserve">provision of facilities or benefits by a club, association or society to its members for a subscription or other consideration (clause (e));</w:t>
      </w:r>
    </w:p>
    <w:p>
      <w:pPr>
        <w:pStyle w:val="ListParagraph"/>
        <w:numPr>
          <w:ilvl w:val="0"/>
          <w:numId w:val="2"/>
        </w:numPr>
        <w:spacing w:after="60" w:line="264"/>
      </w:pPr>
      <w:r>
        <w:rPr>
          <w:rFonts w:ascii="Verdana" w:cs="Verdana" w:eastAsia="Verdana" w:hAnsi="Verdana"/>
        </w:rPr>
        <w:t xml:space="preserve">admission of persons to any premises for consideration;</w:t>
      </w:r>
    </w:p>
    <w:p>
      <w:pPr>
        <w:pStyle w:val="ListParagraph"/>
        <w:numPr>
          <w:ilvl w:val="0"/>
          <w:numId w:val="2"/>
        </w:numPr>
        <w:spacing w:after="60" w:line="264"/>
      </w:pPr>
      <w:r>
        <w:rPr>
          <w:rFonts w:ascii="Verdana" w:cs="Verdana" w:eastAsia="Verdana" w:hAnsi="Verdana"/>
        </w:rPr>
        <w:t xml:space="preserve">services supplied as holder of an office accepted in the course of a trade, profession or vocation;</w:t>
      </w:r>
    </w:p>
    <w:p>
      <w:pPr>
        <w:pStyle w:val="ListParagraph"/>
        <w:numPr>
          <w:ilvl w:val="0"/>
          <w:numId w:val="2"/>
        </w:numPr>
        <w:spacing w:after="60" w:line="264"/>
      </w:pPr>
      <w:r>
        <w:rPr>
          <w:rFonts w:ascii="Verdana" w:cs="Verdana" w:eastAsia="Verdana" w:hAnsi="Verdana"/>
        </w:rPr>
        <w:t xml:space="preserve">activities in connection with specified actionable claims; and</w:t>
      </w:r>
    </w:p>
    <w:p>
      <w:pPr>
        <w:pStyle w:val="ListParagraph"/>
        <w:numPr>
          <w:ilvl w:val="0"/>
          <w:numId w:val="2"/>
        </w:numPr>
        <w:spacing w:after="60" w:line="264"/>
      </w:pPr>
      <w:r>
        <w:rPr>
          <w:rFonts w:ascii="Verdana" w:cs="Verdana" w:eastAsia="Verdana" w:hAnsi="Verdana"/>
        </w:rPr>
        <w:t xml:space="preserve">any activity or transaction undertaken by the Central Government, a State Government or a local authority in which they are engaged as public authorities (clause (i)).</w:t>
      </w:r>
    </w:p>
    <w:p>
      <w:pPr>
        <w:spacing w:after="120" w:line="276"/>
        <w:jc w:val="both"/>
      </w:pPr>
      <w:r>
        <w:rPr>
          <w:rFonts w:ascii="Verdana" w:cs="Verdana" w:eastAsia="Verdana" w:hAnsi="Verdana"/>
        </w:rPr>
        <w:t xml:space="preserve">Profit motive is irrelevant. A charitable trust running a paid guest house, a club serving meals to members, and a municipal corporation letting out a hall are all carrying on business for GST purposes, subject to any exemption. Clause (e) and the related section 7(1)(aa) have been struck down by the Kerala High Court; that decision is under appeal (Chapter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14: Government activity as business</w:t>
            </w:r>
          </w:p>
          <w:p>
            <w:pPr>
              <w:spacing w:after="60" w:line="260"/>
            </w:pPr>
            <w:r>
              <w:rPr>
                <w:rFonts w:ascii="Verdana" w:cs="Verdana" w:eastAsia="Verdana" w:hAnsi="Verdana"/>
                <w:sz w:val="20"/>
                <w:szCs w:val="20"/>
              </w:rPr>
              <w:t xml:space="preserve">Ahmedabad Municipal Corporation lets out a community hall to Sharma Textiles Pvt. Ltd. (registered) for its annual function at Rs. 1,00,000.</w:t>
            </w:r>
          </w:p>
          <w:p>
            <w:pPr>
              <w:spacing w:after="60" w:line="260"/>
            </w:pPr>
            <w:r>
              <w:rPr>
                <w:rFonts w:ascii="Verdana" w:cs="Verdana" w:eastAsia="Verdana" w:hAnsi="Verdana"/>
                <w:sz w:val="20"/>
                <w:szCs w:val="20"/>
              </w:rPr>
              <w:t xml:space="preserve">Step 1: Letting out a hall for consideration is an activity of a local authority as a public authority; it is business under section 2(17)(i).</w:t>
            </w:r>
          </w:p>
          <w:p>
            <w:pPr>
              <w:spacing w:after="60" w:line="260"/>
            </w:pPr>
            <w:r>
              <w:rPr>
                <w:rFonts w:ascii="Verdana" w:cs="Verdana" w:eastAsia="Verdana" w:hAnsi="Verdana"/>
                <w:sz w:val="20"/>
                <w:szCs w:val="20"/>
              </w:rPr>
              <w:t xml:space="preserve">Step 2: Renting of immovable property by a local authority to a registered person is taxable under reverse charge. Sharma Textiles pays GST at 18%: CGST Rs. 9,000 + SGST Rs. 9,000 = Rs. 18,000, and can take ITC if the use is for business.</w:t>
            </w:r>
          </w:p>
        </w:tc>
      </w:tr>
    </w:tbl>
    <w:p>
      <w:pPr>
        <w:spacing w:after="60"/>
      </w:pPr>
    </w:p>
    <w:p>
      <w:pPr>
        <w:pStyle w:val="Heading2"/>
        <w:keepNext/>
        <w:spacing w:after="120" w:before="240"/>
      </w:pPr>
      <w:r>
        <w:rPr>
          <w:rFonts w:ascii="Verdana" w:cs="Verdana" w:eastAsia="Verdana" w:hAnsi="Verdana"/>
        </w:rPr>
        <w:t xml:space="preserve">4.4 Person, taxable person and registered person</w:t>
      </w:r>
    </w:p>
    <w:p>
      <w:pPr>
        <w:spacing w:after="120" w:line="276"/>
        <w:jc w:val="both"/>
      </w:pPr>
      <w:r>
        <w:rPr>
          <w:rFonts w:ascii="Verdana" w:cs="Verdana" w:eastAsia="Verdana" w:hAnsi="Verdana"/>
          <w:b/>
          <w:bCs/>
        </w:rPr>
        <w:t xml:space="preserve">Person</w:t>
      </w:r>
      <w:r>
        <w:rPr>
          <w:rFonts w:ascii="Verdana" w:cs="Verdana" w:eastAsia="Verdana" w:hAnsi="Verdana"/>
        </w:rPr>
        <w:t xml:space="preserve"> (section 2(84)) is widely defined: individual, HUF, company, firm, LLP, AOP or BOI, corporations and Government companies, bodies corporate incorporated outside India, co-operative societies, local authorities, the Central and State Governments, societies, trusts and every artificial juridical person. </w:t>
      </w:r>
      <w:r>
        <w:rPr>
          <w:rFonts w:ascii="Verdana" w:cs="Verdana" w:eastAsia="Verdana" w:hAnsi="Verdana"/>
          <w:b/>
          <w:bCs/>
        </w:rPr>
        <w:t xml:space="preserve">Taxable person</w:t>
      </w:r>
      <w:r>
        <w:rPr>
          <w:rFonts w:ascii="Verdana" w:cs="Verdana" w:eastAsia="Verdana" w:hAnsi="Verdana"/>
        </w:rPr>
        <w:t xml:space="preserve"> (section 2(107)) is a person who is registered or liable to be registered under section 22 or 24. </w:t>
      </w:r>
      <w:r>
        <w:rPr>
          <w:rFonts w:ascii="Verdana" w:cs="Verdana" w:eastAsia="Verdana" w:hAnsi="Verdana"/>
          <w:b/>
          <w:bCs/>
        </w:rPr>
        <w:t xml:space="preserve">Registered person</w:t>
      </w:r>
      <w:r>
        <w:rPr>
          <w:rFonts w:ascii="Verdana" w:cs="Verdana" w:eastAsia="Verdana" w:hAnsi="Verdana"/>
        </w:rPr>
        <w:t xml:space="preserve"> (section 2(94)) is a person registered under section 25, but not one holding only a Unique Identity Number (such as an embassy). A person who crosses the threshold but has not applied for registration is still a taxable person and is liable to tax from the date he became liable.</w:t>
      </w:r>
    </w:p>
    <w:p>
      <w:pPr>
        <w:pStyle w:val="Heading2"/>
        <w:keepNext/>
        <w:spacing w:after="120" w:before="240"/>
      </w:pPr>
      <w:r>
        <w:rPr>
          <w:rFonts w:ascii="Verdana" w:cs="Verdana" w:eastAsia="Verdana" w:hAnsi="Verdana"/>
        </w:rPr>
        <w:t xml:space="preserve">4.5 Supplier and recipient</w:t>
      </w:r>
    </w:p>
    <w:p>
      <w:pPr>
        <w:spacing w:after="120" w:line="276"/>
        <w:jc w:val="both"/>
      </w:pPr>
      <w:r>
        <w:rPr>
          <w:rFonts w:ascii="Verdana" w:cs="Verdana" w:eastAsia="Verdana" w:hAnsi="Verdana"/>
        </w:rPr>
        <w:t xml:space="preserve">The </w:t>
      </w:r>
      <w:r>
        <w:rPr>
          <w:rFonts w:ascii="Verdana" w:cs="Verdana" w:eastAsia="Verdana" w:hAnsi="Verdana"/>
          <w:b/>
          <w:bCs/>
        </w:rPr>
        <w:t xml:space="preserve">supplier</w:t>
      </w:r>
      <w:r>
        <w:rPr>
          <w:rFonts w:ascii="Verdana" w:cs="Verdana" w:eastAsia="Verdana" w:hAnsi="Verdana"/>
        </w:rPr>
        <w:t xml:space="preserve"> (section 2(105)) is the person supplying the goods or services and includes an agent acting on behalf of the principal. The </w:t>
      </w:r>
      <w:r>
        <w:rPr>
          <w:rFonts w:ascii="Verdana" w:cs="Verdana" w:eastAsia="Verdana" w:hAnsi="Verdana"/>
          <w:b/>
          <w:bCs/>
        </w:rPr>
        <w:t xml:space="preserve">recipient</w:t>
      </w:r>
      <w:r>
        <w:rPr>
          <w:rFonts w:ascii="Verdana" w:cs="Verdana" w:eastAsia="Verdana" w:hAnsi="Verdana"/>
        </w:rPr>
        <w:t xml:space="preserve"> (section 2(93)) is the person liable to pay the consideration. Where no consideration is payable, the recipient is the person to whom goods are delivered or made available, or to whom the service is rendered. The recipient also includes an agent acting for the recipient. Identifying the recipient correctly matters for reverse charge, place of supply and ITC, because only the person named as recipient on the invoice can claim ITC.</w:t>
      </w:r>
    </w:p>
    <w:p>
      <w:pPr>
        <w:pStyle w:val="Heading2"/>
        <w:keepNext/>
        <w:spacing w:after="120" w:before="240"/>
      </w:pPr>
      <w:r>
        <w:rPr>
          <w:rFonts w:ascii="Verdana" w:cs="Verdana" w:eastAsia="Verdana" w:hAnsi="Verdana"/>
        </w:rPr>
        <w:t xml:space="preserve">4.6 Consideration</w:t>
      </w:r>
    </w:p>
    <w:p>
      <w:pPr>
        <w:spacing w:after="120" w:line="276"/>
        <w:jc w:val="both"/>
      </w:pPr>
      <w:r>
        <w:rPr>
          <w:rFonts w:ascii="Verdana" w:cs="Verdana" w:eastAsia="Verdana" w:hAnsi="Verdana"/>
          <w:b/>
          <w:bCs/>
        </w:rPr>
        <w:t xml:space="preserve">Consideration</w:t>
      </w:r>
      <w:r>
        <w:rPr>
          <w:rFonts w:ascii="Verdana" w:cs="Verdana" w:eastAsia="Verdana" w:hAnsi="Verdana"/>
        </w:rPr>
        <w:t xml:space="preserve"> (section 2(31)) is any payment, in money or otherwise, and the monetary value of any act or forbearance, made in respect of, in response to, or for the inducement of a supply, whether by the recipient or by any other person. Three points follow.</w:t>
      </w:r>
    </w:p>
    <w:p>
      <w:pPr>
        <w:pStyle w:val="ListParagraph"/>
        <w:numPr>
          <w:ilvl w:val="0"/>
          <w:numId w:val="2"/>
        </w:numPr>
        <w:spacing w:after="60" w:line="264"/>
      </w:pPr>
      <w:r>
        <w:rPr>
          <w:rFonts w:ascii="Verdana" w:cs="Verdana" w:eastAsia="Verdana" w:hAnsi="Verdana"/>
          <w:b/>
          <w:bCs/>
        </w:rPr>
        <w:t xml:space="preserve">Third-party payment counts.</w:t>
      </w:r>
      <w:r>
        <w:rPr>
          <w:rFonts w:ascii="Verdana" w:cs="Verdana" w:eastAsia="Verdana" w:hAnsi="Verdana"/>
        </w:rPr>
        <w:t xml:space="preserve"> If an insurer pays a garage for repairing a customer's car, the insurer's payment is consideration for the garage's supply.</w:t>
      </w:r>
    </w:p>
    <w:p>
      <w:pPr>
        <w:pStyle w:val="ListParagraph"/>
        <w:numPr>
          <w:ilvl w:val="0"/>
          <w:numId w:val="2"/>
        </w:numPr>
        <w:spacing w:after="60" w:line="264"/>
      </w:pPr>
      <w:r>
        <w:rPr>
          <w:rFonts w:ascii="Verdana" w:cs="Verdana" w:eastAsia="Verdana" w:hAnsi="Verdana"/>
          <w:b/>
          <w:bCs/>
        </w:rPr>
        <w:t xml:space="preserve">Subsidies from the Central or State Government are excluded</w:t>
      </w:r>
      <w:r>
        <w:rPr>
          <w:rFonts w:ascii="Verdana" w:cs="Verdana" w:eastAsia="Verdana" w:hAnsi="Verdana"/>
        </w:rPr>
        <w:t xml:space="preserve"> from consideration, and section 15(2)(e) excludes them from value. Subsidies from others (for example, a manufacturer funding a dealer discount) are included where directly linked to price.</w:t>
      </w:r>
    </w:p>
    <w:p>
      <w:pPr>
        <w:pStyle w:val="ListParagraph"/>
        <w:numPr>
          <w:ilvl w:val="0"/>
          <w:numId w:val="2"/>
        </w:numPr>
        <w:spacing w:after="60" w:line="264"/>
      </w:pPr>
      <w:r>
        <w:rPr>
          <w:rFonts w:ascii="Verdana" w:cs="Verdana" w:eastAsia="Verdana" w:hAnsi="Verdana"/>
          <w:b/>
          <w:bCs/>
        </w:rPr>
        <w:t xml:space="preserve">Deposits</w:t>
      </w:r>
      <w:r>
        <w:rPr>
          <w:rFonts w:ascii="Verdana" w:cs="Verdana" w:eastAsia="Verdana" w:hAnsi="Verdana"/>
        </w:rPr>
        <w:t xml:space="preserve"> are not consideration unless the supplier applies them as consideration for the supply. A refundable security deposit is not taxed when received; it becomes taxable when and to the extent it is adjusted against dues.</w:t>
      </w:r>
    </w:p>
    <w:p>
      <w:pPr>
        <w:spacing w:after="120" w:line="276"/>
        <w:jc w:val="both"/>
      </w:pPr>
      <w:r>
        <w:rPr>
          <w:rFonts w:ascii="Verdana" w:cs="Verdana" w:eastAsia="Verdana" w:hAnsi="Verdana"/>
        </w:rPr>
        <w:t xml:space="preserve">Grants and donations without any reciprocal obligation are not consideration. Penalties imposed by law and many compensation payments are not consideration either, because nothing is supplied in return. These are covered with CBIC's clarifications in Chapter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15: Deposits and Government subsidy</w:t>
            </w:r>
          </w:p>
          <w:p>
            <w:pPr>
              <w:spacing w:after="60" w:line="260"/>
            </w:pPr>
            <w:r>
              <w:rPr>
                <w:rFonts w:ascii="Verdana" w:cs="Verdana" w:eastAsia="Verdana" w:hAnsi="Verdana"/>
                <w:sz w:val="20"/>
                <w:szCs w:val="20"/>
              </w:rPr>
              <w:t xml:space="preserve">(a) Joshi Motors pays a refundable deposit of Rs. 2,00,000 to its landlord at the start of a lease. No GST is payable on the deposit. At the end of the lease, the landlord adjusts Rs. 60,000 against the last two months' rent of Rs. 30,000 each. That Rs. 60,000 is now consideration for renting. GST at 18% = Rs. 10,800, payable at the time of adjustment if the rent had not already been invoiced.</w:t>
            </w:r>
          </w:p>
          <w:p>
            <w:pPr>
              <w:spacing w:after="60" w:line="260"/>
            </w:pPr>
            <w:r>
              <w:rPr>
                <w:rFonts w:ascii="Verdana" w:cs="Verdana" w:eastAsia="Verdana" w:hAnsi="Verdana"/>
                <w:sz w:val="20"/>
                <w:szCs w:val="20"/>
              </w:rPr>
              <w:t xml:space="preserve">(b) Surya Solar sells a solar water pump for Rs. 1,00,000. The farmer pays Rs. 40,000 and the State Government pays Rs. 60,000 directly to Surya Solar under a subsidy scheme. The Government subsidy is excluded from value. Taxable value = Rs. 40,000; GST at 5% = Rs. 2,000.</w:t>
            </w:r>
          </w:p>
        </w:tc>
      </w:tr>
    </w:tbl>
    <w:p>
      <w:pPr>
        <w:spacing w:after="60"/>
      </w:pPr>
    </w:p>
    <w:p>
      <w:pPr>
        <w:pStyle w:val="Heading2"/>
        <w:keepNext/>
        <w:spacing w:after="120" w:before="240"/>
      </w:pPr>
      <w:r>
        <w:rPr>
          <w:rFonts w:ascii="Verdana" w:cs="Verdana" w:eastAsia="Verdana" w:hAnsi="Verdana"/>
        </w:rPr>
        <w:t xml:space="preserve">4.7 Aggregate turnover (section 2(6))</w:t>
      </w:r>
    </w:p>
    <w:p>
      <w:pPr>
        <w:spacing w:after="120" w:line="276"/>
        <w:jc w:val="both"/>
      </w:pPr>
      <w:r>
        <w:rPr>
          <w:rFonts w:ascii="Verdana" w:cs="Verdana" w:eastAsia="Verdana" w:hAnsi="Verdana"/>
        </w:rPr>
        <w:t xml:space="preserve">Aggregate turnover decides registration, composition eligibility, e-invoicing, HSN digits, annual return and audit-type reconciliation, and many other thresholds. It is computed on an all-India basis for all registrations under the same PAN and includes:</w:t>
      </w:r>
    </w:p>
    <w:p>
      <w:pPr>
        <w:pStyle w:val="ListParagraph"/>
        <w:numPr>
          <w:ilvl w:val="0"/>
          <w:numId w:val="2"/>
        </w:numPr>
        <w:spacing w:after="60" w:line="264"/>
      </w:pPr>
      <w:r>
        <w:rPr>
          <w:rFonts w:ascii="Verdana" w:cs="Verdana" w:eastAsia="Verdana" w:hAnsi="Verdana"/>
        </w:rPr>
        <w:t xml:space="preserve">taxable supplies (excluding the value of inward supplies on which the person pays tax under reverse charge);</w:t>
      </w:r>
    </w:p>
    <w:p>
      <w:pPr>
        <w:pStyle w:val="ListParagraph"/>
        <w:numPr>
          <w:ilvl w:val="0"/>
          <w:numId w:val="2"/>
        </w:numPr>
        <w:spacing w:after="60" w:line="264"/>
      </w:pPr>
      <w:r>
        <w:rPr>
          <w:rFonts w:ascii="Verdana" w:cs="Verdana" w:eastAsia="Verdana" w:hAnsi="Verdana"/>
        </w:rPr>
        <w:t xml:space="preserve">exempt supplies, which by definition include non-taxable supplies such as sales of liquor;</w:t>
      </w:r>
    </w:p>
    <w:p>
      <w:pPr>
        <w:pStyle w:val="ListParagraph"/>
        <w:numPr>
          <w:ilvl w:val="0"/>
          <w:numId w:val="2"/>
        </w:numPr>
        <w:spacing w:after="60" w:line="264"/>
      </w:pPr>
      <w:r>
        <w:rPr>
          <w:rFonts w:ascii="Verdana" w:cs="Verdana" w:eastAsia="Verdana" w:hAnsi="Verdana"/>
        </w:rPr>
        <w:t xml:space="preserve">exports of goods or services; and</w:t>
      </w:r>
    </w:p>
    <w:p>
      <w:pPr>
        <w:pStyle w:val="ListParagraph"/>
        <w:numPr>
          <w:ilvl w:val="0"/>
          <w:numId w:val="2"/>
        </w:numPr>
        <w:spacing w:after="60" w:line="264"/>
      </w:pPr>
      <w:r>
        <w:rPr>
          <w:rFonts w:ascii="Verdana" w:cs="Verdana" w:eastAsia="Verdana" w:hAnsi="Verdana"/>
        </w:rPr>
        <w:t xml:space="preserve">inter-State supplies between distinct persons having the same PAN (stock transfers and cross charges).</w:t>
      </w:r>
    </w:p>
    <w:p>
      <w:pPr>
        <w:spacing w:after="120" w:line="276"/>
        <w:jc w:val="both"/>
      </w:pPr>
      <w:r>
        <w:rPr>
          <w:rFonts w:ascii="Verdana" w:cs="Verdana" w:eastAsia="Verdana" w:hAnsi="Verdana"/>
        </w:rPr>
        <w:t xml:space="preserve">It excludes CGST, SGST, UTGST, IGST and compensation cess. Transactions in Schedule III (such as sale of land) are not supplies at all and are left out. For composition eligibility, interest on deposits and loans is excluded (Chapter 9); for registration, it is included.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16: Computing aggregate turnover</w:t>
            </w:r>
          </w:p>
          <w:p>
            <w:pPr>
              <w:spacing w:after="60" w:line="260"/>
            </w:pPr>
            <w:r>
              <w:rPr>
                <w:rFonts w:ascii="Verdana" w:cs="Verdana" w:eastAsia="Verdana" w:hAnsi="Verdana"/>
                <w:sz w:val="20"/>
                <w:szCs w:val="20"/>
              </w:rPr>
              <w:t xml:space="preserve">Sharma Textiles Pvt. Ltd. (one PAN, registrations in Gujarat and Maharashtra) has the following for 2025-26. All figures are exclusive of GST.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 intra-State supplies in Gujarat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1,20,00,000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Inter-State supplies to customers from Gujarat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45,00,000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Stock transfers from Gujarat to own Maharashtra branch</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30,00,000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Exports under LUT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25,00,000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rent from residential flat let to an individual for residence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6,00,000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fixed deposits (exempt)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2,00,000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Sales by Maharashtra branch to customers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40,00,000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Sale of land (Schedule III): excluded</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Nil</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Legal fees on which tax paid under reverse charge: excluded</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Nil</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 charged on outward supplies: excluded</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Nil</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Aggregate turnover</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Rs. 2,68,00,000</w:t>
            </w:r>
          </w:p>
        </w:tc>
      </w:tr>
    </w:tbl>
    <w:p>
      <w:pPr>
        <w:spacing w:after="60"/>
      </w:pPr>
    </w:p>
    <w:p>
      <w:pPr>
        <w:spacing w:after="120" w:line="276"/>
        <w:jc w:val="both"/>
      </w:pPr>
      <w:r>
        <w:rPr>
          <w:rFonts w:ascii="Verdana" w:cs="Verdana" w:eastAsia="Verdana" w:hAnsi="Verdana"/>
        </w:rPr>
        <w:t xml:space="preserve">Because the aggregate turnover is above Rs. 1.5 crore, the company cannot opt for composition in either State, even though each registration taken alone might be under the limit. If a land sale of Rs. 50,00,000 had wrongly been included, the turnover would be overstated at Rs. 3,18,00,000. As the business grows, such an error can wrongly push it over a threshold, for example the Rs. 5 crore limit for e-invoicing, 6-digit HSN codes and GSTR-9C.</w:t>
      </w:r>
    </w:p>
    <w:p>
      <w:pPr>
        <w:pStyle w:val="Heading2"/>
        <w:keepNext/>
        <w:spacing w:after="120" w:before="240"/>
      </w:pPr>
      <w:r>
        <w:rPr>
          <w:rFonts w:ascii="Verdana" w:cs="Verdana" w:eastAsia="Verdana" w:hAnsi="Verdana"/>
        </w:rPr>
        <w:t xml:space="preserve">4.8 Related persons (Explanation to section 15)</w:t>
      </w:r>
    </w:p>
    <w:p>
      <w:pPr>
        <w:spacing w:after="120" w:line="276"/>
        <w:jc w:val="both"/>
      </w:pPr>
      <w:r>
        <w:rPr>
          <w:rFonts w:ascii="Verdana" w:cs="Verdana" w:eastAsia="Verdana" w:hAnsi="Verdana"/>
        </w:rPr>
        <w:t xml:space="preserve">Persons are related if: they are officers or directors of one another's businesses; they are legally recognised partners; they are employer and employee; any person directly or indirectly owns, controls or holds 25% or more of the voting stock or shares of both; one directly or indirectly controls the other; both are controlled by a third person; together they control a third person; or they are members of the same family. "Person" includes legal persons, and a sole agent, sole distributor or sole concessionaire is deemed related to its principal.</w:t>
      </w:r>
    </w:p>
    <w:p>
      <w:pPr>
        <w:spacing w:after="120" w:line="276"/>
        <w:jc w:val="both"/>
      </w:pPr>
      <w:r>
        <w:rPr>
          <w:rFonts w:ascii="Verdana" w:cs="Verdana" w:eastAsia="Verdana" w:hAnsi="Verdana"/>
        </w:rPr>
        <w:t xml:space="preserve">The definition matters for two reasons. Supplies between related persons are taxable even without consideration when made in the course or furtherance of business (Schedule I para 2), and their value is determined under rule 28 of the CGST Rules, starting with open market value, where the price may have been influenced by the relationship.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17: Related companies and valuation</w:t>
            </w:r>
          </w:p>
          <w:p>
            <w:pPr>
              <w:spacing w:after="60" w:line="260"/>
            </w:pPr>
            <w:r>
              <w:rPr>
                <w:rFonts w:ascii="Verdana" w:cs="Verdana" w:eastAsia="Verdana" w:hAnsi="Verdana"/>
                <w:sz w:val="20"/>
                <w:szCs w:val="20"/>
              </w:rPr>
              <w:t xml:space="preserve">Rakesh holds 30% of the shares of Alpha Engineering Ltd. and 26% of Beta Castings Ltd. Alpha sells a machine to Beta for Rs. 40,00,000; its open market value is Rs. 50,00,000.</w:t>
            </w:r>
          </w:p>
          <w:p>
            <w:pPr>
              <w:spacing w:after="60" w:line="260"/>
            </w:pPr>
            <w:r>
              <w:rPr>
                <w:rFonts w:ascii="Verdana" w:cs="Verdana" w:eastAsia="Verdana" w:hAnsi="Verdana"/>
                <w:sz w:val="20"/>
                <w:szCs w:val="20"/>
              </w:rPr>
              <w:t xml:space="preserve">Step 1: Rakesh holds 25% or more in both companies, so Alpha and Beta are related persons.</w:t>
            </w:r>
          </w:p>
          <w:p>
            <w:pPr>
              <w:spacing w:after="60" w:line="260"/>
            </w:pPr>
            <w:r>
              <w:rPr>
                <w:rFonts w:ascii="Verdana" w:cs="Verdana" w:eastAsia="Verdana" w:hAnsi="Verdana"/>
                <w:sz w:val="20"/>
                <w:szCs w:val="20"/>
              </w:rPr>
              <w:t xml:space="preserve">Step 2: Value is determined under rule 28: open market value Rs. 50,00,000. GST at 18% = Rs. 9,00,000, against Rs. 7,20,000 on the invoice price. Additional tax = Rs. 1,80,000.</w:t>
            </w:r>
          </w:p>
          <w:p>
            <w:pPr>
              <w:spacing w:after="60" w:line="260"/>
            </w:pPr>
            <w:r>
              <w:rPr>
                <w:rFonts w:ascii="Verdana" w:cs="Verdana" w:eastAsia="Verdana" w:hAnsi="Verdana"/>
                <w:sz w:val="20"/>
                <w:szCs w:val="20"/>
              </w:rPr>
              <w:t xml:space="preserve">Step 3: Under the second proviso to rule 28(1), if Beta is eligible for full ITC, the invoice value of Rs. 40,00,000 is deemed to be open market value. Tax on the invoice (Rs. 7,20,000) is then accepted.</w:t>
            </w:r>
          </w:p>
          <w:p>
            <w:pPr>
              <w:spacing w:after="60" w:line="260"/>
            </w:pPr>
            <w:r>
              <w:rPr>
                <w:rFonts w:ascii="Verdana" w:cs="Verdana" w:eastAsia="Verdana" w:hAnsi="Verdana"/>
                <w:sz w:val="20"/>
                <w:szCs w:val="20"/>
              </w:rPr>
              <w:t xml:space="preserve">Result: Whether Beta makes any exempt supplies decides whether the additional Rs. 1,80,000 is payable.</w:t>
            </w:r>
          </w:p>
        </w:tc>
      </w:tr>
    </w:tbl>
    <w:p>
      <w:pPr>
        <w:spacing w:after="60"/>
      </w:pPr>
    </w:p>
    <w:p>
      <w:pPr>
        <w:pStyle w:val="Heading2"/>
        <w:keepNext/>
        <w:spacing w:after="120" w:before="240"/>
      </w:pPr>
      <w:r>
        <w:rPr>
          <w:rFonts w:ascii="Verdana" w:cs="Verdana" w:eastAsia="Verdana" w:hAnsi="Verdana"/>
        </w:rPr>
        <w:t xml:space="preserve">4.9 Distinct persons (section 25(4) and (5))</w:t>
      </w:r>
    </w:p>
    <w:p>
      <w:pPr>
        <w:spacing w:after="120" w:line="276"/>
        <w:jc w:val="both"/>
      </w:pPr>
      <w:r>
        <w:rPr>
          <w:rFonts w:ascii="Verdana" w:cs="Verdana" w:eastAsia="Verdana" w:hAnsi="Verdana"/>
        </w:rPr>
        <w:t xml:space="preserve">A person with more than one registration, whether in one State or in several, is treated as a distinct person for each registration (section 25(4)). An establishment registered in one State and an establishment in another State are establishments of distinct persons (section 25(5)). Section 8 of the IGST Act similarly treats an establishment in India and one outside India as distinct persons. The practical effect is that goods and services moving between two GSTINs of the same company are supplies, even though no sale takes place in law.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18: Stock transfer to a branch</w:t>
            </w:r>
          </w:p>
          <w:p>
            <w:pPr>
              <w:spacing w:after="60" w:line="260"/>
            </w:pPr>
            <w:r>
              <w:rPr>
                <w:rFonts w:ascii="Verdana" w:cs="Verdana" w:eastAsia="Verdana" w:hAnsi="Verdana"/>
                <w:sz w:val="20"/>
                <w:szCs w:val="20"/>
              </w:rPr>
              <w:t xml:space="preserve">Mehta and Co., Ahmedabad, sends goods costing Rs. 8,00,000 to its registered depot in Jaipur for sale there. The Jaipur depot is eligible for full ITC.</w:t>
            </w:r>
          </w:p>
          <w:p>
            <w:pPr>
              <w:spacing w:after="60" w:line="260"/>
            </w:pPr>
            <w:r>
              <w:rPr>
                <w:rFonts w:ascii="Verdana" w:cs="Verdana" w:eastAsia="Verdana" w:hAnsi="Verdana"/>
                <w:sz w:val="20"/>
                <w:szCs w:val="20"/>
              </w:rPr>
              <w:t xml:space="preserve">Step 1: The two GSTINs are distinct persons. The transfer is a supply under Schedule I para 2 even without consideration.</w:t>
            </w:r>
          </w:p>
          <w:p>
            <w:pPr>
              <w:spacing w:after="60" w:line="260"/>
            </w:pPr>
            <w:r>
              <w:rPr>
                <w:rFonts w:ascii="Verdana" w:cs="Verdana" w:eastAsia="Verdana" w:hAnsi="Verdana"/>
                <w:sz w:val="20"/>
                <w:szCs w:val="20"/>
              </w:rPr>
              <w:t xml:space="preserve">Step 2: Being inter-State, IGST at 18% applies. Since the recipient is eligible for full ITC, the value declared in the invoice (Rs. 8,00,000) is accepted as open market value. IGST = Rs. 1,44,000.</w:t>
            </w:r>
          </w:p>
          <w:p>
            <w:pPr>
              <w:spacing w:after="60" w:line="260"/>
            </w:pPr>
            <w:r>
              <w:rPr>
                <w:rFonts w:ascii="Verdana" w:cs="Verdana" w:eastAsia="Verdana" w:hAnsi="Verdana"/>
                <w:sz w:val="20"/>
                <w:szCs w:val="20"/>
              </w:rPr>
              <w:t xml:space="preserve">Step 3: The Jaipur depot takes ITC of Rs. 1,44,000 and uses it when it sells the goods in Rajasthan.</w:t>
            </w:r>
          </w:p>
        </w:tc>
      </w:tr>
    </w:tbl>
    <w:p>
      <w:pPr>
        <w:spacing w:after="60"/>
      </w:pPr>
    </w:p>
    <w:p>
      <w:pPr>
        <w:pStyle w:val="Heading2"/>
        <w:keepNext/>
        <w:spacing w:after="120" w:before="240"/>
      </w:pPr>
      <w:r>
        <w:rPr>
          <w:rFonts w:ascii="Verdana" w:cs="Verdana" w:eastAsia="Verdana" w:hAnsi="Verdana"/>
        </w:rPr>
        <w:t xml:space="preserve">4.10 Place of business and fixed establishment</w:t>
      </w:r>
    </w:p>
    <w:p>
      <w:pPr>
        <w:spacing w:after="120" w:line="276"/>
        <w:jc w:val="both"/>
      </w:pPr>
      <w:r>
        <w:rPr>
          <w:rFonts w:ascii="Verdana" w:cs="Verdana" w:eastAsia="Verdana" w:hAnsi="Verdana"/>
          <w:b/>
          <w:bCs/>
        </w:rPr>
        <w:t xml:space="preserve">Place of business</w:t>
      </w:r>
      <w:r>
        <w:rPr>
          <w:rFonts w:ascii="Verdana" w:cs="Verdana" w:eastAsia="Verdana" w:hAnsi="Verdana"/>
        </w:rPr>
        <w:t xml:space="preserve"> (section 2(85)) includes a place from which business is ordinarily carried on, a warehouse or godown where goods are stored, a place where books are kept, and a place where business is carried on through an agent. Every such place must be declared in the registration as principal or additional place of business; goods found at an undeclared godown are exposed to detention and penalty. </w:t>
      </w:r>
      <w:r>
        <w:rPr>
          <w:rFonts w:ascii="Verdana" w:cs="Verdana" w:eastAsia="Verdana" w:hAnsi="Verdana"/>
          <w:b/>
          <w:bCs/>
        </w:rPr>
        <w:t xml:space="preserve">Fixed establishment</w:t>
      </w:r>
      <w:r>
        <w:rPr>
          <w:rFonts w:ascii="Verdana" w:cs="Verdana" w:eastAsia="Verdana" w:hAnsi="Verdana"/>
        </w:rPr>
        <w:t xml:space="preserve"> (section 2(50)) is a place, other than the registered place of business, with enough permanence and a suitable structure of human and technical resources to supply services, or to receive and use services for its own needs. The concept is used in the IGST Act to decide the location of the supplier and recipient of services, and so the place of supply.</w:t>
      </w:r>
    </w:p>
    <w:p>
      <w:pPr>
        <w:pStyle w:val="Heading2"/>
        <w:keepNext/>
        <w:spacing w:after="120" w:before="240"/>
      </w:pPr>
      <w:r>
        <w:rPr>
          <w:rFonts w:ascii="Verdana" w:cs="Verdana" w:eastAsia="Verdana" w:hAnsi="Verdana"/>
        </w:rPr>
        <w:t xml:space="preserve">4.11 Principal and agent</w:t>
      </w:r>
    </w:p>
    <w:p>
      <w:pPr>
        <w:spacing w:after="120" w:line="276"/>
        <w:jc w:val="both"/>
      </w:pPr>
      <w:r>
        <w:rPr>
          <w:rFonts w:ascii="Verdana" w:cs="Verdana" w:eastAsia="Verdana" w:hAnsi="Verdana"/>
        </w:rPr>
        <w:t xml:space="preserve">An </w:t>
      </w:r>
      <w:r>
        <w:rPr>
          <w:rFonts w:ascii="Verdana" w:cs="Verdana" w:eastAsia="Verdana" w:hAnsi="Verdana"/>
          <w:b/>
          <w:bCs/>
        </w:rPr>
        <w:t xml:space="preserve">agent</w:t>
      </w:r>
      <w:r>
        <w:rPr>
          <w:rFonts w:ascii="Verdana" w:cs="Verdana" w:eastAsia="Verdana" w:hAnsi="Verdana"/>
        </w:rPr>
        <w:t xml:space="preserve"> (section 2(5)) is a person, including a factor, broker, commission agent, arhatia, del credere agent or auctioneer, who carries on the business of supply or receipt of goods or services on behalf of another. The </w:t>
      </w:r>
      <w:r>
        <w:rPr>
          <w:rFonts w:ascii="Verdana" w:cs="Verdana" w:eastAsia="Verdana" w:hAnsi="Verdana"/>
          <w:b/>
          <w:bCs/>
        </w:rPr>
        <w:t xml:space="preserve">principal</w:t>
      </w:r>
      <w:r>
        <w:rPr>
          <w:rFonts w:ascii="Verdana" w:cs="Verdana" w:eastAsia="Verdana" w:hAnsi="Verdana"/>
        </w:rPr>
        <w:t xml:space="preserve"> (section 2(88)) is the person on whose behalf the agent acts. Schedule I para 3 treats supply of goods by a principal to an agent (or by an agent to a principal) as a supply even without consideration, where the agent undertakes to supply or receive the goods on behalf of the principal.</w:t>
      </w:r>
    </w:p>
    <w:p>
      <w:pPr>
        <w:spacing w:after="120" w:line="276"/>
        <w:jc w:val="both"/>
      </w:pPr>
      <w:r>
        <w:rPr>
          <w:rFonts w:ascii="Verdana" w:cs="Verdana" w:eastAsia="Verdana" w:hAnsi="Verdana"/>
        </w:rPr>
        <w:t xml:space="preserve">CBIC Circular 57/31/2018 explained the test. Where the agent issues the invoice to the customer in his own name, he is an agent under para 3 and the goods sent to him are a supply. Where the invoice to the customer is issued by the principal and the agent only brings buyer and seller together for a commission, para 3 does not apply; the agent supplies only a commission service. Chapter 5 works this out with numbers.</w:t>
      </w:r>
    </w:p>
    <w:p>
      <w:pPr>
        <w:pStyle w:val="Heading2"/>
        <w:keepNext/>
        <w:spacing w:after="120" w:before="240"/>
      </w:pPr>
      <w:r>
        <w:rPr>
          <w:rFonts w:ascii="Verdana" w:cs="Verdana" w:eastAsia="Verdana" w:hAnsi="Verdana"/>
        </w:rPr>
        <w:t xml:space="preserve">4.12 Electronic commerce operator</w:t>
      </w:r>
    </w:p>
    <w:p>
      <w:pPr>
        <w:spacing w:after="120" w:line="276"/>
        <w:jc w:val="both"/>
      </w:pPr>
      <w:r>
        <w:rPr>
          <w:rFonts w:ascii="Verdana" w:cs="Verdana" w:eastAsia="Verdana" w:hAnsi="Verdana"/>
        </w:rPr>
        <w:t xml:space="preserve">An </w:t>
      </w:r>
      <w:r>
        <w:rPr>
          <w:rFonts w:ascii="Verdana" w:cs="Verdana" w:eastAsia="Verdana" w:hAnsi="Verdana"/>
          <w:b/>
          <w:bCs/>
        </w:rPr>
        <w:t xml:space="preserve">electronic commerce operator</w:t>
      </w:r>
      <w:r>
        <w:rPr>
          <w:rFonts w:ascii="Verdana" w:cs="Verdana" w:eastAsia="Verdana" w:hAnsi="Verdana"/>
        </w:rPr>
        <w:t xml:space="preserve"> (section 2(45)) is any person who owns, operates or manages a digital or electronic facility or platform for electronic commerce, that is, the supply of goods or services over a digital network. An ECO must register compulsorily, collect tax at source under section 52 on supplies made through it (0.5% from 10 July 2024), and in the case of services notified under section 9(5) (for example radio taxi, hotel accommodation, restaurant services and, from 22 September 2025, local delivery by unregistered persons) pay the tax itself as if it were the supplier.</w:t>
      </w:r>
    </w:p>
    <w:p>
      <w:pPr>
        <w:pStyle w:val="Heading2"/>
        <w:keepNext/>
        <w:spacing w:after="120" w:before="240"/>
      </w:pPr>
      <w:r>
        <w:rPr>
          <w:rFonts w:ascii="Verdana" w:cs="Verdana" w:eastAsia="Verdana" w:hAnsi="Verdana"/>
        </w:rPr>
        <w:t xml:space="preserve">4.13 Input, input service and capital goods</w:t>
      </w:r>
    </w:p>
    <w:p>
      <w:pPr>
        <w:spacing w:after="120" w:line="276"/>
        <w:jc w:val="both"/>
      </w:pPr>
      <w:r>
        <w:rPr>
          <w:rFonts w:ascii="Verdana" w:cs="Verdana" w:eastAsia="Verdana" w:hAnsi="Verdana"/>
          <w:b/>
          <w:bCs/>
        </w:rPr>
        <w:t xml:space="preserve">Input</w:t>
      </w:r>
      <w:r>
        <w:rPr>
          <w:rFonts w:ascii="Verdana" w:cs="Verdana" w:eastAsia="Verdana" w:hAnsi="Verdana"/>
        </w:rPr>
        <w:t xml:space="preserve"> (section 2(59)) means goods other than capital goods used or intended to be used by a supplier in the course or furtherance of business. </w:t>
      </w:r>
      <w:r>
        <w:rPr>
          <w:rFonts w:ascii="Verdana" w:cs="Verdana" w:eastAsia="Verdana" w:hAnsi="Verdana"/>
          <w:b/>
          <w:bCs/>
        </w:rPr>
        <w:t xml:space="preserve">Input service</w:t>
      </w:r>
      <w:r>
        <w:rPr>
          <w:rFonts w:ascii="Verdana" w:cs="Verdana" w:eastAsia="Verdana" w:hAnsi="Verdana"/>
        </w:rPr>
        <w:t xml:space="preserve"> (section 2(60)) means any service so used. </w:t>
      </w:r>
      <w:r>
        <w:rPr>
          <w:rFonts w:ascii="Verdana" w:cs="Verdana" w:eastAsia="Verdana" w:hAnsi="Verdana"/>
          <w:b/>
          <w:bCs/>
        </w:rPr>
        <w:t xml:space="preserve">Capital goods</w:t>
      </w:r>
      <w:r>
        <w:rPr>
          <w:rFonts w:ascii="Verdana" w:cs="Verdana" w:eastAsia="Verdana" w:hAnsi="Verdana"/>
        </w:rPr>
        <w:t xml:space="preserve"> (section 2(19)) are goods whose value is capitalised in the books of account of the person claiming ITC and which are used or intended to be used in business. The test is accounting treatment: the same item is capital goods for one business and an input for another. ITC on both is available in full on receipt, subject to section 16 and the blocked list in section 17(5); but capital goods are subject to the rules on reversal when they are later sold or used for exempt supplies. ITC is not allowed on the tax component if depreciation is claimed on it under the Income-tax Act (section 16(3)).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19: Input or capital goods</w:t>
            </w:r>
          </w:p>
          <w:p>
            <w:pPr>
              <w:spacing w:after="60" w:line="260"/>
            </w:pPr>
            <w:r>
              <w:rPr>
                <w:rFonts w:ascii="Verdana" w:cs="Verdana" w:eastAsia="Verdana" w:hAnsi="Verdana"/>
                <w:sz w:val="20"/>
                <w:szCs w:val="20"/>
              </w:rPr>
              <w:t xml:space="preserve">Verma Plastics buys a moulding machine for Rs. 10,00,000 plus GST Rs. 1,80,000, and hand tools for Rs. 40,000 plus GST Rs. 7,200 which are charged to expense.</w:t>
            </w:r>
          </w:p>
          <w:p>
            <w:pPr>
              <w:spacing w:after="60" w:line="260"/>
            </w:pPr>
            <w:r>
              <w:rPr>
                <w:rFonts w:ascii="Verdana" w:cs="Verdana" w:eastAsia="Verdana" w:hAnsi="Verdana"/>
                <w:sz w:val="20"/>
                <w:szCs w:val="20"/>
              </w:rPr>
              <w:t xml:space="preserve">Step 1: The machine is capitalised at Rs. 10,00,000 (GST not capitalised). It is capital goods. ITC Rs. 1,80,000 is available in full.</w:t>
            </w:r>
          </w:p>
          <w:p>
            <w:pPr>
              <w:spacing w:after="60" w:line="260"/>
            </w:pPr>
            <w:r>
              <w:rPr>
                <w:rFonts w:ascii="Verdana" w:cs="Verdana" w:eastAsia="Verdana" w:hAnsi="Verdana"/>
                <w:sz w:val="20"/>
                <w:szCs w:val="20"/>
              </w:rPr>
              <w:t xml:space="preserve">Step 2: The hand tools are expensed. They are inputs, not capital goods. ITC Rs. 7,200 is available.</w:t>
            </w:r>
          </w:p>
          <w:p>
            <w:pPr>
              <w:spacing w:after="60" w:line="260"/>
            </w:pPr>
            <w:r>
              <w:rPr>
                <w:rFonts w:ascii="Verdana" w:cs="Verdana" w:eastAsia="Verdana" w:hAnsi="Verdana"/>
                <w:sz w:val="20"/>
                <w:szCs w:val="20"/>
              </w:rPr>
              <w:t xml:space="preserve">Step 3: If Verma Plastics had capitalised the machine at Rs. 11,80,000 and claimed depreciation on the GST portion, ITC of Rs. 1,80,000 would be lost under section 16(3).</w:t>
            </w:r>
          </w:p>
        </w:tc>
      </w:tr>
    </w:tbl>
    <w:p>
      <w:pPr>
        <w:spacing w:after="60"/>
      </w:pPr>
    </w:p>
    <w:p>
      <w:pPr>
        <w:pStyle w:val="Heading2"/>
        <w:keepNext/>
        <w:spacing w:after="120" w:before="240"/>
      </w:pPr>
      <w:r>
        <w:rPr>
          <w:rFonts w:ascii="Verdana" w:cs="Verdana" w:eastAsia="Verdana" w:hAnsi="Verdana"/>
        </w:rPr>
        <w:t xml:space="preserve">4.14 Zero-rated, exempt and non-taxable supply</w:t>
      </w:r>
    </w:p>
    <w:p>
      <w:pPr>
        <w:spacing w:after="120" w:line="276"/>
        <w:jc w:val="both"/>
      </w:pPr>
      <w:r>
        <w:rPr>
          <w:rFonts w:ascii="Verdana" w:cs="Verdana" w:eastAsia="Verdana" w:hAnsi="Verdana"/>
        </w:rPr>
        <w:t xml:space="preserve">These three terms are often confused, but their effect on ITC is very different.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1"/>
        <w:gridCol w:w="4015"/>
        <w:gridCol w:w="2812"/>
      </w:tblGrid>
      <w:tr>
        <w:trPr>
          <w:cantSplit/>
          <w:tblHeader/>
        </w:trPr>
        <w:tc>
          <w:tcPr>
            <w:tcW w:type="dxa" w:w="281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Term</w:t>
            </w:r>
          </w:p>
        </w:tc>
        <w:tc>
          <w:tcPr>
            <w:tcW w:type="dxa" w:w="401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Meaning</w:t>
            </w:r>
          </w:p>
        </w:tc>
        <w:tc>
          <w:tcPr>
            <w:tcW w:type="dxa" w:w="281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Effect on ITC</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Zero-rated supply (section 16, IGST Act)</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Export of goods or services, and supply to an SEZ developer or unit for authorised operations</w:t>
            </w:r>
          </w:p>
        </w:tc>
        <w:tc>
          <w:tcPr>
            <w:tcW w:type="dxa" w:w="28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allowed; refund of unused ITC or of IGST paid</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supply (section 2(47))</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at nil rate, wholly exempt under section 11, and non-taxable supply</w:t>
            </w:r>
          </w:p>
        </w:tc>
        <w:tc>
          <w:tcPr>
            <w:tcW w:type="dxa" w:w="28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not allowed; common ITC reversed under rules 42 and 43</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Non-taxable supply (section 2(78))</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not leviable to tax, for example alcohol for human consumption and the five petroleum products until notified</w:t>
            </w:r>
          </w:p>
        </w:tc>
        <w:tc>
          <w:tcPr>
            <w:tcW w:type="dxa" w:w="28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Treated as exempt for ITC</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20: Zero-rated versus exempt</w:t>
            </w:r>
          </w:p>
          <w:p>
            <w:pPr>
              <w:spacing w:after="60" w:line="260"/>
            </w:pPr>
            <w:r>
              <w:rPr>
                <w:rFonts w:ascii="Verdana" w:cs="Verdana" w:eastAsia="Verdana" w:hAnsi="Verdana"/>
                <w:sz w:val="20"/>
                <w:szCs w:val="20"/>
              </w:rPr>
              <w:t xml:space="preserve">Anand Spices incurs ITC of Rs. 4,00,000 on packing material and services for goods worth Rs. 50,00,000.</w:t>
            </w:r>
          </w:p>
          <w:p>
            <w:pPr>
              <w:spacing w:after="60" w:line="260"/>
            </w:pPr>
            <w:r>
              <w:rPr>
                <w:rFonts w:ascii="Verdana" w:cs="Verdana" w:eastAsia="Verdana" w:hAnsi="Verdana"/>
                <w:sz w:val="20"/>
                <w:szCs w:val="20"/>
              </w:rPr>
              <w:t xml:space="preserve">Case A: The goods are exported under LUT. The export is zero-rated. ITC of Rs. 4,00,000 is allowed and, to the extent not used, refunded under section 54.</w:t>
            </w:r>
          </w:p>
          <w:p>
            <w:pPr>
              <w:spacing w:after="60" w:line="260"/>
            </w:pPr>
            <w:r>
              <w:rPr>
                <w:rFonts w:ascii="Verdana" w:cs="Verdana" w:eastAsia="Verdana" w:hAnsi="Verdana"/>
                <w:sz w:val="20"/>
                <w:szCs w:val="20"/>
              </w:rPr>
              <w:t xml:space="preserve">Case B: The goods are exempt items sold in India. ITC of Rs. 4,00,000 is not available and becomes part of cost.</w:t>
            </w:r>
          </w:p>
          <w:p>
            <w:pPr>
              <w:spacing w:after="60" w:line="260"/>
            </w:pPr>
            <w:r>
              <w:rPr>
                <w:rFonts w:ascii="Verdana" w:cs="Verdana" w:eastAsia="Verdana" w:hAnsi="Verdana"/>
                <w:sz w:val="20"/>
                <w:szCs w:val="20"/>
              </w:rPr>
              <w:t xml:space="preserve">Result: Same goods and same ITC, but a difference of Rs. 4,00,000 in cost, depending only on whether the supply is zero-rated or exempt.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Goods are movable property other than money and securities; services are everything else; money and securities themselves are not supplied.</w:t>
            </w:r>
          </w:p>
          <w:p>
            <w:pPr>
              <w:spacing w:after="60" w:line="260"/>
            </w:pPr>
            <w:r>
              <w:rPr>
                <w:rFonts w:ascii="Verdana" w:cs="Verdana" w:eastAsia="Verdana" w:hAnsi="Verdana"/>
                <w:sz w:val="20"/>
                <w:szCs w:val="20"/>
              </w:rPr>
              <w:t xml:space="preserve">•  Actionable claims are outside GST except specified actionable claims (betting, casinos, gambling, horse racing, lottery, online money gaming), now at 40%.</w:t>
            </w:r>
          </w:p>
          <w:p>
            <w:pPr>
              <w:spacing w:after="60" w:line="260"/>
            </w:pPr>
            <w:r>
              <w:rPr>
                <w:rFonts w:ascii="Verdana" w:cs="Verdana" w:eastAsia="Verdana" w:hAnsi="Verdana"/>
                <w:sz w:val="20"/>
                <w:szCs w:val="20"/>
              </w:rPr>
              <w:t xml:space="preserve">•  Business under section 2(17) is very wide and covers one-off transactions, clubs and Government activities; profit motive is irrelevant.</w:t>
            </w:r>
          </w:p>
          <w:p>
            <w:pPr>
              <w:spacing w:after="60" w:line="260"/>
            </w:pPr>
            <w:r>
              <w:rPr>
                <w:rFonts w:ascii="Verdana" w:cs="Verdana" w:eastAsia="Verdana" w:hAnsi="Verdana"/>
                <w:sz w:val="20"/>
                <w:szCs w:val="20"/>
              </w:rPr>
              <w:t xml:space="preserve">•  Consideration includes payment by third parties; Government subsidies are excluded, and deposits count only when applied.</w:t>
            </w:r>
          </w:p>
          <w:p>
            <w:pPr>
              <w:spacing w:after="60" w:line="260"/>
            </w:pPr>
            <w:r>
              <w:rPr>
                <w:rFonts w:ascii="Verdana" w:cs="Verdana" w:eastAsia="Verdana" w:hAnsi="Verdana"/>
                <w:sz w:val="20"/>
                <w:szCs w:val="20"/>
              </w:rPr>
              <w:t xml:space="preserve">•  Aggregate turnover is all-India per PAN, includes exempt, export and inter-branch supplies, and excludes taxes, inward RCM and Schedule III items.</w:t>
            </w:r>
          </w:p>
          <w:p>
            <w:pPr>
              <w:spacing w:after="60" w:line="260"/>
            </w:pPr>
            <w:r>
              <w:rPr>
                <w:rFonts w:ascii="Verdana" w:cs="Verdana" w:eastAsia="Verdana" w:hAnsi="Verdana"/>
                <w:sz w:val="20"/>
                <w:szCs w:val="20"/>
              </w:rPr>
              <w:t xml:space="preserve">•  Related and distinct persons attract Schedule I and rule 28 valuation; full ITC at the recipient's end usually makes invoice value acceptable.</w:t>
            </w:r>
          </w:p>
          <w:p>
            <w:pPr>
              <w:spacing w:after="60" w:line="260"/>
            </w:pPr>
            <w:r>
              <w:rPr>
                <w:rFonts w:ascii="Verdana" w:cs="Verdana" w:eastAsia="Verdana" w:hAnsi="Verdana"/>
                <w:sz w:val="20"/>
                <w:szCs w:val="20"/>
              </w:rPr>
              <w:t xml:space="preserve">•  Capital goods are identified by capitalisation; zero-rated supplies keep ITC while exempt supplies lose it.</w:t>
            </w:r>
          </w:p>
        </w:tc>
      </w:tr>
    </w:tbl>
    <w:p>
      <w:pPr>
        <w:pStyle w:val="TocPart"/>
        <w:pageBreakBefore/>
        <w:shd w:fill="92400E" w:color="auto" w:val="clear"/>
        <w:spacing w:after="0" w:before="0"/>
        <w:ind w:left="0"/>
      </w:pPr>
      <w:r>
        <w:rPr>
          <w:rFonts w:ascii="Verdana" w:cs="Verdana" w:eastAsia="Verdana" w:hAnsi="Verdana"/>
          <w:b/>
          <w:bCs/>
          <w:color w:val="FFFFFF"/>
          <w:sz w:val="26"/>
          <w:szCs w:val="26"/>
        </w:rPr>
        <w:t xml:space="preserve">  PART B: SUPPLY AND LEVY</w:t>
      </w:r>
    </w:p>
    <w:p>
      <w:pPr>
        <w:shd w:fill="F6E8D2" w:color="auto" w:val="clear"/>
        <w:spacing w:after="200"/>
      </w:pPr>
      <w:r>
        <w:rPr>
          <w:rFonts w:ascii="Verdana" w:cs="Verdana" w:eastAsia="Verdana" w:hAnsi="Verdana"/>
          <w:i/>
          <w:iCs/>
          <w:color w:val="92400E"/>
          <w:sz w:val="20"/>
          <w:szCs w:val="20"/>
        </w:rPr>
        <w:t xml:space="preserve">  What is taxed, at what rate, and who pays</w:t>
      </w:r>
    </w:p>
    <w:p>
      <w:pPr>
        <w:spacing w:after="240" w:line="276"/>
        <w:jc w:val="both"/>
      </w:pPr>
      <w:r>
        <w:rPr>
          <w:rFonts w:ascii="Verdana" w:cs="Verdana" w:eastAsia="Verdana" w:hAnsi="Verdana"/>
          <w:i/>
          <w:iCs/>
          <w:color w:val="404040"/>
          <w:sz w:val="21"/>
          <w:szCs w:val="21"/>
        </w:rPr>
        <w:t xml:space="preserve">Every GST question starts with three tests: is there a supply, what is its nature and rate, and who is liable to pay. This Part covers the meaning of supply and the three Schedules, composite and mixed supplies, the charge under forward and reverse charge, exemptions, classification and rates, and the composition scheme for small businesses.</w:t>
      </w:r>
    </w:p>
    <w:p>
      <w:pPr>
        <w:pStyle w:val="Heading1"/>
        <w:spacing w:after="200" w:before="120"/>
      </w:pPr>
      <w:r>
        <w:rPr>
          <w:rFonts w:ascii="Verdana" w:cs="Verdana" w:eastAsia="Verdana" w:hAnsi="Verdana"/>
        </w:rPr>
        <w:t xml:space="preserve">5. Meaning and Scope of Supply (Section 7 and Schedules I, II and III)</w:t>
      </w:r>
    </w:p>
    <w:p>
      <w:pPr>
        <w:spacing w:after="120" w:line="276"/>
        <w:jc w:val="both"/>
      </w:pPr>
      <w:r>
        <w:rPr>
          <w:rFonts w:ascii="Verdana" w:cs="Verdana" w:eastAsia="Verdana" w:hAnsi="Verdana"/>
        </w:rPr>
        <w:t xml:space="preserve">The taxable event under GST is supply. If there is no supply, there is no tax, whatever the amount received. Section 7 of the CGST Act defines supply in an inclusive way, and three Schedules extend it, classify it and cut it down. The right order of analysis is: is it a supply under section 7(1); is it excluded by Schedule III; if not, is it goods or services under Schedule II; and then which rate and exemption apply.</w:t>
      </w:r>
    </w:p>
    <w:p>
      <w:pPr>
        <w:pStyle w:val="Heading2"/>
        <w:keepNext/>
        <w:spacing w:after="120" w:before="240"/>
      </w:pPr>
      <w:r>
        <w:rPr>
          <w:rFonts w:ascii="Verdana" w:cs="Verdana" w:eastAsia="Verdana" w:hAnsi="Verdana"/>
        </w:rPr>
        <w:t xml:space="preserve">5.1 Supply for consideration in the course of business (section 7(1)(a))</w:t>
      </w:r>
    </w:p>
    <w:p>
      <w:pPr>
        <w:spacing w:after="120" w:line="276"/>
        <w:jc w:val="both"/>
      </w:pPr>
      <w:r>
        <w:rPr>
          <w:rFonts w:ascii="Verdana" w:cs="Verdana" w:eastAsia="Verdana" w:hAnsi="Verdana"/>
        </w:rPr>
        <w:t xml:space="preserve">Supply includes all forms of supply of goods or services, such as sale, transfer, barter, exchange, licence, rental, lease or disposal, made or agreed to be made for a consideration by a person in the course or furtherance of business. Four elements are needed: a supply of goods or services, a supplier and a recipient (two persons), consideration, and a link with business. An agreement to supply is enough; the event need not be complete.</w:t>
      </w:r>
    </w:p>
    <w:p>
      <w:pPr>
        <w:spacing w:after="120" w:line="276"/>
        <w:jc w:val="both"/>
      </w:pPr>
      <w:r>
        <w:rPr>
          <w:rFonts w:ascii="Verdana" w:cs="Verdana" w:eastAsia="Verdana" w:hAnsi="Verdana"/>
        </w:rPr>
        <w:t xml:space="preserve">"In the course or furtherance of business" covers far more than the main line of trade. Sale of old assets, scrap, canteen coupons or surplus stock is part of business under section 2(17)(b). A transaction by an individual in a personal capacity, such as sale of a private car by a salaried person, is not in the course of business and is not a supply.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21: Sale of old laptops by a business</w:t>
            </w:r>
          </w:p>
          <w:p>
            <w:pPr>
              <w:spacing w:after="60" w:line="260"/>
            </w:pPr>
            <w:r>
              <w:rPr>
                <w:rFonts w:ascii="Verdana" w:cs="Verdana" w:eastAsia="Verdana" w:hAnsi="Verdana"/>
                <w:sz w:val="20"/>
                <w:szCs w:val="20"/>
              </w:rPr>
              <w:t xml:space="preserve">Kavya Infotech bought 20 laptops three years ago for Rs. 12,00,000 plus GST Rs. 2,16,000 and took ITC. It now sells them for Rs. 3,00,000.</w:t>
            </w:r>
          </w:p>
          <w:p>
            <w:pPr>
              <w:spacing w:after="60" w:line="260"/>
            </w:pPr>
            <w:r>
              <w:rPr>
                <w:rFonts w:ascii="Verdana" w:cs="Verdana" w:eastAsia="Verdana" w:hAnsi="Verdana"/>
                <w:sz w:val="20"/>
                <w:szCs w:val="20"/>
              </w:rPr>
              <w:t xml:space="preserve">Step 1: The sale is in the course of business and is a supply. GST on transaction value at 18% = Rs. 54,000.</w:t>
            </w:r>
          </w:p>
          <w:p>
            <w:pPr>
              <w:spacing w:after="60" w:line="260"/>
            </w:pPr>
            <w:r>
              <w:rPr>
                <w:rFonts w:ascii="Verdana" w:cs="Verdana" w:eastAsia="Verdana" w:hAnsi="Verdana"/>
                <w:sz w:val="20"/>
                <w:szCs w:val="20"/>
              </w:rPr>
              <w:t xml:space="preserve">Step 2: Under section 18(6), where capital goods on which ITC was taken are sold, the tax payable is the higher of (a) the tax on transaction value and (b) the ITC taken, reduced by 5 percentage points for every quarter or part of a quarter since the invoice date.</w:t>
            </w:r>
          </w:p>
          <w:p>
            <w:pPr>
              <w:spacing w:after="60" w:line="260"/>
            </w:pPr>
            <w:r>
              <w:rPr>
                <w:rFonts w:ascii="Verdana" w:cs="Verdana" w:eastAsia="Verdana" w:hAnsi="Verdana"/>
                <w:sz w:val="20"/>
                <w:szCs w:val="20"/>
              </w:rPr>
              <w:t xml:space="preserve">Step 3: 12 quarters have passed. Reduction = 60 percentage points. Amount under (b) = 40% of Rs. 2,16,000 = Rs. 86,400.</w:t>
            </w:r>
          </w:p>
          <w:p>
            <w:pPr>
              <w:spacing w:after="60" w:line="260"/>
            </w:pPr>
            <w:r>
              <w:rPr>
                <w:rFonts w:ascii="Verdana" w:cs="Verdana" w:eastAsia="Verdana" w:hAnsi="Verdana"/>
                <w:sz w:val="20"/>
                <w:szCs w:val="20"/>
              </w:rPr>
              <w:t xml:space="preserve">Result: Kavya Infotech pays Rs. 86,400, the higher of Rs. 54,000 and Rs. 86,400.</w:t>
            </w:r>
          </w:p>
        </w:tc>
      </w:tr>
    </w:tbl>
    <w:p>
      <w:pPr>
        <w:spacing w:after="60"/>
      </w:pPr>
    </w:p>
    <w:p>
      <w:pPr>
        <w:pStyle w:val="Heading2"/>
        <w:keepNext/>
        <w:spacing w:after="120" w:before="240"/>
      </w:pPr>
      <w:r>
        <w:rPr>
          <w:rFonts w:ascii="Verdana" w:cs="Verdana" w:eastAsia="Verdana" w:hAnsi="Verdana"/>
        </w:rPr>
        <w:t xml:space="preserve">5.2 Clubs and associations (section 7(1)(aa))</w:t>
      </w:r>
    </w:p>
    <w:p>
      <w:pPr>
        <w:spacing w:after="120" w:line="276"/>
        <w:jc w:val="both"/>
      </w:pPr>
      <w:r>
        <w:rPr>
          <w:rFonts w:ascii="Verdana" w:cs="Verdana" w:eastAsia="Verdana" w:hAnsi="Verdana"/>
        </w:rPr>
        <w:t xml:space="preserve">Under the pre-GST law, supplies by a members' club to its own members were not taxed because of the principle of mutuality: a person cannot trade with himself. Section 7(1)(aa), inserted by the Finance Act, 2021, treats activities or transactions by a person other than an individual to its members or constituents (or the reverse), for consideration, as supply. An Explanation deems the person and its members to be separate persons, notwithstanding any judgment. The provision was made retrospective from 1 July 2017 and was notified with effect from 1 January 2022.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Mutuality and section 7(1)(aa)</w:t>
            </w:r>
          </w:p>
          <w:p>
            <w:pPr>
              <w:spacing w:after="60" w:line="260"/>
            </w:pPr>
            <w:r>
              <w:rPr>
                <w:rFonts w:ascii="Verdana" w:cs="Verdana" w:eastAsia="Verdana" w:hAnsi="Verdana"/>
                <w:b/>
                <w:bCs/>
                <w:sz w:val="20"/>
                <w:szCs w:val="20"/>
              </w:rPr>
              <w:t xml:space="preserve">State of West Bengal v. Calcutta Club Ltd. (Supreme Court, 2019):</w:t>
            </w:r>
            <w:r>
              <w:rPr>
                <w:rFonts w:ascii="Verdana" w:cs="Verdana" w:eastAsia="Verdana" w:hAnsi="Verdana"/>
                <w:sz w:val="20"/>
                <w:szCs w:val="20"/>
              </w:rPr>
              <w:t xml:space="preserve"> The Court held that the doctrine of mutuality continued to apply to members' clubs, including incorporated clubs. Supply of food and beverages by a club to its members was not a sale, and service tax could not be levied on services provided by a club to its members under the law then in force. Section 7(1)(aa) was inserted to overcome this.</w:t>
            </w:r>
          </w:p>
          <w:p>
            <w:pPr>
              <w:spacing w:after="60" w:line="260"/>
            </w:pPr>
            <w:r>
              <w:rPr>
                <w:rFonts w:ascii="Verdana" w:cs="Verdana" w:eastAsia="Verdana" w:hAnsi="Verdana"/>
                <w:b/>
                <w:bCs/>
                <w:sz w:val="20"/>
                <w:szCs w:val="20"/>
              </w:rPr>
              <w:t xml:space="preserve">Indian Medical Association v. Union of India (Kerala High Court, 2025, Division Bench):</w:t>
            </w:r>
            <w:r>
              <w:rPr>
                <w:rFonts w:ascii="Verdana" w:cs="Verdana" w:eastAsia="Verdana" w:hAnsi="Verdana"/>
                <w:sz w:val="20"/>
                <w:szCs w:val="20"/>
              </w:rPr>
              <w:t xml:space="preserve"> The Court declared section 2(17)(e), section 7(1)(aa) and its Explanation unconstitutional for lack of legislative competence, holding that supply under the Constitution needs two distinct persons. The Union has appealed; the Supreme Court issued notice in July 2025 and directed that no recovery steps be taken against the Association meanwhile.</w:t>
            </w:r>
          </w:p>
          <w:p>
            <w:pPr>
              <w:spacing w:after="60" w:line="260"/>
            </w:pPr>
            <w:r>
              <w:rPr>
                <w:rFonts w:ascii="Verdana" w:cs="Verdana" w:eastAsia="Verdana" w:hAnsi="Verdana"/>
                <w:b/>
                <w:bCs/>
                <w:sz w:val="20"/>
                <w:szCs w:val="20"/>
              </w:rPr>
              <w:t xml:space="preserve">Practical relevance:</w:t>
            </w:r>
            <w:r>
              <w:rPr>
                <w:rFonts w:ascii="Verdana" w:cs="Verdana" w:eastAsia="Verdana" w:hAnsi="Verdana"/>
                <w:sz w:val="20"/>
                <w:szCs w:val="20"/>
              </w:rPr>
              <w:t xml:space="preserve"> The question is pending in the Supreme Court. Outside Kerala the provision remains on the statute book and officers apply it. Clubs and associations should consider paying under protest or keeping full records of the amounts involved, and should not treat the Kerala ruling as settling the issue nationally.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22: Resident welfare association charges</w:t>
            </w:r>
          </w:p>
          <w:p>
            <w:pPr>
              <w:spacing w:after="60" w:line="260"/>
            </w:pPr>
            <w:r>
              <w:rPr>
                <w:rFonts w:ascii="Verdana" w:cs="Verdana" w:eastAsia="Verdana" w:hAnsi="Verdana"/>
                <w:sz w:val="20"/>
                <w:szCs w:val="20"/>
              </w:rPr>
              <w:t xml:space="preserve">Shanti Heights Co-operative Housing Society in Ahmedabad has 200 flats. It charges each member Rs. 9,000 per month for maintenance, security and common electricity. Its annual collections are 200 x Rs. 9,000 x 12 = Rs. 2,16,00,000, so it is required to register.</w:t>
            </w:r>
          </w:p>
          <w:p>
            <w:pPr>
              <w:spacing w:after="60" w:line="260"/>
            </w:pPr>
            <w:r>
              <w:rPr>
                <w:rFonts w:ascii="Verdana" w:cs="Verdana" w:eastAsia="Verdana" w:hAnsi="Verdana"/>
                <w:sz w:val="20"/>
                <w:szCs w:val="20"/>
              </w:rPr>
              <w:t xml:space="preserve">Step 1: The exemption for such associations covers contributions up to Rs. 7,500 per member per month for sourcing goods or services from third parties for common use. The charge of Rs. 9,000 is above the limit, and CBIC has clarified that the whole amount then becomes taxable, not only the excess.</w:t>
            </w:r>
          </w:p>
          <w:p>
            <w:pPr>
              <w:spacing w:after="60" w:line="260"/>
            </w:pPr>
            <w:r>
              <w:rPr>
                <w:rFonts w:ascii="Verdana" w:cs="Verdana" w:eastAsia="Verdana" w:hAnsi="Verdana"/>
                <w:sz w:val="20"/>
                <w:szCs w:val="20"/>
              </w:rPr>
              <w:t xml:space="preserve">Step 2: GST at 18% per member per month = Rs. 1,620. For 200 members = Rs. 3,24,000 per month.</w:t>
            </w:r>
          </w:p>
          <w:p>
            <w:pPr>
              <w:spacing w:after="60" w:line="260"/>
            </w:pPr>
            <w:r>
              <w:rPr>
                <w:rFonts w:ascii="Verdana" w:cs="Verdana" w:eastAsia="Verdana" w:hAnsi="Verdana"/>
                <w:sz w:val="20"/>
                <w:szCs w:val="20"/>
              </w:rPr>
              <w:t xml:space="preserve">Result: Keeping the monthly charge at or below Rs. 7,500 (for example by billing a sinking fund contribution separately where genuine) avoids tax. The society should also watch the pending Supreme Court appeal on section 7(1)(aa).</w:t>
            </w:r>
          </w:p>
        </w:tc>
      </w:tr>
    </w:tbl>
    <w:p>
      <w:pPr>
        <w:spacing w:after="60"/>
      </w:pPr>
    </w:p>
    <w:p>
      <w:pPr>
        <w:pStyle w:val="Heading2"/>
        <w:keepNext/>
        <w:spacing w:after="120" w:before="240"/>
      </w:pPr>
      <w:r>
        <w:rPr>
          <w:rFonts w:ascii="Verdana" w:cs="Verdana" w:eastAsia="Verdana" w:hAnsi="Verdana"/>
        </w:rPr>
        <w:t xml:space="preserve">5.3 Import of services (section 7(1)(b))</w:t>
      </w:r>
    </w:p>
    <w:p>
      <w:pPr>
        <w:spacing w:after="120" w:line="276"/>
        <w:jc w:val="both"/>
      </w:pPr>
      <w:r>
        <w:rPr>
          <w:rFonts w:ascii="Verdana" w:cs="Verdana" w:eastAsia="Verdana" w:hAnsi="Verdana"/>
        </w:rPr>
        <w:t xml:space="preserve">Import of services for consideration is a supply whether or not it is in the course or furtherance of business. This is an exception to the business test. However, an exemption notification under the IGST Act exempts services received from abroad by an individual for purposes other than business (except online information and database access or retrieval services), and by certain Governments and charitable entities.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23: Import of services by an individual and by a firm</w:t>
            </w:r>
          </w:p>
          <w:p>
            <w:pPr>
              <w:spacing w:after="60" w:line="260"/>
            </w:pPr>
            <w:r>
              <w:rPr>
                <w:rFonts w:ascii="Verdana" w:cs="Verdana" w:eastAsia="Verdana" w:hAnsi="Verdana"/>
                <w:sz w:val="20"/>
                <w:szCs w:val="20"/>
              </w:rPr>
              <w:t xml:space="preserve">Kavya, a doctor in Vadodara, pays a US architect USD 3,000 (Rs. 2,55,000 at Rs. 85 per USD) for designing her own house.</w:t>
            </w:r>
          </w:p>
          <w:p>
            <w:pPr>
              <w:spacing w:after="60" w:line="260"/>
            </w:pPr>
            <w:r>
              <w:rPr>
                <w:rFonts w:ascii="Verdana" w:cs="Verdana" w:eastAsia="Verdana" w:hAnsi="Verdana"/>
                <w:sz w:val="20"/>
                <w:szCs w:val="20"/>
              </w:rPr>
              <w:t xml:space="preserve">Step 1: This is import of services for consideration, a supply under section 7(1)(b), even though it is not for business.</w:t>
            </w:r>
          </w:p>
          <w:p>
            <w:pPr>
              <w:spacing w:after="60" w:line="260"/>
            </w:pPr>
            <w:r>
              <w:rPr>
                <w:rFonts w:ascii="Verdana" w:cs="Verdana" w:eastAsia="Verdana" w:hAnsi="Verdana"/>
                <w:sz w:val="20"/>
                <w:szCs w:val="20"/>
              </w:rPr>
              <w:t xml:space="preserve">Step 2: It is exempt because an individual receives it for a non-business purpose. No IGST is payable.</w:t>
            </w:r>
          </w:p>
          <w:p>
            <w:pPr>
              <w:spacing w:after="60" w:line="260"/>
            </w:pPr>
            <w:r>
              <w:rPr>
                <w:rFonts w:ascii="Verdana" w:cs="Verdana" w:eastAsia="Verdana" w:hAnsi="Verdana"/>
                <w:sz w:val="20"/>
                <w:szCs w:val="20"/>
              </w:rPr>
              <w:t xml:space="preserve">Step 3: If Kavya's clinic (a registered proprietorship) had imported a marketing service for the same amount, IGST at 18% = Rs. 45,900 would be payable under reverse charge. Health care services being exempt, the clinic could not take ITC of it.</w:t>
            </w:r>
          </w:p>
        </w:tc>
      </w:tr>
    </w:tbl>
    <w:p>
      <w:pPr>
        <w:spacing w:after="60"/>
      </w:pPr>
    </w:p>
    <w:p>
      <w:pPr>
        <w:pStyle w:val="Heading2"/>
        <w:keepNext/>
        <w:spacing w:after="120" w:before="240"/>
      </w:pPr>
      <w:r>
        <w:rPr>
          <w:rFonts w:ascii="Verdana" w:cs="Verdana" w:eastAsia="Verdana" w:hAnsi="Verdana"/>
        </w:rPr>
        <w:t xml:space="preserve">5.4 Supplies without consideration (Schedule I)</w:t>
      </w:r>
    </w:p>
    <w:p>
      <w:pPr>
        <w:spacing w:after="120" w:line="276"/>
        <w:jc w:val="both"/>
      </w:pPr>
      <w:r>
        <w:rPr>
          <w:rFonts w:ascii="Verdana" w:cs="Verdana" w:eastAsia="Verdana" w:hAnsi="Verdana"/>
        </w:rPr>
        <w:t xml:space="preserve">Section 7(1)(c) brings in the four activities in Schedule I, which are supplies even when made without consideration. They exist to protect the credit chain: where ITC has been taken, the goods or services must bear output tax when they leave the business, and supplies between related parties must not escape tax through nil pricing.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3"/>
        <w:gridCol w:w="8635"/>
      </w:tblGrid>
      <w:tr>
        <w:trPr>
          <w:cantSplit/>
          <w:tblHeader/>
        </w:trPr>
        <w:tc>
          <w:tcPr>
            <w:tcW w:type="dxa" w:w="100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Para</w:t>
            </w:r>
          </w:p>
        </w:tc>
        <w:tc>
          <w:tcPr>
            <w:tcW w:type="dxa" w:w="863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Activity treated as supply without consideration</w:t>
            </w:r>
          </w:p>
        </w:tc>
      </w:tr>
      <w:tr>
        <w:trPr>
          <w:cantSplit/>
        </w:trPr>
        <w:tc>
          <w:tcPr>
            <w:tcW w:type="dxa" w:w="10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w:t>
            </w:r>
          </w:p>
        </w:tc>
        <w:tc>
          <w:tcPr>
            <w:tcW w:type="dxa" w:w="86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Permanent transfer or disposal of business assets where ITC has been availed on them</w:t>
            </w:r>
          </w:p>
        </w:tc>
      </w:tr>
      <w:tr>
        <w:trPr>
          <w:cantSplit/>
        </w:trPr>
        <w:tc>
          <w:tcPr>
            <w:tcW w:type="dxa" w:w="10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w:t>
            </w:r>
          </w:p>
        </w:tc>
        <w:tc>
          <w:tcPr>
            <w:tcW w:type="dxa" w:w="86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of goods or services between related persons, or between distinct persons under section 25, in the course or furtherance of business. Gifts by an employer to an employee not exceeding Rs. 50,000 in value in a financial year are not a supply</w:t>
            </w:r>
          </w:p>
        </w:tc>
      </w:tr>
      <w:tr>
        <w:trPr>
          <w:cantSplit/>
        </w:trPr>
        <w:tc>
          <w:tcPr>
            <w:tcW w:type="dxa" w:w="10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w:t>
            </w:r>
          </w:p>
        </w:tc>
        <w:tc>
          <w:tcPr>
            <w:tcW w:type="dxa" w:w="86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of goods by a principal to his agent where the agent undertakes to supply them on behalf of the principal, or by an agent to his principal where the agent receives them on behalf of the principal</w:t>
            </w:r>
          </w:p>
        </w:tc>
      </w:tr>
      <w:tr>
        <w:trPr>
          <w:cantSplit/>
        </w:trPr>
        <w:tc>
          <w:tcPr>
            <w:tcW w:type="dxa" w:w="10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w:t>
            </w:r>
          </w:p>
        </w:tc>
        <w:tc>
          <w:tcPr>
            <w:tcW w:type="dxa" w:w="86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Import of services by a person from a related person or from his own establishment outside India, in the course or furtherance of business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24: Business asset given away</w:t>
            </w:r>
          </w:p>
          <w:p>
            <w:pPr>
              <w:spacing w:after="60" w:line="260"/>
            </w:pPr>
            <w:r>
              <w:rPr>
                <w:rFonts w:ascii="Verdana" w:cs="Verdana" w:eastAsia="Verdana" w:hAnsi="Verdana"/>
                <w:sz w:val="20"/>
                <w:szCs w:val="20"/>
              </w:rPr>
              <w:t xml:space="preserve">Patel Pumps donates a used office computer, bought two years ago with ITC taken, to a local school. Its open market value today is Rs. 50,000.</w:t>
            </w:r>
          </w:p>
          <w:p>
            <w:pPr>
              <w:spacing w:after="60" w:line="260"/>
            </w:pPr>
            <w:r>
              <w:rPr>
                <w:rFonts w:ascii="Verdana" w:cs="Verdana" w:eastAsia="Verdana" w:hAnsi="Verdana"/>
                <w:sz w:val="20"/>
                <w:szCs w:val="20"/>
              </w:rPr>
              <w:t xml:space="preserve">Step 1: The computer is a business asset on which ITC was availed. Its permanent disposal without consideration is a supply under para 1.</w:t>
            </w:r>
          </w:p>
          <w:p>
            <w:pPr>
              <w:spacing w:after="60" w:line="260"/>
            </w:pPr>
            <w:r>
              <w:rPr>
                <w:rFonts w:ascii="Verdana" w:cs="Verdana" w:eastAsia="Verdana" w:hAnsi="Verdana"/>
                <w:sz w:val="20"/>
                <w:szCs w:val="20"/>
              </w:rPr>
              <w:t xml:space="preserve">Step 2: Value is determined under the valuation rules, here taken at the open market value of Rs. 50,000. GST at 18% = Rs. 9,000 (CGST Rs. 4,500 + SGST Rs. 4,500).</w:t>
            </w:r>
          </w:p>
          <w:p>
            <w:pPr>
              <w:spacing w:after="60" w:line="260"/>
            </w:pPr>
            <w:r>
              <w:rPr>
                <w:rFonts w:ascii="Verdana" w:cs="Verdana" w:eastAsia="Verdana" w:hAnsi="Verdana"/>
                <w:sz w:val="20"/>
                <w:szCs w:val="20"/>
              </w:rPr>
              <w:t xml:space="preserve">Result: Had no ITC been taken on the computer, the gift would not be a supply at all.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25: Gifts to employees</w:t>
            </w:r>
          </w:p>
          <w:p>
            <w:pPr>
              <w:spacing w:after="60" w:line="260"/>
            </w:pPr>
            <w:r>
              <w:rPr>
                <w:rFonts w:ascii="Verdana" w:cs="Verdana" w:eastAsia="Verdana" w:hAnsi="Verdana"/>
                <w:sz w:val="20"/>
                <w:szCs w:val="20"/>
              </w:rPr>
              <w:t xml:space="preserve">Sharma Textiles gives its manager a Diwali gift worth Rs. 30,000 in October 2025 and a watch worth Rs. 25,000 in March 2026.</w:t>
            </w:r>
          </w:p>
          <w:p>
            <w:pPr>
              <w:spacing w:after="60" w:line="260"/>
            </w:pPr>
            <w:r>
              <w:rPr>
                <w:rFonts w:ascii="Verdana" w:cs="Verdana" w:eastAsia="Verdana" w:hAnsi="Verdana"/>
                <w:sz w:val="20"/>
                <w:szCs w:val="20"/>
              </w:rPr>
              <w:t xml:space="preserve">Step 1: Employer and employee are related persons. Gifts up to Rs. 50,000 in a financial year are not a supply.</w:t>
            </w:r>
          </w:p>
          <w:p>
            <w:pPr>
              <w:spacing w:after="60" w:line="260"/>
            </w:pPr>
            <w:r>
              <w:rPr>
                <w:rFonts w:ascii="Verdana" w:cs="Verdana" w:eastAsia="Verdana" w:hAnsi="Verdana"/>
                <w:sz w:val="20"/>
                <w:szCs w:val="20"/>
              </w:rPr>
              <w:t xml:space="preserve">Step 2: Total gifts in 2025-26 = Rs. 55,000, which exceeds Rs. 50,000. The prevailing view is that the entire value, not only the excess, is then a supply.</w:t>
            </w:r>
          </w:p>
          <w:p>
            <w:pPr>
              <w:spacing w:after="60" w:line="260"/>
            </w:pPr>
            <w:r>
              <w:rPr>
                <w:rFonts w:ascii="Verdana" w:cs="Verdana" w:eastAsia="Verdana" w:hAnsi="Verdana"/>
                <w:sz w:val="20"/>
                <w:szCs w:val="20"/>
              </w:rPr>
              <w:t xml:space="preserve">Step 3: GST on open market value of Rs. 55,000 at 18% = Rs. 9,900.</w:t>
            </w:r>
          </w:p>
          <w:p>
            <w:pPr>
              <w:spacing w:after="60" w:line="260"/>
            </w:pPr>
            <w:r>
              <w:rPr>
                <w:rFonts w:ascii="Verdana" w:cs="Verdana" w:eastAsia="Verdana" w:hAnsi="Verdana"/>
                <w:sz w:val="20"/>
                <w:szCs w:val="20"/>
              </w:rPr>
              <w:t xml:space="preserve">Result: ITC on goods given as gifts is blocked under section 17(5)(h) in any case. Keeping gifts per employee within Rs. 50,000 a year avoids output tax as well.</w:t>
            </w:r>
          </w:p>
        </w:tc>
      </w:tr>
    </w:tbl>
    <w:p>
      <w:pPr>
        <w:spacing w:after="60"/>
      </w:pPr>
    </w:p>
    <w:p>
      <w:pPr>
        <w:pStyle w:val="Heading3"/>
        <w:keepNext/>
        <w:spacing w:after="80" w:before="160"/>
      </w:pPr>
      <w:r>
        <w:rPr>
          <w:rFonts w:ascii="Verdana" w:cs="Verdana" w:eastAsia="Verdana" w:hAnsi="Verdana"/>
        </w:rPr>
        <w:t xml:space="preserve">Cross charges between branches</w:t>
      </w:r>
    </w:p>
    <w:p>
      <w:pPr>
        <w:spacing w:after="120" w:line="276"/>
        <w:jc w:val="both"/>
      </w:pPr>
      <w:r>
        <w:rPr>
          <w:rFonts w:ascii="Verdana" w:cs="Verdana" w:eastAsia="Verdana" w:hAnsi="Verdana"/>
        </w:rPr>
        <w:t xml:space="preserve">Head office functions (accounts, HR, IT, management) serve branches in other States. Each branch is a distinct person, so the head office is treated as supplying services to it. CBIC Circular 199/11/2023 clarified that where the recipient branch is eligible for full ITC, the value declared in the invoice is deemed to be open market value, and where no invoice is issued, the value may be treated as nil. Salary cost of head office employees need not be included in such cases. Where the branch makes exempt supplies, a proper valuation under rule 28 is needed, or the common input services should be distributed through an ISD registration.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26: Cross charge by head office</w:t>
            </w:r>
          </w:p>
          <w:p>
            <w:pPr>
              <w:spacing w:after="60" w:line="260"/>
            </w:pPr>
            <w:r>
              <w:rPr>
                <w:rFonts w:ascii="Verdana" w:cs="Verdana" w:eastAsia="Verdana" w:hAnsi="Verdana"/>
                <w:sz w:val="20"/>
                <w:szCs w:val="20"/>
              </w:rPr>
              <w:t xml:space="preserve">Mehta and Co. has its head office in Ahmedabad and a branch in Mumbai. Head office costs attributable to the Mumbai branch are Rs. 30,00,000. The Mumbai branch makes only taxable supplies.</w:t>
            </w:r>
          </w:p>
          <w:p>
            <w:pPr>
              <w:spacing w:after="60" w:line="260"/>
            </w:pPr>
            <w:r>
              <w:rPr>
                <w:rFonts w:ascii="Verdana" w:cs="Verdana" w:eastAsia="Verdana" w:hAnsi="Verdana"/>
                <w:sz w:val="20"/>
                <w:szCs w:val="20"/>
              </w:rPr>
              <w:t xml:space="preserve">Step 1: Head office raises an invoice for Rs. 30,00,000 plus IGST at 18% = Rs. 5,40,000.</w:t>
            </w:r>
          </w:p>
          <w:p>
            <w:pPr>
              <w:spacing w:after="60" w:line="260"/>
            </w:pPr>
            <w:r>
              <w:rPr>
                <w:rFonts w:ascii="Verdana" w:cs="Verdana" w:eastAsia="Verdana" w:hAnsi="Verdana"/>
                <w:sz w:val="20"/>
                <w:szCs w:val="20"/>
              </w:rPr>
              <w:t xml:space="preserve">Step 2: The Mumbai branch takes ITC of Rs. 5,40,000. The net tax effect for the company is nil.</w:t>
            </w:r>
          </w:p>
          <w:p>
            <w:pPr>
              <w:spacing w:after="60" w:line="260"/>
            </w:pPr>
            <w:r>
              <w:rPr>
                <w:rFonts w:ascii="Verdana" w:cs="Verdana" w:eastAsia="Verdana" w:hAnsi="Verdana"/>
                <w:sz w:val="20"/>
                <w:szCs w:val="20"/>
              </w:rPr>
              <w:t xml:space="preserve">Result: Because the branch is eligible for full ITC, the invoice value is accepted. Had the branch made exempt supplies, the value would have to be supported by a proper cost allocation.</w:t>
            </w:r>
          </w:p>
        </w:tc>
      </w:tr>
    </w:tbl>
    <w:p>
      <w:pPr>
        <w:spacing w:after="60"/>
      </w:pPr>
    </w:p>
    <w:p>
      <w:pPr>
        <w:pStyle w:val="Heading3"/>
        <w:keepNext/>
        <w:spacing w:after="80" w:before="160"/>
      </w:pPr>
      <w:r>
        <w:rPr>
          <w:rFonts w:ascii="Verdana" w:cs="Verdana" w:eastAsia="Verdana" w:hAnsi="Verdana"/>
        </w:rPr>
        <w:t xml:space="preserve">Principal and 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27: Goods sent to an agent</w:t>
            </w:r>
          </w:p>
          <w:p>
            <w:pPr>
              <w:spacing w:after="60" w:line="260"/>
            </w:pPr>
            <w:r>
              <w:rPr>
                <w:rFonts w:ascii="Verdana" w:cs="Verdana" w:eastAsia="Verdana" w:hAnsi="Verdana"/>
                <w:sz w:val="20"/>
                <w:szCs w:val="20"/>
              </w:rPr>
              <w:t xml:space="preserve">Joshi Fabrics sends cloth to Kumar Agencies, which sells it to retailers in its own name and issues its own invoices. Kumar Agencies sells the cloth for Rs. 4,00,000.</w:t>
            </w:r>
          </w:p>
          <w:p>
            <w:pPr>
              <w:spacing w:after="60" w:line="260"/>
            </w:pPr>
            <w:r>
              <w:rPr>
                <w:rFonts w:ascii="Verdana" w:cs="Verdana" w:eastAsia="Verdana" w:hAnsi="Verdana"/>
                <w:sz w:val="20"/>
                <w:szCs w:val="20"/>
              </w:rPr>
              <w:t xml:space="preserve">Step 1: The agent issues invoices in its own name, so para 3 of Schedule I applies (Circular 57/31/2018). Joshi Fabrics makes a supply when it sends the goods to Kumar Agencies.</w:t>
            </w:r>
          </w:p>
          <w:p>
            <w:pPr>
              <w:spacing w:after="60" w:line="260"/>
            </w:pPr>
            <w:r>
              <w:rPr>
                <w:rFonts w:ascii="Verdana" w:cs="Verdana" w:eastAsia="Verdana" w:hAnsi="Verdana"/>
                <w:sz w:val="20"/>
                <w:szCs w:val="20"/>
              </w:rPr>
              <w:t xml:space="preserve">Step 2: Under rule 29, Joshi Fabrics may value the supply at 90% of the price charged by the agent to unrelated customers: 90% of Rs. 4,00,000 = Rs. 3,60,000. GST at 5% (fabric) = Rs. 18,000.</w:t>
            </w:r>
          </w:p>
          <w:p>
            <w:pPr>
              <w:spacing w:after="60" w:line="260"/>
            </w:pPr>
            <w:r>
              <w:rPr>
                <w:rFonts w:ascii="Verdana" w:cs="Verdana" w:eastAsia="Verdana" w:hAnsi="Verdana"/>
                <w:sz w:val="20"/>
                <w:szCs w:val="20"/>
              </w:rPr>
              <w:t xml:space="preserve">Step 3: Kumar Agencies charges GST on its sales: 5% of Rs. 4,00,000 = Rs. 20,000, and takes ITC of Rs. 18,000.</w:t>
            </w:r>
          </w:p>
          <w:p>
            <w:pPr>
              <w:spacing w:after="60" w:line="260"/>
            </w:pPr>
            <w:r>
              <w:rPr>
                <w:rFonts w:ascii="Verdana" w:cs="Verdana" w:eastAsia="Verdana" w:hAnsi="Verdana"/>
                <w:sz w:val="20"/>
                <w:szCs w:val="20"/>
              </w:rPr>
              <w:t xml:space="preserve">Contrast: If Joshi Fabrics invoiced the retailers directly and Kumar Agencies only earned a commission of 5% (Rs. 20,000), no para 3 supply arises. Kumar Agencies pays GST of Rs. 3,600 (18%) on its commission only.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Secondment of staff by a foreign group company</w:t>
            </w:r>
          </w:p>
          <w:p>
            <w:pPr>
              <w:spacing w:after="60" w:line="260"/>
            </w:pPr>
            <w:r>
              <w:rPr>
                <w:rFonts w:ascii="Verdana" w:cs="Verdana" w:eastAsia="Verdana" w:hAnsi="Verdana"/>
                <w:b/>
                <w:bCs/>
                <w:sz w:val="20"/>
                <w:szCs w:val="20"/>
              </w:rPr>
              <w:t xml:space="preserve">Commissioner of Customs, Central Excise and Service Tax v. Northern Operating Systems (P) Ltd. (Supreme Court, 2022):</w:t>
            </w:r>
            <w:r>
              <w:rPr>
                <w:rFonts w:ascii="Verdana" w:cs="Verdana" w:eastAsia="Verdana" w:hAnsi="Verdana"/>
                <w:sz w:val="20"/>
                <w:szCs w:val="20"/>
              </w:rPr>
              <w:t xml:space="preserve"> Employees of an overseas group company worked in India for the Indian entity under secondment. The Indian entity paid their salaries locally and reimbursed other costs. The Court looked at the substance of the arrangement and held that the overseas company supplied manpower service to the Indian entity, liable to service tax under reverse charge.</w:t>
            </w:r>
          </w:p>
          <w:p>
            <w:pPr>
              <w:spacing w:after="60" w:line="260"/>
            </w:pPr>
            <w:r>
              <w:rPr>
                <w:rFonts w:ascii="Verdana" w:cs="Verdana" w:eastAsia="Verdana" w:hAnsi="Verdana"/>
                <w:b/>
                <w:bCs/>
                <w:sz w:val="20"/>
                <w:szCs w:val="20"/>
              </w:rPr>
              <w:t xml:space="preserve">Practical relevance under GST:</w:t>
            </w:r>
            <w:r>
              <w:rPr>
                <w:rFonts w:ascii="Verdana" w:cs="Verdana" w:eastAsia="Verdana" w:hAnsi="Verdana"/>
                <w:sz w:val="20"/>
                <w:szCs w:val="20"/>
              </w:rPr>
              <w:t xml:space="preserve"> Similar arrangements are import of services, and from a related person they are a supply even without consideration (Schedule I para 4). CBIC Circular 210/4/2024 clarified that where the Indian recipient is eligible for full ITC, the value declared in the invoice (including nil where no invoice is issued) may be taken as open market value.</w:t>
            </w:r>
          </w:p>
        </w:tc>
      </w:tr>
    </w:tbl>
    <w:p>
      <w:pPr>
        <w:spacing w:after="60"/>
      </w:pPr>
    </w:p>
    <w:p>
      <w:pPr>
        <w:pStyle w:val="Heading2"/>
        <w:keepNext/>
        <w:spacing w:after="120" w:before="240"/>
      </w:pPr>
      <w:r>
        <w:rPr>
          <w:rFonts w:ascii="Verdana" w:cs="Verdana" w:eastAsia="Verdana" w:hAnsi="Verdana"/>
        </w:rPr>
        <w:t xml:space="preserve">5.5 Goods or services (Schedule II)</w:t>
      </w:r>
    </w:p>
    <w:p>
      <w:pPr>
        <w:spacing w:after="120" w:line="276"/>
        <w:jc w:val="both"/>
      </w:pPr>
      <w:r>
        <w:rPr>
          <w:rFonts w:ascii="Verdana" w:cs="Verdana" w:eastAsia="Verdana" w:hAnsi="Verdana"/>
        </w:rPr>
        <w:t xml:space="preserve">Schedule II does not decide whether something is a supply; it decides whether a supply is of goods or of services. The main entries are shown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Activity</w:t>
            </w:r>
          </w:p>
        </w:tc>
        <w:tc>
          <w:tcPr>
            <w:tcW w:type="dxa" w:w="321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Treated as</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of title in goods</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of goods</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of right in goods without transfer of title (for example, lease or hire)</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of services</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of title under an agreement where property passes on full payment (hire purchase)</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of goods</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Lease, tenancy, easement or licence to occupy land; letting out a building for business</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of services</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Job work: treatment or process applied to another person's goods</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of services</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goods put to private use or used for non-business purposes</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of services</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transferred or disposed of so as no longer to form business assets</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of goods</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Renting of immovable property; construction of a complex before completion certificate; IPR licence; software development; agreeing to refrain from or tolerate an act</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of services</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Works contract; supply of food or drink (not alcohol) as part of a service, such as a restaurant</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Composite supply of services</w:t>
            </w:r>
          </w:p>
        </w:tc>
      </w:tr>
    </w:tbl>
    <w:p>
      <w:pPr>
        <w:spacing w:after="60"/>
      </w:pPr>
    </w:p>
    <w:p>
      <w:pPr>
        <w:spacing w:after="120" w:line="276"/>
        <w:jc w:val="both"/>
      </w:pPr>
      <w:r>
        <w:rPr>
          <w:rFonts w:ascii="Verdana" w:cs="Verdana" w:eastAsia="Verdana" w:hAnsi="Verdana"/>
        </w:rPr>
        <w:t xml:space="preserve">Paragraph 5(e), "agreeing to the obligation to refrain from an act, or to tolerate an act or a situation, or to do an act", is the entry the department often relies on to tax compensation, damages and penalties. As explained below, CBIC has itself narrowed its reach.</w:t>
      </w:r>
    </w:p>
    <w:p>
      <w:pPr>
        <w:pStyle w:val="Heading2"/>
        <w:keepNext/>
        <w:spacing w:after="120" w:before="240"/>
      </w:pPr>
      <w:r>
        <w:rPr>
          <w:rFonts w:ascii="Verdana" w:cs="Verdana" w:eastAsia="Verdana" w:hAnsi="Verdana"/>
        </w:rPr>
        <w:t xml:space="preserve">5.6 Neither goods nor services (Schedule III)</w:t>
      </w:r>
    </w:p>
    <w:p>
      <w:pPr>
        <w:spacing w:after="120" w:line="276"/>
        <w:jc w:val="both"/>
      </w:pPr>
      <w:r>
        <w:rPr>
          <w:rFonts w:ascii="Verdana" w:cs="Verdana" w:eastAsia="Verdana" w:hAnsi="Verdana"/>
        </w:rPr>
        <w:t xml:space="preserve">Schedule III lists activities that are neither a supply of goods nor a supply of services. They are outside GST altogether.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3"/>
        <w:gridCol w:w="8635"/>
      </w:tblGrid>
      <w:tr>
        <w:trPr>
          <w:cantSplit/>
          <w:tblHeader/>
        </w:trPr>
        <w:tc>
          <w:tcPr>
            <w:tcW w:type="dxa" w:w="100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Para</w:t>
            </w:r>
          </w:p>
        </w:tc>
        <w:tc>
          <w:tcPr>
            <w:tcW w:type="dxa" w:w="863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Activity</w:t>
            </w:r>
          </w:p>
        </w:tc>
      </w:tr>
      <w:tr>
        <w:trPr>
          <w:cantSplit/>
        </w:trPr>
        <w:tc>
          <w:tcPr>
            <w:tcW w:type="dxa" w:w="10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w:t>
            </w:r>
          </w:p>
        </w:tc>
        <w:tc>
          <w:tcPr>
            <w:tcW w:type="dxa" w:w="86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Services by an employee to the employer in the course of or in relation to employment</w:t>
            </w:r>
          </w:p>
        </w:tc>
      </w:tr>
      <w:tr>
        <w:trPr>
          <w:cantSplit/>
        </w:trPr>
        <w:tc>
          <w:tcPr>
            <w:tcW w:type="dxa" w:w="10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w:t>
            </w:r>
          </w:p>
        </w:tc>
        <w:tc>
          <w:tcPr>
            <w:tcW w:type="dxa" w:w="86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Services by any court or tribunal</w:t>
            </w:r>
          </w:p>
        </w:tc>
      </w:tr>
      <w:tr>
        <w:trPr>
          <w:cantSplit/>
        </w:trPr>
        <w:tc>
          <w:tcPr>
            <w:tcW w:type="dxa" w:w="10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w:t>
            </w:r>
          </w:p>
        </w:tc>
        <w:tc>
          <w:tcPr>
            <w:tcW w:type="dxa" w:w="86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Functions of MPs, MLAs, members of Panchayats, Municipalities and local authorities; duties of constitutional post holders; duties of chairpersons, members or directors of Government bodies not deemed employees</w:t>
            </w:r>
          </w:p>
        </w:tc>
      </w:tr>
      <w:tr>
        <w:trPr>
          <w:cantSplit/>
        </w:trPr>
        <w:tc>
          <w:tcPr>
            <w:tcW w:type="dxa" w:w="10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w:t>
            </w:r>
          </w:p>
        </w:tc>
        <w:tc>
          <w:tcPr>
            <w:tcW w:type="dxa" w:w="86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Funeral, burial, crematorium or mortuary services, including transport of the deceased</w:t>
            </w:r>
          </w:p>
        </w:tc>
      </w:tr>
      <w:tr>
        <w:trPr>
          <w:cantSplit/>
        </w:trPr>
        <w:tc>
          <w:tcPr>
            <w:tcW w:type="dxa" w:w="10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c>
          <w:tcPr>
            <w:tcW w:type="dxa" w:w="86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Sale of land and, subject to Schedule II para 5(b), sale of a building (a completed building sold after completion certificate or first occupation)</w:t>
            </w:r>
          </w:p>
        </w:tc>
      </w:tr>
      <w:tr>
        <w:trPr>
          <w:cantSplit/>
        </w:trPr>
        <w:tc>
          <w:tcPr>
            <w:tcW w:type="dxa" w:w="10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w:t>
            </w:r>
          </w:p>
        </w:tc>
        <w:tc>
          <w:tcPr>
            <w:tcW w:type="dxa" w:w="86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Actionable claims, other than specified actionable claims</w:t>
            </w:r>
          </w:p>
        </w:tc>
      </w:tr>
      <w:tr>
        <w:trPr>
          <w:cantSplit/>
        </w:trPr>
        <w:tc>
          <w:tcPr>
            <w:tcW w:type="dxa" w:w="10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w:t>
            </w:r>
          </w:p>
        </w:tc>
        <w:tc>
          <w:tcPr>
            <w:tcW w:type="dxa" w:w="86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of goods from one place outside India to another place outside India without the goods entering India (merchanting trade)</w:t>
            </w:r>
          </w:p>
        </w:tc>
      </w:tr>
      <w:tr>
        <w:trPr>
          <w:cantSplit/>
        </w:trPr>
        <w:tc>
          <w:tcPr>
            <w:tcW w:type="dxa" w:w="10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8(a)</w:t>
            </w:r>
          </w:p>
        </w:tc>
        <w:tc>
          <w:tcPr>
            <w:tcW w:type="dxa" w:w="86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of warehoused goods to any person before clearance for home consumption; from 1 July 2017 (by the Finance Act, 2025) this includes goods in an SEZ or FTWZ sold before clearance for export or to the DTA</w:t>
            </w:r>
          </w:p>
        </w:tc>
      </w:tr>
      <w:tr>
        <w:trPr>
          <w:cantSplit/>
        </w:trPr>
        <w:tc>
          <w:tcPr>
            <w:tcW w:type="dxa" w:w="100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8(b)</w:t>
            </w:r>
          </w:p>
        </w:tc>
        <w:tc>
          <w:tcPr>
            <w:tcW w:type="dxa" w:w="86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of goods by the consignee by endorsement of documents of title after dispatch from the port of origin abroad but before clearance for home consumption (high-sea sales)</w:t>
            </w:r>
          </w:p>
        </w:tc>
      </w:tr>
    </w:tbl>
    <w:p>
      <w:pPr>
        <w:spacing w:after="60"/>
      </w:pPr>
    </w:p>
    <w:p>
      <w:pPr>
        <w:spacing w:after="120" w:line="276"/>
        <w:jc w:val="both"/>
      </w:pPr>
      <w:r>
        <w:rPr>
          <w:rFonts w:ascii="Verdana" w:cs="Verdana" w:eastAsia="Verdana" w:hAnsi="Verdana"/>
        </w:rPr>
        <w:t xml:space="preserve">Paras 7 and 8 were effective from 1 February 2019 but made retrospective from 1 July 2017 by the Finance Act, 2023, without refund of tax already paid. For high-sea sales and warehoused goods, IGST is collected once by customs from the buyer who clears the goods, on a value that includes the sale price. For ITC purposes, Schedule III activities are generally not counted as exempt supplies, except sale of land and completed buildings (para 5), which must be included in exempt turnover under rules 42 and 43, and sales of warehoused goods to the extent prescribed.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28: Flat sold before and after completion</w:t>
            </w:r>
          </w:p>
          <w:p>
            <w:pPr>
              <w:spacing w:after="60" w:line="260"/>
            </w:pPr>
            <w:r>
              <w:rPr>
                <w:rFonts w:ascii="Verdana" w:cs="Verdana" w:eastAsia="Verdana" w:hAnsi="Verdana"/>
                <w:sz w:val="20"/>
                <w:szCs w:val="20"/>
              </w:rPr>
              <w:t xml:space="preserve">Shree Developers sells two identical flats (not affordable housing) for Rs. 1,00,00,000 each, including land.</w:t>
            </w:r>
          </w:p>
          <w:p>
            <w:pPr>
              <w:spacing w:after="60" w:line="260"/>
            </w:pPr>
            <w:r>
              <w:rPr>
                <w:rFonts w:ascii="Verdana" w:cs="Verdana" w:eastAsia="Verdana" w:hAnsi="Verdana"/>
                <w:sz w:val="20"/>
                <w:szCs w:val="20"/>
              </w:rPr>
              <w:t xml:space="preserve">Flat A: Agreement and payments before the completion certificate. This is construction service under Schedule II para 5(b). GST at the effective rate of 5% (after the deduction of one-third for land, without ITC) = Rs. 5,00,000.</w:t>
            </w:r>
          </w:p>
          <w:p>
            <w:pPr>
              <w:spacing w:after="60" w:line="260"/>
            </w:pPr>
            <w:r>
              <w:rPr>
                <w:rFonts w:ascii="Verdana" w:cs="Verdana" w:eastAsia="Verdana" w:hAnsi="Verdana"/>
                <w:sz w:val="20"/>
                <w:szCs w:val="20"/>
              </w:rPr>
              <w:t xml:space="preserve">Flat B: Sold after the completion certificate, with the entire consideration received after that date. This is sale of a building under Schedule III para 5. No GST.</w:t>
            </w:r>
          </w:p>
          <w:p>
            <w:pPr>
              <w:spacing w:after="60" w:line="260"/>
            </w:pPr>
            <w:r>
              <w:rPr>
                <w:rFonts w:ascii="Verdana" w:cs="Verdana" w:eastAsia="Verdana" w:hAnsi="Verdana"/>
                <w:sz w:val="20"/>
                <w:szCs w:val="20"/>
              </w:rPr>
              <w:t xml:space="preserve">Result: The builder must reverse ITC attributable to Flat B, since it counts as an exempt supply for ITC.</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29: Merchanting trade</w:t>
            </w:r>
          </w:p>
          <w:p>
            <w:pPr>
              <w:spacing w:after="60" w:line="260"/>
            </w:pPr>
            <w:r>
              <w:rPr>
                <w:rFonts w:ascii="Verdana" w:cs="Verdana" w:eastAsia="Verdana" w:hAnsi="Verdana"/>
                <w:sz w:val="20"/>
                <w:szCs w:val="20"/>
              </w:rPr>
              <w:t xml:space="preserve">Global Trade Links, Mumbai, buys machine parts from a supplier in China for Rs. 50,00,000 and sells them to a buyer in the UAE for Rs. 55,00,000. The goods are shipped directly from China to the UAE.</w:t>
            </w:r>
          </w:p>
          <w:p>
            <w:pPr>
              <w:spacing w:after="60" w:line="260"/>
            </w:pPr>
            <w:r>
              <w:rPr>
                <w:rFonts w:ascii="Verdana" w:cs="Verdana" w:eastAsia="Verdana" w:hAnsi="Verdana"/>
                <w:sz w:val="20"/>
                <w:szCs w:val="20"/>
              </w:rPr>
              <w:t xml:space="preserve">Step 1: The goods move from one place outside India to another without entering India. Schedule III para 7 applies.</w:t>
            </w:r>
          </w:p>
          <w:p>
            <w:pPr>
              <w:spacing w:after="60" w:line="260"/>
            </w:pPr>
            <w:r>
              <w:rPr>
                <w:rFonts w:ascii="Verdana" w:cs="Verdana" w:eastAsia="Verdana" w:hAnsi="Verdana"/>
                <w:sz w:val="20"/>
                <w:szCs w:val="20"/>
              </w:rPr>
              <w:t xml:space="preserve">Result: No IGST on the purchase or the sale. Customs duty does not apply either, as nothing is imported. Service charges paid in India for arranging the deal remain taxable in the normal way.</w:t>
            </w:r>
          </w:p>
        </w:tc>
      </w:tr>
    </w:tbl>
    <w:p>
      <w:pPr>
        <w:spacing w:after="60"/>
      </w:pPr>
    </w:p>
    <w:p>
      <w:pPr>
        <w:pStyle w:val="Heading2"/>
        <w:keepNext/>
        <w:spacing w:after="120" w:before="240"/>
      </w:pPr>
      <w:r>
        <w:rPr>
          <w:rFonts w:ascii="Verdana" w:cs="Verdana" w:eastAsia="Verdana" w:hAnsi="Verdana"/>
        </w:rPr>
        <w:t xml:space="preserve">5.7 Tricky receipts: CBIC clarifications</w:t>
      </w:r>
    </w:p>
    <w:p>
      <w:pPr>
        <w:pStyle w:val="Heading3"/>
        <w:keepNext/>
        <w:spacing w:after="80" w:before="160"/>
      </w:pPr>
      <w:r>
        <w:rPr>
          <w:rFonts w:ascii="Verdana" w:cs="Verdana" w:eastAsia="Verdana" w:hAnsi="Verdana"/>
        </w:rPr>
        <w:t xml:space="preserve">Vouchers</w:t>
      </w:r>
    </w:p>
    <w:p>
      <w:pPr>
        <w:spacing w:after="120" w:line="276"/>
        <w:jc w:val="both"/>
      </w:pPr>
      <w:r>
        <w:rPr>
          <w:rFonts w:ascii="Verdana" w:cs="Verdana" w:eastAsia="Verdana" w:hAnsi="Verdana"/>
        </w:rPr>
        <w:t xml:space="preserve">CBIC Circular 243/37/2024 clarified that vouchers (gift cards, prepaid instruments) are neither goods nor services; they are like money or an actionable claim. Sale or distribution of vouchers on a principal-to-principal basis is not a supply; tax arises only on the underlying goods or services when the voucher is redeemed. Where a distributor acts as an agent for a commission, the commission is taxable. Unredeemed vouchers (breakage) are not consideration for any supply. The Finance Act, 2025 then omitted the voucher provisions in sections 12(4) and 13(4).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30: Gift voucher redeemed for a shirt</w:t>
            </w:r>
          </w:p>
          <w:p>
            <w:pPr>
              <w:spacing w:after="60" w:line="260"/>
            </w:pPr>
            <w:r>
              <w:rPr>
                <w:rFonts w:ascii="Verdana" w:cs="Verdana" w:eastAsia="Verdana" w:hAnsi="Verdana"/>
                <w:sz w:val="20"/>
                <w:szCs w:val="20"/>
              </w:rPr>
              <w:t xml:space="preserve">Kavya buys a Rs. 1,000 gift voucher from a clothing chain. Her friend later uses it to buy a shirt priced at Rs. 1,050 (inclusive of GST) and pays Rs. 50 in cash.</w:t>
            </w:r>
          </w:p>
          <w:p>
            <w:pPr>
              <w:spacing w:after="60" w:line="260"/>
            </w:pPr>
            <w:r>
              <w:rPr>
                <w:rFonts w:ascii="Verdana" w:cs="Verdana" w:eastAsia="Verdana" w:hAnsi="Verdana"/>
                <w:sz w:val="20"/>
                <w:szCs w:val="20"/>
              </w:rPr>
              <w:t xml:space="preserve">Step 1: Sale of the voucher is not a supply. No GST at that stage.</w:t>
            </w:r>
          </w:p>
          <w:p>
            <w:pPr>
              <w:spacing w:after="60" w:line="260"/>
            </w:pPr>
            <w:r>
              <w:rPr>
                <w:rFonts w:ascii="Verdana" w:cs="Verdana" w:eastAsia="Verdana" w:hAnsi="Verdana"/>
                <w:sz w:val="20"/>
                <w:szCs w:val="20"/>
              </w:rPr>
              <w:t xml:space="preserve">Step 2: On redemption, the shirt is supplied. Apparel up to Rs. 2,500 per piece is taxed at 5%. Tax = Rs. 1,050 x 5 / 105 = Rs. 50; taxable value Rs. 1,000.</w:t>
            </w:r>
          </w:p>
          <w:p>
            <w:pPr>
              <w:spacing w:after="60" w:line="260"/>
            </w:pPr>
            <w:r>
              <w:rPr>
                <w:rFonts w:ascii="Verdana" w:cs="Verdana" w:eastAsia="Verdana" w:hAnsi="Verdana"/>
                <w:sz w:val="20"/>
                <w:szCs w:val="20"/>
              </w:rPr>
              <w:t xml:space="preserve">Result: If the voucher had never been redeemed, the chain would have no GST liability on the Rs. 1,000 it kept.</w:t>
            </w:r>
          </w:p>
        </w:tc>
      </w:tr>
    </w:tbl>
    <w:p>
      <w:pPr>
        <w:spacing w:after="60"/>
      </w:pPr>
    </w:p>
    <w:p>
      <w:pPr>
        <w:pStyle w:val="Heading3"/>
        <w:keepNext/>
        <w:spacing w:after="80" w:before="160"/>
      </w:pPr>
      <w:r>
        <w:rPr>
          <w:rFonts w:ascii="Verdana" w:cs="Verdana" w:eastAsia="Verdana" w:hAnsi="Verdana"/>
        </w:rPr>
        <w:t xml:space="preserve">Liquidated damages, compensation and penalties</w:t>
      </w:r>
    </w:p>
    <w:p>
      <w:pPr>
        <w:spacing w:after="120" w:line="276"/>
        <w:jc w:val="both"/>
      </w:pPr>
      <w:r>
        <w:rPr>
          <w:rFonts w:ascii="Verdana" w:cs="Verdana" w:eastAsia="Verdana" w:hAnsi="Verdana"/>
        </w:rPr>
        <w:t xml:space="preserve">CBIC Circular 178/10/2022 examined Schedule II para 5(e) and said that a payment is consideration for "tolerating an act" only where there is a separate agreement to tolerate it and the payment flows from that agreement. Money paid as compensation for a breach, or as a deterrent, is not consideration for a supply. The circular's conclusions are:</w:t>
      </w:r>
    </w:p>
    <w:p>
      <w:pPr>
        <w:pStyle w:val="ListParagraph"/>
        <w:numPr>
          <w:ilvl w:val="0"/>
          <w:numId w:val="2"/>
        </w:numPr>
        <w:spacing w:after="60" w:line="264"/>
      </w:pPr>
      <w:r>
        <w:rPr>
          <w:rFonts w:ascii="Verdana" w:cs="Verdana" w:eastAsia="Verdana" w:hAnsi="Verdana"/>
          <w:b/>
          <w:bCs/>
        </w:rPr>
        <w:t xml:space="preserve">Liquidated damages</w:t>
      </w:r>
      <w:r>
        <w:rPr>
          <w:rFonts w:ascii="Verdana" w:cs="Verdana" w:eastAsia="Verdana" w:hAnsi="Verdana"/>
        </w:rPr>
        <w:t xml:space="preserve"> for delay or breach, </w:t>
      </w:r>
      <w:r>
        <w:rPr>
          <w:rFonts w:ascii="Verdana" w:cs="Verdana" w:eastAsia="Verdana" w:hAnsi="Verdana"/>
          <w:b/>
          <w:bCs/>
        </w:rPr>
        <w:t xml:space="preserve">forfeiture of earnest money</w:t>
      </w:r>
      <w:r>
        <w:rPr>
          <w:rFonts w:ascii="Verdana" w:cs="Verdana" w:eastAsia="Verdana" w:hAnsi="Verdana"/>
        </w:rPr>
        <w:t xml:space="preserve">, </w:t>
      </w:r>
      <w:r>
        <w:rPr>
          <w:rFonts w:ascii="Verdana" w:cs="Verdana" w:eastAsia="Verdana" w:hAnsi="Verdana"/>
          <w:b/>
          <w:bCs/>
        </w:rPr>
        <w:t xml:space="preserve">compensation for breach of contract</w:t>
      </w:r>
      <w:r>
        <w:rPr>
          <w:rFonts w:ascii="Verdana" w:cs="Verdana" w:eastAsia="Verdana" w:hAnsi="Verdana"/>
        </w:rPr>
        <w:t xml:space="preserve">: not taxable.</w:t>
      </w:r>
    </w:p>
    <w:p>
      <w:pPr>
        <w:pStyle w:val="ListParagraph"/>
        <w:numPr>
          <w:ilvl w:val="0"/>
          <w:numId w:val="2"/>
        </w:numPr>
        <w:spacing w:after="60" w:line="264"/>
      </w:pPr>
      <w:r>
        <w:rPr>
          <w:rFonts w:ascii="Verdana" w:cs="Verdana" w:eastAsia="Verdana" w:hAnsi="Verdana"/>
          <w:b/>
          <w:bCs/>
        </w:rPr>
        <w:t xml:space="preserve">Fines for dishonour of cheques</w:t>
      </w:r>
      <w:r>
        <w:rPr>
          <w:rFonts w:ascii="Verdana" w:cs="Verdana" w:eastAsia="Verdana" w:hAnsi="Verdana"/>
        </w:rPr>
        <w:t xml:space="preserve"> and </w:t>
      </w:r>
      <w:r>
        <w:rPr>
          <w:rFonts w:ascii="Verdana" w:cs="Verdana" w:eastAsia="Verdana" w:hAnsi="Verdana"/>
          <w:b/>
          <w:bCs/>
        </w:rPr>
        <w:t xml:space="preserve">penalties imposed by law</w:t>
      </w:r>
      <w:r>
        <w:rPr>
          <w:rFonts w:ascii="Verdana" w:cs="Verdana" w:eastAsia="Verdana" w:hAnsi="Verdana"/>
        </w:rPr>
        <w:t xml:space="preserve">: not taxable.</w:t>
      </w:r>
    </w:p>
    <w:p>
      <w:pPr>
        <w:pStyle w:val="ListParagraph"/>
        <w:numPr>
          <w:ilvl w:val="0"/>
          <w:numId w:val="2"/>
        </w:numPr>
        <w:spacing w:after="60" w:line="264"/>
      </w:pPr>
      <w:r>
        <w:rPr>
          <w:rFonts w:ascii="Verdana" w:cs="Verdana" w:eastAsia="Verdana" w:hAnsi="Verdana"/>
          <w:b/>
          <w:bCs/>
        </w:rPr>
        <w:t xml:space="preserve">Amounts recovered from employees under an employment bond or for short notice</w:t>
      </w:r>
      <w:r>
        <w:rPr>
          <w:rFonts w:ascii="Verdana" w:cs="Verdana" w:eastAsia="Verdana" w:hAnsi="Verdana"/>
        </w:rPr>
        <w:t xml:space="preserve"> on leaving: not taxable, as they are penalties to dissuade premature exit.</w:t>
      </w:r>
    </w:p>
    <w:p>
      <w:pPr>
        <w:pStyle w:val="ListParagraph"/>
        <w:numPr>
          <w:ilvl w:val="0"/>
          <w:numId w:val="2"/>
        </w:numPr>
        <w:spacing w:after="60" w:line="264"/>
      </w:pPr>
      <w:r>
        <w:rPr>
          <w:rFonts w:ascii="Verdana" w:cs="Verdana" w:eastAsia="Verdana" w:hAnsi="Verdana"/>
          <w:b/>
          <w:bCs/>
        </w:rPr>
        <w:t xml:space="preserve">Cancellation charges</w:t>
      </w:r>
      <w:r>
        <w:rPr>
          <w:rFonts w:ascii="Verdana" w:cs="Verdana" w:eastAsia="Verdana" w:hAnsi="Verdana"/>
        </w:rPr>
        <w:t xml:space="preserve"> (hotel, airline, rail): taxable as part of the principal supply, at the rate of that supply.</w:t>
      </w:r>
    </w:p>
    <w:p>
      <w:pPr>
        <w:pStyle w:val="ListParagraph"/>
        <w:numPr>
          <w:ilvl w:val="0"/>
          <w:numId w:val="2"/>
        </w:numPr>
        <w:spacing w:after="60" w:line="264"/>
      </w:pPr>
      <w:r>
        <w:rPr>
          <w:rFonts w:ascii="Verdana" w:cs="Verdana" w:eastAsia="Verdana" w:hAnsi="Verdana"/>
          <w:b/>
          <w:bCs/>
        </w:rPr>
        <w:t xml:space="preserve">Late payment surcharge or fee</w:t>
      </w:r>
      <w:r>
        <w:rPr>
          <w:rFonts w:ascii="Verdana" w:cs="Verdana" w:eastAsia="Verdana" w:hAnsi="Verdana"/>
        </w:rPr>
        <w:t xml:space="preserve">: taxable, at the rate of the principal supply.</w:t>
      </w:r>
    </w:p>
    <w:p>
      <w:pPr>
        <w:pStyle w:val="ListParagraph"/>
        <w:numPr>
          <w:ilvl w:val="0"/>
          <w:numId w:val="2"/>
        </w:numPr>
        <w:spacing w:after="60" w:line="264"/>
      </w:pPr>
      <w:r>
        <w:rPr>
          <w:rFonts w:ascii="Verdana" w:cs="Verdana" w:eastAsia="Verdana" w:hAnsi="Verdana"/>
          <w:b/>
          <w:bCs/>
        </w:rPr>
        <w:t xml:space="preserve">Fixed capacity charges</w:t>
      </w:r>
      <w:r>
        <w:rPr>
          <w:rFonts w:ascii="Verdana" w:cs="Verdana" w:eastAsia="Verdana" w:hAnsi="Verdana"/>
        </w:rPr>
        <w:t xml:space="preserve"> in power supply: part of the supply of electricity, not a separate service of tolerating non-consumption.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Notice pay is not consideration</w:t>
            </w:r>
          </w:p>
          <w:p>
            <w:pPr>
              <w:spacing w:after="60" w:line="260"/>
            </w:pPr>
            <w:r>
              <w:rPr>
                <w:rFonts w:ascii="Verdana" w:cs="Verdana" w:eastAsia="Verdana" w:hAnsi="Verdana"/>
                <w:b/>
                <w:bCs/>
                <w:sz w:val="20"/>
                <w:szCs w:val="20"/>
              </w:rPr>
              <w:t xml:space="preserve">GE T and D India Ltd. v. Deputy Commissioner of Central Excise (Madras High Court, 2019):</w:t>
            </w:r>
            <w:r>
              <w:rPr>
                <w:rFonts w:ascii="Verdana" w:cs="Verdana" w:eastAsia="Verdana" w:hAnsi="Verdana"/>
                <w:sz w:val="20"/>
                <w:szCs w:val="20"/>
              </w:rPr>
              <w:t xml:space="preserve"> Notice pay recovered from employees who left without serving the notice period was held not liable to service tax. The employer does not provide any service of tolerating the employee's early exit; the amount is a recovery under the employment contract.</w:t>
            </w:r>
          </w:p>
          <w:p>
            <w:pPr>
              <w:spacing w:after="60" w:line="260"/>
            </w:pPr>
            <w:r>
              <w:rPr>
                <w:rFonts w:ascii="Verdana" w:cs="Verdana" w:eastAsia="Verdana" w:hAnsi="Verdana"/>
                <w:b/>
                <w:bCs/>
                <w:sz w:val="20"/>
                <w:szCs w:val="20"/>
              </w:rPr>
              <w:t xml:space="preserve">Practical relevance under GST:</w:t>
            </w:r>
            <w:r>
              <w:rPr>
                <w:rFonts w:ascii="Verdana" w:cs="Verdana" w:eastAsia="Verdana" w:hAnsi="Verdana"/>
                <w:sz w:val="20"/>
                <w:szCs w:val="20"/>
              </w:rPr>
              <w:t xml:space="preserve"> The ruling is consistent with Circular 178/10/2022. Employers should not charge GST on notice pay or bond recoveries, and demands raised on this ground can be contested.</w:t>
            </w:r>
          </w:p>
        </w:tc>
      </w:tr>
    </w:tbl>
    <w:p>
      <w:pPr>
        <w:spacing w:after="60"/>
      </w:pPr>
    </w:p>
    <w:p>
      <w:pPr>
        <w:pStyle w:val="Heading3"/>
        <w:keepNext/>
        <w:spacing w:after="80" w:before="160"/>
      </w:pPr>
      <w:r>
        <w:rPr>
          <w:rFonts w:ascii="Verdana" w:cs="Verdana" w:eastAsia="Verdana" w:hAnsi="Verdana"/>
        </w:rPr>
        <w:t xml:space="preserve">Employee recoveries and perquisites</w:t>
      </w:r>
    </w:p>
    <w:p>
      <w:pPr>
        <w:spacing w:after="120" w:line="276"/>
        <w:jc w:val="both"/>
      </w:pPr>
      <w:r>
        <w:rPr>
          <w:rFonts w:ascii="Verdana" w:cs="Verdana" w:eastAsia="Verdana" w:hAnsi="Verdana"/>
        </w:rPr>
        <w:t xml:space="preserve">Services by an employee to the employer are outside GST (Schedule III para 1). CBIC Circular 172/04/2022 clarified that perquisites provided by an employer to employees under the contract of employment are not a supply. Canteen recoveries are more fact-specific. Where the employer merely collects the employees' share and passes it to the canteen contractor without any margin, several Authorities for Advance Ruling have held that the employer makes no supply; others have taken a different view where the employer itself runs the canteen. The contract structure decides the answer.</w:t>
      </w:r>
    </w:p>
    <w:p>
      <w:pPr>
        <w:pStyle w:val="Heading3"/>
        <w:keepNext/>
        <w:spacing w:after="80" w:before="160"/>
      </w:pPr>
      <w:r>
        <w:rPr>
          <w:rFonts w:ascii="Verdana" w:cs="Verdana" w:eastAsia="Verdana" w:hAnsi="Verdana"/>
        </w:rPr>
        <w:t xml:space="preserve">Tips, service charge, donations, sponsorship and grants</w:t>
      </w:r>
    </w:p>
    <w:p>
      <w:pPr>
        <w:pStyle w:val="ListParagraph"/>
        <w:numPr>
          <w:ilvl w:val="0"/>
          <w:numId w:val="2"/>
        </w:numPr>
        <w:spacing w:after="60" w:line="264"/>
      </w:pPr>
      <w:r>
        <w:rPr>
          <w:rFonts w:ascii="Verdana" w:cs="Verdana" w:eastAsia="Verdana" w:hAnsi="Verdana"/>
          <w:b/>
          <w:bCs/>
        </w:rPr>
        <w:t xml:space="preserve">Service charge</w:t>
      </w:r>
      <w:r>
        <w:rPr>
          <w:rFonts w:ascii="Verdana" w:cs="Verdana" w:eastAsia="Verdana" w:hAnsi="Verdana"/>
        </w:rPr>
        <w:t xml:space="preserve"> added to a restaurant bill is part of the value of the restaurant service and is taxable. A </w:t>
      </w:r>
      <w:r>
        <w:rPr>
          <w:rFonts w:ascii="Verdana" w:cs="Verdana" w:eastAsia="Verdana" w:hAnsi="Verdana"/>
          <w:b/>
          <w:bCs/>
        </w:rPr>
        <w:t xml:space="preserve">tip</w:t>
      </w:r>
      <w:r>
        <w:rPr>
          <w:rFonts w:ascii="Verdana" w:cs="Verdana" w:eastAsia="Verdana" w:hAnsi="Verdana"/>
        </w:rPr>
        <w:t xml:space="preserve"> paid voluntarily by a customer directly to staff is not consideration for the restaurant's supply.</w:t>
      </w:r>
    </w:p>
    <w:p>
      <w:pPr>
        <w:pStyle w:val="ListParagraph"/>
        <w:numPr>
          <w:ilvl w:val="0"/>
          <w:numId w:val="2"/>
        </w:numPr>
        <w:spacing w:after="60" w:line="264"/>
      </w:pPr>
      <w:r>
        <w:rPr>
          <w:rFonts w:ascii="Verdana" w:cs="Verdana" w:eastAsia="Verdana" w:hAnsi="Verdana"/>
          <w:b/>
          <w:bCs/>
        </w:rPr>
        <w:t xml:space="preserve">Security deposits</w:t>
      </w:r>
      <w:r>
        <w:rPr>
          <w:rFonts w:ascii="Verdana" w:cs="Verdana" w:eastAsia="Verdana" w:hAnsi="Verdana"/>
        </w:rPr>
        <w:t xml:space="preserve"> are not consideration unless applied (Chapter 4). </w:t>
      </w:r>
      <w:r>
        <w:rPr>
          <w:rFonts w:ascii="Verdana" w:cs="Verdana" w:eastAsia="Verdana" w:hAnsi="Verdana"/>
          <w:b/>
          <w:bCs/>
        </w:rPr>
        <w:t xml:space="preserve">Advances forfeited</w:t>
      </w:r>
      <w:r>
        <w:rPr>
          <w:rFonts w:ascii="Verdana" w:cs="Verdana" w:eastAsia="Verdana" w:hAnsi="Verdana"/>
        </w:rPr>
        <w:t xml:space="preserve"> on cancellation are taxable if they are in substance cancellation charges, but not if they are compensation for breach under Circular 178/10/2022. Read the contract.</w:t>
      </w:r>
    </w:p>
    <w:p>
      <w:pPr>
        <w:pStyle w:val="ListParagraph"/>
        <w:numPr>
          <w:ilvl w:val="0"/>
          <w:numId w:val="2"/>
        </w:numPr>
        <w:spacing w:after="60" w:line="264"/>
      </w:pPr>
      <w:r>
        <w:rPr>
          <w:rFonts w:ascii="Verdana" w:cs="Verdana" w:eastAsia="Verdana" w:hAnsi="Verdana"/>
          <w:b/>
          <w:bCs/>
        </w:rPr>
        <w:t xml:space="preserve">Donations</w:t>
      </w:r>
      <w:r>
        <w:rPr>
          <w:rFonts w:ascii="Verdana" w:cs="Verdana" w:eastAsia="Verdana" w:hAnsi="Verdana"/>
        </w:rPr>
        <w:t xml:space="preserve"> to a charity are not consideration where the donor gets nothing in return other than a plain acknowledgement. Where the donor's name or brand is advertised or promoted, the payment is </w:t>
      </w:r>
      <w:r>
        <w:rPr>
          <w:rFonts w:ascii="Verdana" w:cs="Verdana" w:eastAsia="Verdana" w:hAnsi="Verdana"/>
          <w:b/>
          <w:bCs/>
        </w:rPr>
        <w:t xml:space="preserve">sponsorship</w:t>
      </w:r>
      <w:r>
        <w:rPr>
          <w:rFonts w:ascii="Verdana" w:cs="Verdana" w:eastAsia="Verdana" w:hAnsi="Verdana"/>
        </w:rPr>
        <w:t xml:space="preserve">, a taxable service (under reverse charge where the recipient of the sponsorship service is a body corporate or partnership firm).</w:t>
      </w:r>
    </w:p>
    <w:p>
      <w:pPr>
        <w:pStyle w:val="ListParagraph"/>
        <w:numPr>
          <w:ilvl w:val="0"/>
          <w:numId w:val="2"/>
        </w:numPr>
        <w:spacing w:after="60" w:line="264"/>
      </w:pPr>
      <w:r>
        <w:rPr>
          <w:rFonts w:ascii="Verdana" w:cs="Verdana" w:eastAsia="Verdana" w:hAnsi="Verdana"/>
          <w:b/>
          <w:bCs/>
        </w:rPr>
        <w:t xml:space="preserve">Grants</w:t>
      </w:r>
      <w:r>
        <w:rPr>
          <w:rFonts w:ascii="Verdana" w:cs="Verdana" w:eastAsia="Verdana" w:hAnsi="Verdana"/>
        </w:rPr>
        <w:t xml:space="preserve"> by Government or others without any obligation to supply goods or services to the grantor are not consideration. A grant tied to specific deliverables for the grantor may 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31: Which recoveries attract GST</w:t>
            </w:r>
          </w:p>
          <w:p>
            <w:pPr>
              <w:spacing w:after="60" w:line="260"/>
            </w:pPr>
            <w:r>
              <w:rPr>
                <w:rFonts w:ascii="Verdana" w:cs="Verdana" w:eastAsia="Verdana" w:hAnsi="Verdana"/>
                <w:sz w:val="20"/>
                <w:szCs w:val="20"/>
              </w:rPr>
              <w:t xml:space="preserve">Bhavani Foods Ltd. has the following receipts in a month.</w:t>
            </w:r>
          </w:p>
          <w:p>
            <w:pPr>
              <w:spacing w:after="60" w:line="260"/>
            </w:pPr>
            <w:r>
              <w:rPr>
                <w:rFonts w:ascii="Verdana" w:cs="Verdana" w:eastAsia="Verdana" w:hAnsi="Verdana"/>
                <w:sz w:val="20"/>
                <w:szCs w:val="20"/>
              </w:rPr>
              <w:t xml:space="preserve">(a) Notice pay recovered from a departing employee: Rs. 1,20,000. Not a supply. No GST.</w:t>
            </w:r>
          </w:p>
          <w:p>
            <w:pPr>
              <w:spacing w:after="60" w:line="260"/>
            </w:pPr>
            <w:r>
              <w:rPr>
                <w:rFonts w:ascii="Verdana" w:cs="Verdana" w:eastAsia="Verdana" w:hAnsi="Verdana"/>
                <w:sz w:val="20"/>
                <w:szCs w:val="20"/>
              </w:rPr>
              <w:t xml:space="preserve">(b) Charges for a dishonoured cheque from a distributor: Rs. 500. Not a supply. No GST.</w:t>
            </w:r>
          </w:p>
          <w:p>
            <w:pPr>
              <w:spacing w:after="60" w:line="260"/>
            </w:pPr>
            <w:r>
              <w:rPr>
                <w:rFonts w:ascii="Verdana" w:cs="Verdana" w:eastAsia="Verdana" w:hAnsi="Verdana"/>
                <w:sz w:val="20"/>
                <w:szCs w:val="20"/>
              </w:rPr>
              <w:t xml:space="preserve">(c) Interest for late payment charged to a distributor on an invoice for goods taxed at 18%: Rs. 3,000. Taxable as part of the principal supply. GST at 18% = Rs. 540.</w:t>
            </w:r>
          </w:p>
          <w:p>
            <w:pPr>
              <w:spacing w:after="60" w:line="260"/>
            </w:pPr>
            <w:r>
              <w:rPr>
                <w:rFonts w:ascii="Verdana" w:cs="Verdana" w:eastAsia="Verdana" w:hAnsi="Verdana"/>
                <w:sz w:val="20"/>
                <w:szCs w:val="20"/>
              </w:rPr>
              <w:t xml:space="preserve">(d) Liquidated damages deducted from a contractor's bill for delay: Rs. 2,00,000. Not a supply by Bhavani Foods. No GST.</w:t>
            </w:r>
          </w:p>
          <w:p>
            <w:pPr>
              <w:spacing w:after="60" w:line="260"/>
            </w:pPr>
            <w:r>
              <w:rPr>
                <w:rFonts w:ascii="Verdana" w:cs="Verdana" w:eastAsia="Verdana" w:hAnsi="Verdana"/>
                <w:sz w:val="20"/>
                <w:szCs w:val="20"/>
              </w:rPr>
              <w:t xml:space="preserve">Result: GST payable on these receipts = Rs. 540 only.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Where the department proposes tax on damages or penalties, check the contract. The circular protects payments that are compensation for loss or deterrence. It does not protect a payment that is really the price of agreeing to something, such as a non-compete fee or a fee for allowing early exit from a lease on agreed terms.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Supply under section 7(1)(a) needs a supply, two persons, consideration and a link with business; one-off asset sales are covered.</w:t>
            </w:r>
          </w:p>
          <w:p>
            <w:pPr>
              <w:spacing w:after="60" w:line="260"/>
            </w:pPr>
            <w:r>
              <w:rPr>
                <w:rFonts w:ascii="Verdana" w:cs="Verdana" w:eastAsia="Verdana" w:hAnsi="Verdana"/>
                <w:sz w:val="20"/>
                <w:szCs w:val="20"/>
              </w:rPr>
              <w:t xml:space="preserve">•  Section 7(1)(aa) taxes clubs and associations on supplies to members; the Kerala High Court struck it down and the Supreme Court appeal is pending.</w:t>
            </w:r>
          </w:p>
          <w:p>
            <w:pPr>
              <w:spacing w:after="60" w:line="260"/>
            </w:pPr>
            <w:r>
              <w:rPr>
                <w:rFonts w:ascii="Verdana" w:cs="Verdana" w:eastAsia="Verdana" w:hAnsi="Verdana"/>
                <w:sz w:val="20"/>
                <w:szCs w:val="20"/>
              </w:rPr>
              <w:t xml:space="preserve">•  Import of services for consideration is a supply even outside business, but exempt for individuals for personal use.</w:t>
            </w:r>
          </w:p>
          <w:p>
            <w:pPr>
              <w:spacing w:after="60" w:line="260"/>
            </w:pPr>
            <w:r>
              <w:rPr>
                <w:rFonts w:ascii="Verdana" w:cs="Verdana" w:eastAsia="Verdana" w:hAnsi="Verdana"/>
                <w:sz w:val="20"/>
                <w:szCs w:val="20"/>
              </w:rPr>
              <w:t xml:space="preserve">•  Schedule I taxes supplies without consideration: business assets with ITC, related and distinct persons (gifts to employees up to Rs. 50,000 excluded), principal and agent, related-party import of services.</w:t>
            </w:r>
          </w:p>
          <w:p>
            <w:pPr>
              <w:spacing w:after="60" w:line="260"/>
            </w:pPr>
            <w:r>
              <w:rPr>
                <w:rFonts w:ascii="Verdana" w:cs="Verdana" w:eastAsia="Verdana" w:hAnsi="Verdana"/>
                <w:sz w:val="20"/>
                <w:szCs w:val="20"/>
              </w:rPr>
              <w:t xml:space="preserve">•  Schedule II classifies supplies as goods or services; Schedule III removes employee services, sale of land and completed buildings, actionable claims, merchanting, warehoused and high-sea sales from GST.</w:t>
            </w:r>
          </w:p>
          <w:p>
            <w:pPr>
              <w:spacing w:after="60" w:line="260"/>
            </w:pPr>
            <w:r>
              <w:rPr>
                <w:rFonts w:ascii="Verdana" w:cs="Verdana" w:eastAsia="Verdana" w:hAnsi="Verdana"/>
                <w:sz w:val="20"/>
                <w:szCs w:val="20"/>
              </w:rPr>
              <w:t xml:space="preserve">•  Vouchers are not taxed until redemption; liquidated damages, notice pay, cheque dishonour fines and penalties under law are not supplies; cancellation and late payment charges are.</w:t>
            </w:r>
          </w:p>
        </w:tc>
      </w:tr>
    </w:tbl>
    <w:p>
      <w:pPr>
        <w:pStyle w:val="Heading1"/>
        <w:pageBreakBefore/>
        <w:spacing w:after="200" w:before="0"/>
      </w:pPr>
      <w:r>
        <w:rPr>
          <w:rFonts w:ascii="Verdana" w:cs="Verdana" w:eastAsia="Verdana" w:hAnsi="Verdana"/>
        </w:rPr>
        <w:t xml:space="preserve">6. Composite and Mixed Supply (Section 8)</w:t>
      </w:r>
    </w:p>
    <w:p>
      <w:pPr>
        <w:spacing w:after="120" w:line="276"/>
        <w:jc w:val="both"/>
      </w:pPr>
      <w:r>
        <w:rPr>
          <w:rFonts w:ascii="Verdana" w:cs="Verdana" w:eastAsia="Verdana" w:hAnsi="Verdana"/>
        </w:rPr>
        <w:t xml:space="preserve">Businesses rarely supply one thing at a time. A hotel room comes with breakfast, a machine comes with installation, a courier comes with insurance, a festive hamper holds several products. When the items in a bundle carry different rates, the law must decide which rate applies. Section 8 of the CGST Act does this through two concepts: composite supply and mixed supply.</w:t>
      </w:r>
    </w:p>
    <w:p>
      <w:pPr>
        <w:pStyle w:val="Heading2"/>
        <w:keepNext/>
        <w:spacing w:after="120" w:before="240"/>
      </w:pPr>
      <w:r>
        <w:rPr>
          <w:rFonts w:ascii="Verdana" w:cs="Verdana" w:eastAsia="Verdana" w:hAnsi="Verdana"/>
        </w:rPr>
        <w:t xml:space="preserve">6.1 Composite supply</w:t>
      </w:r>
    </w:p>
    <w:p>
      <w:pPr>
        <w:spacing w:after="120" w:line="276"/>
        <w:jc w:val="both"/>
      </w:pPr>
      <w:r>
        <w:rPr>
          <w:rFonts w:ascii="Verdana" w:cs="Verdana" w:eastAsia="Verdana" w:hAnsi="Verdana"/>
        </w:rPr>
        <w:t xml:space="preserve">A </w:t>
      </w:r>
      <w:r>
        <w:rPr>
          <w:rFonts w:ascii="Verdana" w:cs="Verdana" w:eastAsia="Verdana" w:hAnsi="Verdana"/>
          <w:b/>
          <w:bCs/>
        </w:rPr>
        <w:t xml:space="preserve">composite supply</w:t>
      </w:r>
      <w:r>
        <w:rPr>
          <w:rFonts w:ascii="Verdana" w:cs="Verdana" w:eastAsia="Verdana" w:hAnsi="Verdana"/>
        </w:rPr>
        <w:t xml:space="preserve"> (section 2(30)) is a supply by a taxable person to a recipient of two or more taxable supplies of goods or services, or any combination, which are </w:t>
      </w:r>
      <w:r>
        <w:rPr>
          <w:rFonts w:ascii="Verdana" w:cs="Verdana" w:eastAsia="Verdana" w:hAnsi="Verdana"/>
          <w:b/>
          <w:bCs/>
        </w:rPr>
        <w:t xml:space="preserve">naturally bundled</w:t>
      </w:r>
      <w:r>
        <w:rPr>
          <w:rFonts w:ascii="Verdana" w:cs="Verdana" w:eastAsia="Verdana" w:hAnsi="Verdana"/>
        </w:rPr>
        <w:t xml:space="preserve"> and supplied in conjunction with each other </w:t>
      </w:r>
      <w:r>
        <w:rPr>
          <w:rFonts w:ascii="Verdana" w:cs="Verdana" w:eastAsia="Verdana" w:hAnsi="Verdana"/>
          <w:b/>
          <w:bCs/>
        </w:rPr>
        <w:t xml:space="preserve">in the ordinary course of business</w:t>
      </w:r>
      <w:r>
        <w:rPr>
          <w:rFonts w:ascii="Verdana" w:cs="Verdana" w:eastAsia="Verdana" w:hAnsi="Verdana"/>
        </w:rPr>
        <w:t xml:space="preserve">, one of which is a </w:t>
      </w:r>
      <w:r>
        <w:rPr>
          <w:rFonts w:ascii="Verdana" w:cs="Verdana" w:eastAsia="Verdana" w:hAnsi="Verdana"/>
          <w:b/>
          <w:bCs/>
        </w:rPr>
        <w:t xml:space="preserve">principal supply</w:t>
      </w:r>
      <w:r>
        <w:rPr>
          <w:rFonts w:ascii="Verdana" w:cs="Verdana" w:eastAsia="Verdana" w:hAnsi="Verdana"/>
        </w:rPr>
        <w:t xml:space="preserve">. The Act's own example: goods packed and transported with insurance. The goods, packing, transport and insurance together form a composite supply, and the supply of goods is the principal supply.</w:t>
      </w:r>
    </w:p>
    <w:p>
      <w:pPr>
        <w:spacing w:after="120" w:line="276"/>
        <w:jc w:val="both"/>
      </w:pPr>
      <w:r>
        <w:rPr>
          <w:rFonts w:ascii="Verdana" w:cs="Verdana" w:eastAsia="Verdana" w:hAnsi="Verdana"/>
        </w:rPr>
        <w:t xml:space="preserve">The </w:t>
      </w:r>
      <w:r>
        <w:rPr>
          <w:rFonts w:ascii="Verdana" w:cs="Verdana" w:eastAsia="Verdana" w:hAnsi="Verdana"/>
          <w:b/>
          <w:bCs/>
        </w:rPr>
        <w:t xml:space="preserve">principal supply</w:t>
      </w:r>
      <w:r>
        <w:rPr>
          <w:rFonts w:ascii="Verdana" w:cs="Verdana" w:eastAsia="Verdana" w:hAnsi="Verdana"/>
        </w:rPr>
        <w:t xml:space="preserve"> (section 2(90)) is the predominant element of a composite supply, to which the other elements are ancillary. Under section 8(a), a composite supply is treated as a supply of the principal supply. The whole value takes the rate, place of supply and time of supply of the principal supply.</w:t>
      </w:r>
    </w:p>
    <w:p>
      <w:pPr>
        <w:pStyle w:val="Heading3"/>
        <w:keepNext/>
        <w:spacing w:after="80" w:before="160"/>
      </w:pPr>
      <w:r>
        <w:rPr>
          <w:rFonts w:ascii="Verdana" w:cs="Verdana" w:eastAsia="Verdana" w:hAnsi="Verdana"/>
        </w:rPr>
        <w:t xml:space="preserve">Testing natural bundling</w:t>
      </w:r>
    </w:p>
    <w:p>
      <w:pPr>
        <w:spacing w:after="120" w:line="276"/>
        <w:jc w:val="both"/>
      </w:pPr>
      <w:r>
        <w:rPr>
          <w:rFonts w:ascii="Verdana" w:cs="Verdana" w:eastAsia="Verdana" w:hAnsi="Verdana"/>
        </w:rPr>
        <w:t xml:space="preserve">The Act does not define "naturally bundled". Practice and CBIC's early guidance point to the following indicators:</w:t>
      </w:r>
    </w:p>
    <w:p>
      <w:pPr>
        <w:pStyle w:val="ListParagraph"/>
        <w:numPr>
          <w:ilvl w:val="0"/>
          <w:numId w:val="2"/>
        </w:numPr>
        <w:spacing w:after="60" w:line="264"/>
      </w:pPr>
      <w:r>
        <w:rPr>
          <w:rFonts w:ascii="Verdana" w:cs="Verdana" w:eastAsia="Verdana" w:hAnsi="Verdana"/>
        </w:rPr>
        <w:t xml:space="preserve">the customer sees the bundle as one supply and would not normally buy the elements separately from this supplier;</w:t>
      </w:r>
    </w:p>
    <w:p>
      <w:pPr>
        <w:pStyle w:val="ListParagraph"/>
        <w:numPr>
          <w:ilvl w:val="0"/>
          <w:numId w:val="2"/>
        </w:numPr>
        <w:spacing w:after="60" w:line="264"/>
      </w:pPr>
      <w:r>
        <w:rPr>
          <w:rFonts w:ascii="Verdana" w:cs="Verdana" w:eastAsia="Verdana" w:hAnsi="Verdana"/>
        </w:rPr>
        <w:t xml:space="preserve">most suppliers in the trade offer the elements together;</w:t>
      </w:r>
    </w:p>
    <w:p>
      <w:pPr>
        <w:pStyle w:val="ListParagraph"/>
        <w:numPr>
          <w:ilvl w:val="0"/>
          <w:numId w:val="2"/>
        </w:numPr>
        <w:spacing w:after="60" w:line="264"/>
      </w:pPr>
      <w:r>
        <w:rPr>
          <w:rFonts w:ascii="Verdana" w:cs="Verdana" w:eastAsia="Verdana" w:hAnsi="Verdana"/>
        </w:rPr>
        <w:t xml:space="preserve">the elements are advertised or priced as one package;</w:t>
      </w:r>
    </w:p>
    <w:p>
      <w:pPr>
        <w:pStyle w:val="ListParagraph"/>
        <w:numPr>
          <w:ilvl w:val="0"/>
          <w:numId w:val="2"/>
        </w:numPr>
        <w:spacing w:after="60" w:line="264"/>
      </w:pPr>
      <w:r>
        <w:rPr>
          <w:rFonts w:ascii="Verdana" w:cs="Verdana" w:eastAsia="Verdana" w:hAnsi="Verdana"/>
        </w:rPr>
        <w:t xml:space="preserve">one element is the reason for the purchase and the others only help the customer to enjoy it better;</w:t>
      </w:r>
    </w:p>
    <w:p>
      <w:pPr>
        <w:pStyle w:val="ListParagraph"/>
        <w:numPr>
          <w:ilvl w:val="0"/>
          <w:numId w:val="2"/>
        </w:numPr>
        <w:spacing w:after="60" w:line="264"/>
      </w:pPr>
      <w:r>
        <w:rPr>
          <w:rFonts w:ascii="Verdana" w:cs="Verdana" w:eastAsia="Verdana" w:hAnsi="Verdana"/>
        </w:rPr>
        <w:t xml:space="preserve">removing an element would change the nature of what is supplied.</w:t>
      </w:r>
    </w:p>
    <w:p>
      <w:pPr>
        <w:spacing w:after="120" w:line="276"/>
        <w:jc w:val="both"/>
      </w:pPr>
      <w:r>
        <w:rPr>
          <w:rFonts w:ascii="Verdana" w:cs="Verdana" w:eastAsia="Verdana" w:hAnsi="Verdana"/>
        </w:rPr>
        <w:t xml:space="preserve">A single price is a common feature but not essential. Separate line items on the same invoice do not by themselves break a composite supply if the elements are naturally bundled. Equally, an artificial bundle does not become composite just because one price is charged.</w:t>
      </w:r>
    </w:p>
    <w:p>
      <w:pPr>
        <w:pStyle w:val="Heading2"/>
        <w:keepNext/>
        <w:spacing w:after="120" w:before="240"/>
      </w:pPr>
      <w:r>
        <w:rPr>
          <w:rFonts w:ascii="Verdana" w:cs="Verdana" w:eastAsia="Verdana" w:hAnsi="Verdana"/>
        </w:rPr>
        <w:t xml:space="preserve">6.2 Mixed supply</w:t>
      </w:r>
    </w:p>
    <w:p>
      <w:pPr>
        <w:spacing w:after="120" w:line="276"/>
        <w:jc w:val="both"/>
      </w:pPr>
      <w:r>
        <w:rPr>
          <w:rFonts w:ascii="Verdana" w:cs="Verdana" w:eastAsia="Verdana" w:hAnsi="Verdana"/>
        </w:rPr>
        <w:t xml:space="preserve">A </w:t>
      </w:r>
      <w:r>
        <w:rPr>
          <w:rFonts w:ascii="Verdana" w:cs="Verdana" w:eastAsia="Verdana" w:hAnsi="Verdana"/>
          <w:b/>
          <w:bCs/>
        </w:rPr>
        <w:t xml:space="preserve">mixed supply</w:t>
      </w:r>
      <w:r>
        <w:rPr>
          <w:rFonts w:ascii="Verdana" w:cs="Verdana" w:eastAsia="Verdana" w:hAnsi="Verdana"/>
        </w:rPr>
        <w:t xml:space="preserve"> (section 2(74)) is two or more individual supplies of goods or services, or any combination, made together by a taxable person for a </w:t>
      </w:r>
      <w:r>
        <w:rPr>
          <w:rFonts w:ascii="Verdana" w:cs="Verdana" w:eastAsia="Verdana" w:hAnsi="Verdana"/>
          <w:b/>
          <w:bCs/>
        </w:rPr>
        <w:t xml:space="preserve">single price</w:t>
      </w:r>
      <w:r>
        <w:rPr>
          <w:rFonts w:ascii="Verdana" w:cs="Verdana" w:eastAsia="Verdana" w:hAnsi="Verdana"/>
        </w:rPr>
        <w:t xml:space="preserve">, where the supply is not a composite supply. The Act's example is a package of canned foods, sweets, chocolates, cakes, dry fruits, aerated drinks and fruit juices sold for one price. Each item could be sold separately; they are not naturally bundled. Under section 8(b), a mixed supply is treated as a supply of the item that attracts the </w:t>
      </w:r>
      <w:r>
        <w:rPr>
          <w:rFonts w:ascii="Verdana" w:cs="Verdana" w:eastAsia="Verdana" w:hAnsi="Verdana"/>
          <w:b/>
          <w:bCs/>
        </w:rPr>
        <w:t xml:space="preserve">highest rate</w:t>
      </w:r>
      <w:r>
        <w:rPr>
          <w:rFonts w:ascii="Verdana" w:cs="Verdana" w:eastAsia="Verdana" w:hAnsi="Verdana"/>
        </w:rPr>
        <w:t xml:space="preserve"> of tax. This works as a deterrent: bundling unrelated items for one price usually costs more tax.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First ask whether the bundle is naturally bundled. If yes, it is composite and the principal supply's rate applies (which may be lower or higher than other elements). Only if the answer is no, and a single price is charged, is it a mixed supply at the highest rate. If each item is priced separately and can be bought separately, there are separate supplies, each at its own rate.</w:t>
            </w:r>
          </w:p>
        </w:tc>
      </w:tr>
    </w:tbl>
    <w:p>
      <w:pPr>
        <w:spacing w:after="60"/>
      </w:pPr>
    </w:p>
    <w:p>
      <w:pPr>
        <w:pStyle w:val="Heading2"/>
        <w:keepNext/>
        <w:spacing w:after="120" w:before="240"/>
      </w:pPr>
      <w:r>
        <w:rPr>
          <w:rFonts w:ascii="Verdana" w:cs="Verdana" w:eastAsia="Verdana" w:hAnsi="Verdana"/>
        </w:rPr>
        <w:t xml:space="preserve">6.3 Common examples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32: Hotel room with breakfast</w:t>
            </w:r>
          </w:p>
          <w:p>
            <w:pPr>
              <w:spacing w:after="60" w:line="260"/>
            </w:pPr>
            <w:r>
              <w:rPr>
                <w:rFonts w:ascii="Verdana" w:cs="Verdana" w:eastAsia="Verdana" w:hAnsi="Verdana"/>
                <w:sz w:val="20"/>
                <w:szCs w:val="20"/>
              </w:rPr>
              <w:t xml:space="preserve">Hotel Sagar, Udaipur, sells a room at Rs. 6,000 per night including breakfast. Its sister hotel charges Rs. 9,000 per night including breakfast.</w:t>
            </w:r>
          </w:p>
          <w:p>
            <w:pPr>
              <w:spacing w:after="60" w:line="260"/>
            </w:pPr>
            <w:r>
              <w:rPr>
                <w:rFonts w:ascii="Verdana" w:cs="Verdana" w:eastAsia="Verdana" w:hAnsi="Verdana"/>
                <w:sz w:val="20"/>
                <w:szCs w:val="20"/>
              </w:rPr>
              <w:t xml:space="preserve">Step 1: Breakfast included in the room tariff is naturally bundled with accommodation. Accommodation is the principal supply.</w:t>
            </w:r>
          </w:p>
          <w:p>
            <w:pPr>
              <w:spacing w:after="60" w:line="260"/>
            </w:pPr>
            <w:r>
              <w:rPr>
                <w:rFonts w:ascii="Verdana" w:cs="Verdana" w:eastAsia="Verdana" w:hAnsi="Verdana"/>
                <w:sz w:val="20"/>
                <w:szCs w:val="20"/>
              </w:rPr>
              <w:t xml:space="preserve">Step 2: Hotel Sagar: accommodation up to Rs. 7,500 is taxed at 5% without ITC. GST = 5% of Rs. 6,000 = Rs. 300.</w:t>
            </w:r>
          </w:p>
          <w:p>
            <w:pPr>
              <w:spacing w:after="60" w:line="260"/>
            </w:pPr>
            <w:r>
              <w:rPr>
                <w:rFonts w:ascii="Verdana" w:cs="Verdana" w:eastAsia="Verdana" w:hAnsi="Verdana"/>
                <w:sz w:val="20"/>
                <w:szCs w:val="20"/>
              </w:rPr>
              <w:t xml:space="preserve">Step 3: Sister hotel: accommodation above Rs. 7,500 is taxed at 18%. GST = 18% of Rs. 9,000 = Rs. 1,620. The breakfast element is not taxed separately at the restaurant rate in either case.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33: Tractor sold with toolkit and free first service</w:t>
            </w:r>
          </w:p>
          <w:p>
            <w:pPr>
              <w:spacing w:after="60" w:line="260"/>
            </w:pPr>
            <w:r>
              <w:rPr>
                <w:rFonts w:ascii="Verdana" w:cs="Verdana" w:eastAsia="Verdana" w:hAnsi="Verdana"/>
                <w:sz w:val="20"/>
                <w:szCs w:val="20"/>
              </w:rPr>
              <w:t xml:space="preserve">Kisan Motors sells a tractor for Rs. 6,00,000. The price includes a standard toolkit and the first free service.</w:t>
            </w:r>
          </w:p>
          <w:p>
            <w:pPr>
              <w:spacing w:after="60" w:line="260"/>
            </w:pPr>
            <w:r>
              <w:rPr>
                <w:rFonts w:ascii="Verdana" w:cs="Verdana" w:eastAsia="Verdana" w:hAnsi="Verdana"/>
                <w:sz w:val="20"/>
                <w:szCs w:val="20"/>
              </w:rPr>
              <w:t xml:space="preserve">Step 1: The toolkit and first service are supplied with every tractor in the ordinary course of business and are ancillary to it. The tractor is the principal supply.</w:t>
            </w:r>
          </w:p>
          <w:p>
            <w:pPr>
              <w:spacing w:after="60" w:line="260"/>
            </w:pPr>
            <w:r>
              <w:rPr>
                <w:rFonts w:ascii="Verdana" w:cs="Verdana" w:eastAsia="Verdana" w:hAnsi="Verdana"/>
                <w:sz w:val="20"/>
                <w:szCs w:val="20"/>
              </w:rPr>
              <w:t xml:space="preserve">Step 2: Tractors are taxed at 5% after GST 2.0. GST = 5% of Rs. 6,00,000 = Rs. 30,000 (CGST Rs. 15,000 + SGST Rs. 15,000).</w:t>
            </w:r>
          </w:p>
          <w:p>
            <w:pPr>
              <w:spacing w:after="60" w:line="260"/>
            </w:pPr>
            <w:r>
              <w:rPr>
                <w:rFonts w:ascii="Verdana" w:cs="Verdana" w:eastAsia="Verdana" w:hAnsi="Verdana"/>
                <w:sz w:val="20"/>
                <w:szCs w:val="20"/>
              </w:rPr>
              <w:t xml:space="preserve">Result: The toolkit (which on its own might carry 18%) and the service element both take the tractor's rate.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34: Festive hamper</w:t>
            </w:r>
          </w:p>
          <w:p>
            <w:pPr>
              <w:spacing w:after="60" w:line="260"/>
            </w:pPr>
            <w:r>
              <w:rPr>
                <w:rFonts w:ascii="Verdana" w:cs="Verdana" w:eastAsia="Verdana" w:hAnsi="Verdana"/>
                <w:sz w:val="20"/>
                <w:szCs w:val="20"/>
              </w:rPr>
              <w:t xml:space="preserve">Mithai Ghar sells a Diwali hamper for a single price of Rs. 2,000.</w:t>
            </w:r>
          </w:p>
          <w:p>
            <w:pPr>
              <w:spacing w:after="60" w:line="260"/>
            </w:pPr>
            <w:r>
              <w:rPr>
                <w:rFonts w:ascii="Verdana" w:cs="Verdana" w:eastAsia="Verdana" w:hAnsi="Verdana"/>
                <w:sz w:val="20"/>
                <w:szCs w:val="20"/>
              </w:rPr>
              <w:t xml:space="preserve">Case A: The hamper contains sweets and dry fruits (5%) and a bottle of perfume (18%). It is a mixed supply. The highest rate, 18%, applies to Rs. 2,000: GST = Rs. 360.</w:t>
            </w:r>
          </w:p>
          <w:p>
            <w:pPr>
              <w:spacing w:after="60" w:line="260"/>
            </w:pPr>
            <w:r>
              <w:rPr>
                <w:rFonts w:ascii="Verdana" w:cs="Verdana" w:eastAsia="Verdana" w:hAnsi="Verdana"/>
                <w:sz w:val="20"/>
                <w:szCs w:val="20"/>
              </w:rPr>
              <w:t xml:space="preserve">Case B: A can of aerated sugary drink (40%) is added, price still Rs. 2,000. The highest rate is now 40%: GST = Rs. 800.</w:t>
            </w:r>
          </w:p>
          <w:p>
            <w:pPr>
              <w:spacing w:after="60" w:line="260"/>
            </w:pPr>
            <w:r>
              <w:rPr>
                <w:rFonts w:ascii="Verdana" w:cs="Verdana" w:eastAsia="Verdana" w:hAnsi="Verdana"/>
                <w:sz w:val="20"/>
                <w:szCs w:val="20"/>
              </w:rPr>
              <w:t xml:space="preserve">Case C: The items are priced separately on the bill (sweets and dry fruits Rs. 1,500 at 5% = Rs. 75; perfume Rs. 500 at 18% = Rs. 90). These are separate supplies. GST = Rs. 165.</w:t>
            </w:r>
          </w:p>
          <w:p>
            <w:pPr>
              <w:spacing w:after="60" w:line="260"/>
            </w:pPr>
            <w:r>
              <w:rPr>
                <w:rFonts w:ascii="Verdana" w:cs="Verdana" w:eastAsia="Verdana" w:hAnsi="Verdana"/>
                <w:sz w:val="20"/>
                <w:szCs w:val="20"/>
              </w:rPr>
              <w:t xml:space="preserve">Result: The way the hamper is priced changes the tax from Rs. 165 to Rs. 800 on the same goods.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35: Coaching fee including books</w:t>
            </w:r>
          </w:p>
          <w:p>
            <w:pPr>
              <w:spacing w:after="60" w:line="260"/>
            </w:pPr>
            <w:r>
              <w:rPr>
                <w:rFonts w:ascii="Verdana" w:cs="Verdana" w:eastAsia="Verdana" w:hAnsi="Verdana"/>
                <w:sz w:val="20"/>
                <w:szCs w:val="20"/>
              </w:rPr>
              <w:t xml:space="preserve">Pragati Classes charges Rs. 50,000 for a CA Foundation coaching course, including printed study books.</w:t>
            </w:r>
          </w:p>
          <w:p>
            <w:pPr>
              <w:spacing w:after="60" w:line="260"/>
            </w:pPr>
            <w:r>
              <w:rPr>
                <w:rFonts w:ascii="Verdana" w:cs="Verdana" w:eastAsia="Verdana" w:hAnsi="Verdana"/>
                <w:sz w:val="20"/>
                <w:szCs w:val="20"/>
              </w:rPr>
              <w:t xml:space="preserve">Step 1: The books are supplied only to enrolled students as part of the course. Coaching is the principal supply.</w:t>
            </w:r>
          </w:p>
          <w:p>
            <w:pPr>
              <w:spacing w:after="60" w:line="260"/>
            </w:pPr>
            <w:r>
              <w:rPr>
                <w:rFonts w:ascii="Verdana" w:cs="Verdana" w:eastAsia="Verdana" w:hAnsi="Verdana"/>
                <w:sz w:val="20"/>
                <w:szCs w:val="20"/>
              </w:rPr>
              <w:t xml:space="preserve">Step 2: Private coaching is not an exempt education service, because the coaching institute does not itself award a qualification recognised by law. GST at 18% on Rs. 50,000 = Rs. 9,000.</w:t>
            </w:r>
          </w:p>
          <w:p>
            <w:pPr>
              <w:spacing w:after="60" w:line="260"/>
            </w:pPr>
            <w:r>
              <w:rPr>
                <w:rFonts w:ascii="Verdana" w:cs="Verdana" w:eastAsia="Verdana" w:hAnsi="Verdana"/>
                <w:sz w:val="20"/>
                <w:szCs w:val="20"/>
              </w:rPr>
              <w:t xml:space="preserve">Result: Although printed books are exempt when sold on their own, they take the coaching rate as part of a composite supply.</w:t>
            </w:r>
          </w:p>
        </w:tc>
      </w:tr>
    </w:tbl>
    <w:p>
      <w:pPr>
        <w:spacing w:after="60"/>
      </w:pPr>
    </w:p>
    <w:p>
      <w:pPr>
        <w:spacing w:after="120" w:line="276"/>
        <w:jc w:val="both"/>
      </w:pPr>
      <w:r>
        <w:rPr>
          <w:rFonts w:ascii="Verdana" w:cs="Verdana" w:eastAsia="Verdana" w:hAnsi="Verdana"/>
        </w:rPr>
        <w:t xml:space="preserve">Other common cases: courier service with transit insurance is a composite supply of courier service; food supplied to in-patients as advised by a doctor is part of the composite supply of health care and exempt, as CBIC clarified in 2018; a comprehensive annual maintenance contract that covers spare parts is a composite supply of maintenance service, while a non-comprehensive contract with parts billed separately is two supplies; and freight charged by a seller for delivering goods to the buyer's door forms part of the value of the goods under section 15(2)(c).</w:t>
      </w:r>
    </w:p>
    <w:p>
      <w:pPr>
        <w:pStyle w:val="Heading2"/>
        <w:keepNext/>
        <w:spacing w:after="120" w:before="240"/>
      </w:pPr>
      <w:r>
        <w:rPr>
          <w:rFonts w:ascii="Verdana" w:cs="Verdana" w:eastAsia="Verdana" w:hAnsi="Verdana"/>
        </w:rPr>
        <w:t xml:space="preserve">6.4 Works contracts: composite supply by law</w:t>
      </w:r>
    </w:p>
    <w:p>
      <w:pPr>
        <w:spacing w:after="120" w:line="276"/>
        <w:jc w:val="both"/>
      </w:pPr>
      <w:r>
        <w:rPr>
          <w:rFonts w:ascii="Verdana" w:cs="Verdana" w:eastAsia="Verdana" w:hAnsi="Verdana"/>
        </w:rPr>
        <w:t xml:space="preserve">A </w:t>
      </w:r>
      <w:r>
        <w:rPr>
          <w:rFonts w:ascii="Verdana" w:cs="Verdana" w:eastAsia="Verdana" w:hAnsi="Verdana"/>
          <w:b/>
          <w:bCs/>
        </w:rPr>
        <w:t xml:space="preserve">works contract</w:t>
      </w:r>
      <w:r>
        <w:rPr>
          <w:rFonts w:ascii="Verdana" w:cs="Verdana" w:eastAsia="Verdana" w:hAnsi="Verdana"/>
        </w:rPr>
        <w:t xml:space="preserve"> (section 2(119)) is a contract for building, construction, fabrication, completion, erection, installation, fitting out, improvement, modification, repair, maintenance, renovation, alteration or commissioning of any </w:t>
      </w:r>
      <w:r>
        <w:rPr>
          <w:rFonts w:ascii="Verdana" w:cs="Verdana" w:eastAsia="Verdana" w:hAnsi="Verdana"/>
          <w:b/>
          <w:bCs/>
        </w:rPr>
        <w:t xml:space="preserve">immovable property</w:t>
      </w:r>
      <w:r>
        <w:rPr>
          <w:rFonts w:ascii="Verdana" w:cs="Verdana" w:eastAsia="Verdana" w:hAnsi="Verdana"/>
        </w:rPr>
        <w:t xml:space="preserve">, where transfer of property in goods is involved in its execution. Schedule II para 6(a) treats it as a supply of services. The goods and labour are not split, and the whole value is taxed as a service (most works contracts at 18% after GST 2.0). A contract for repair of movable property with parts (for example, car repair) is not a works contract under GST and must be tested under section 8. Similarly, Schedule II para 6(b) treats supply of food or drink as part of a service, such as a restaurant, as a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Composite contracts before GST</w:t>
            </w:r>
          </w:p>
          <w:p>
            <w:pPr>
              <w:spacing w:after="60" w:line="260"/>
            </w:pPr>
            <w:r>
              <w:rPr>
                <w:rFonts w:ascii="Verdana" w:cs="Verdana" w:eastAsia="Verdana" w:hAnsi="Verdana"/>
                <w:b/>
                <w:bCs/>
                <w:sz w:val="20"/>
                <w:szCs w:val="20"/>
              </w:rPr>
              <w:t xml:space="preserve">Bharat Sanchar Nigam Ltd. v. Union of India (Supreme Court, 2006):</w:t>
            </w:r>
            <w:r>
              <w:rPr>
                <w:rFonts w:ascii="Verdana" w:cs="Verdana" w:eastAsia="Verdana" w:hAnsi="Verdana"/>
                <w:sz w:val="20"/>
                <w:szCs w:val="20"/>
              </w:rPr>
              <w:t xml:space="preserve"> The Court held that, for composite contracts other than those covered by the deeming fictions in Article 366(29A) (works contracts, catering and the like), the test is the dominant nature of the transaction: what the parties really intended to buy and sell. A transaction could not be split into a sale and a service merely by using the aspect theory.</w:t>
            </w:r>
          </w:p>
          <w:p>
            <w:pPr>
              <w:spacing w:after="60" w:line="260"/>
            </w:pPr>
            <w:r>
              <w:rPr>
                <w:rFonts w:ascii="Verdana" w:cs="Verdana" w:eastAsia="Verdana" w:hAnsi="Verdana"/>
                <w:b/>
                <w:bCs/>
                <w:sz w:val="20"/>
                <w:szCs w:val="20"/>
              </w:rPr>
              <w:t xml:space="preserve">Larsen and Toubro Ltd. v. State of Karnataka (Supreme Court, 2013)</w:t>
            </w:r>
            <w:r>
              <w:rPr>
                <w:rFonts w:ascii="Verdana" w:cs="Verdana" w:eastAsia="Verdana" w:hAnsi="Verdana"/>
                <w:sz w:val="20"/>
                <w:szCs w:val="20"/>
              </w:rPr>
              <w:t xml:space="preserve"> and </w:t>
            </w:r>
            <w:r>
              <w:rPr>
                <w:rFonts w:ascii="Verdana" w:cs="Verdana" w:eastAsia="Verdana" w:hAnsi="Verdana"/>
                <w:b/>
                <w:bCs/>
                <w:sz w:val="20"/>
                <w:szCs w:val="20"/>
              </w:rPr>
              <w:t xml:space="preserve">Kone Elevator India (P) Ltd. v. State of Tamil Nadu (Supreme Court, 2014, Constitution Bench):</w:t>
            </w:r>
            <w:r>
              <w:rPr>
                <w:rFonts w:ascii="Verdana" w:cs="Verdana" w:eastAsia="Verdana" w:hAnsi="Verdana"/>
                <w:sz w:val="20"/>
                <w:szCs w:val="20"/>
              </w:rPr>
              <w:t xml:space="preserve"> A works contract is an indivisible contract that the Constitution allows to be split so that the goods element can be taxed. The dominant intention test does not apply to works contracts. Construction of flats under agreements made before completion, and supply and installation of lifts, were held to be works contracts.</w:t>
            </w:r>
          </w:p>
          <w:p>
            <w:pPr>
              <w:spacing w:after="60" w:line="260"/>
            </w:pPr>
            <w:r>
              <w:rPr>
                <w:rFonts w:ascii="Verdana" w:cs="Verdana" w:eastAsia="Verdana" w:hAnsi="Verdana"/>
                <w:b/>
                <w:bCs/>
                <w:sz w:val="20"/>
                <w:szCs w:val="20"/>
              </w:rPr>
              <w:t xml:space="preserve">Practical relevance under GST:</w:t>
            </w:r>
            <w:r>
              <w:rPr>
                <w:rFonts w:ascii="Verdana" w:cs="Verdana" w:eastAsia="Verdana" w:hAnsi="Verdana"/>
                <w:sz w:val="20"/>
                <w:szCs w:val="20"/>
              </w:rPr>
              <w:t xml:space="preserve"> The splitting problem has gone, since section 8 and Schedule II treat these bundles as one supply. But the old reasoning about what the customer really buys is still the best guide in identifying the principal supply, and the older rulings help in deciding whether a contract relates to immovable property.</w:t>
            </w:r>
          </w:p>
        </w:tc>
      </w:tr>
    </w:tbl>
    <w:p>
      <w:pPr>
        <w:spacing w:after="60"/>
      </w:pPr>
    </w:p>
    <w:p>
      <w:pPr>
        <w:pStyle w:val="Heading2"/>
        <w:keepNext/>
        <w:spacing w:after="120" w:before="240"/>
      </w:pPr>
      <w:r>
        <w:rPr>
          <w:rFonts w:ascii="Verdana" w:cs="Verdana" w:eastAsia="Verdana" w:hAnsi="Verdana"/>
        </w:rPr>
        <w:t xml:space="preserve">6.5 Commonly disputed bundles</w:t>
      </w:r>
    </w:p>
    <w:p>
      <w:pPr>
        <w:spacing w:after="120" w:line="276"/>
        <w:jc w:val="both"/>
      </w:pPr>
      <w:r>
        <w:rPr>
          <w:rFonts w:ascii="Verdana" w:cs="Verdana" w:eastAsia="Verdana" w:hAnsi="Verdana"/>
        </w:rPr>
        <w:t xml:space="preserve">The table summarises the usual treatment. Facts can change the answer, so the contract and invoice must be read in each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17"/>
        <w:gridCol w:w="3112"/>
        <w:gridCol w:w="2209"/>
      </w:tblGrid>
      <w:tr>
        <w:trPr>
          <w:cantSplit/>
          <w:tblHeader/>
        </w:trPr>
        <w:tc>
          <w:tcPr>
            <w:tcW w:type="dxa" w:w="431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Bundle</w:t>
            </w:r>
          </w:p>
        </w:tc>
        <w:tc>
          <w:tcPr>
            <w:tcW w:type="dxa" w:w="311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Usual treatment</w:t>
            </w:r>
          </w:p>
        </w:tc>
        <w:tc>
          <w:tcPr>
            <w:tcW w:type="dxa" w:w="220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Rate follows</w:t>
            </w:r>
          </w:p>
        </w:tc>
      </w:tr>
      <w:tr>
        <w:trPr>
          <w:cantSplit/>
        </w:trPr>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Hotel room with breakfast in tariff</w:t>
            </w:r>
          </w:p>
        </w:tc>
        <w:tc>
          <w:tcPr>
            <w:tcW w:type="dxa" w:w="31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Composite</w:t>
            </w:r>
          </w:p>
        </w:tc>
        <w:tc>
          <w:tcPr>
            <w:tcW w:type="dxa" w:w="22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Accommodation</w:t>
            </w:r>
          </w:p>
        </w:tc>
      </w:tr>
      <w:tr>
        <w:trPr>
          <w:cantSplit/>
        </w:trPr>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with freight and insurance to buyer's door</w:t>
            </w:r>
          </w:p>
        </w:tc>
        <w:tc>
          <w:tcPr>
            <w:tcW w:type="dxa" w:w="31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Composite</w:t>
            </w:r>
          </w:p>
        </w:tc>
        <w:tc>
          <w:tcPr>
            <w:tcW w:type="dxa" w:w="22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w:t>
            </w:r>
          </w:p>
        </w:tc>
      </w:tr>
      <w:tr>
        <w:trPr>
          <w:cantSplit/>
        </w:trPr>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Machine with installation and commissioning</w:t>
            </w:r>
          </w:p>
        </w:tc>
        <w:tc>
          <w:tcPr>
            <w:tcW w:type="dxa" w:w="31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Composite (works contract if it becomes immovable)</w:t>
            </w:r>
          </w:p>
        </w:tc>
        <w:tc>
          <w:tcPr>
            <w:tcW w:type="dxa" w:w="22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Machine, or works contract rate</w:t>
            </w:r>
          </w:p>
        </w:tc>
      </w:tr>
      <w:tr>
        <w:trPr>
          <w:cantSplit/>
        </w:trPr>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Laptop sold with carry bag</w:t>
            </w:r>
          </w:p>
        </w:tc>
        <w:tc>
          <w:tcPr>
            <w:tcW w:type="dxa" w:w="31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Composite</w:t>
            </w:r>
          </w:p>
        </w:tc>
        <w:tc>
          <w:tcPr>
            <w:tcW w:type="dxa" w:w="22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Laptop</w:t>
            </w:r>
          </w:p>
        </w:tc>
      </w:tr>
      <w:tr>
        <w:trPr>
          <w:cantSplit/>
        </w:trPr>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Gift hamper of unrelated items, single price</w:t>
            </w:r>
          </w:p>
        </w:tc>
        <w:tc>
          <w:tcPr>
            <w:tcW w:type="dxa" w:w="31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Mixed</w:t>
            </w:r>
          </w:p>
        </w:tc>
        <w:tc>
          <w:tcPr>
            <w:tcW w:type="dxa" w:w="22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Highest rate item</w:t>
            </w:r>
          </w:p>
        </w:tc>
      </w:tr>
      <w:tr>
        <w:trPr>
          <w:cantSplit/>
        </w:trPr>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Coaching with study material</w:t>
            </w:r>
          </w:p>
        </w:tc>
        <w:tc>
          <w:tcPr>
            <w:tcW w:type="dxa" w:w="31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Composite</w:t>
            </w:r>
          </w:p>
        </w:tc>
        <w:tc>
          <w:tcPr>
            <w:tcW w:type="dxa" w:w="22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Coaching</w:t>
            </w:r>
          </w:p>
        </w:tc>
      </w:tr>
      <w:tr>
        <w:trPr>
          <w:cantSplit/>
        </w:trPr>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Comprehensive AMC including parts</w:t>
            </w:r>
          </w:p>
        </w:tc>
        <w:tc>
          <w:tcPr>
            <w:tcW w:type="dxa" w:w="31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Composite</w:t>
            </w:r>
          </w:p>
        </w:tc>
        <w:tc>
          <w:tcPr>
            <w:tcW w:type="dxa" w:w="22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Maintenance service</w:t>
            </w:r>
          </w:p>
        </w:tc>
      </w:tr>
      <w:tr>
        <w:trPr>
          <w:cantSplit/>
        </w:trPr>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Health care with food and medicines to in-patients</w:t>
            </w:r>
          </w:p>
        </w:tc>
        <w:tc>
          <w:tcPr>
            <w:tcW w:type="dxa" w:w="31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Composite</w:t>
            </w:r>
          </w:p>
        </w:tc>
        <w:tc>
          <w:tcPr>
            <w:tcW w:type="dxa" w:w="22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Health care (exempt)</w:t>
            </w:r>
          </w:p>
        </w:tc>
      </w:tr>
      <w:tr>
        <w:trPr>
          <w:cantSplit/>
        </w:trPr>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Tour package with hotel, transport and sightseeing</w:t>
            </w:r>
          </w:p>
        </w:tc>
        <w:tc>
          <w:tcPr>
            <w:tcW w:type="dxa" w:w="31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Composite</w:t>
            </w:r>
          </w:p>
        </w:tc>
        <w:tc>
          <w:tcPr>
            <w:tcW w:type="dxa" w:w="22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Tour operator service</w:t>
            </w:r>
          </w:p>
        </w:tc>
      </w:tr>
      <w:tr>
        <w:trPr>
          <w:cantSplit/>
        </w:trPr>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Construction with materials (immovable property)</w:t>
            </w:r>
          </w:p>
        </w:tc>
        <w:tc>
          <w:tcPr>
            <w:tcW w:type="dxa" w:w="31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Works contract by law</w:t>
            </w:r>
          </w:p>
        </w:tc>
        <w:tc>
          <w:tcPr>
            <w:tcW w:type="dxa" w:w="22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Works contract service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When advising on a bundle, record in the working paper why the elements are or are not naturally bundled: trade practice, how competitors sell, what the customer is buying, and whether elements are available separately. A reasoned note carries weight in audit and in reply to a notice. Where the rate difference is large, consider an advance ruling.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A composite supply is naturally bundled in the ordinary course of business and is taxed as its principal supply.</w:t>
            </w:r>
          </w:p>
          <w:p>
            <w:pPr>
              <w:spacing w:after="60" w:line="260"/>
            </w:pPr>
            <w:r>
              <w:rPr>
                <w:rFonts w:ascii="Verdana" w:cs="Verdana" w:eastAsia="Verdana" w:hAnsi="Verdana"/>
                <w:sz w:val="20"/>
                <w:szCs w:val="20"/>
              </w:rPr>
              <w:t xml:space="preserve">•  A mixed supply is a single-price bundle of items that are not naturally bundled; it is taxed at the highest rate among them.</w:t>
            </w:r>
          </w:p>
          <w:p>
            <w:pPr>
              <w:spacing w:after="60" w:line="260"/>
            </w:pPr>
            <w:r>
              <w:rPr>
                <w:rFonts w:ascii="Verdana" w:cs="Verdana" w:eastAsia="Verdana" w:hAnsi="Verdana"/>
                <w:sz w:val="20"/>
                <w:szCs w:val="20"/>
              </w:rPr>
              <w:t xml:space="preserve">•  Separately priced items that can be bought separately are separate supplies, each at its own rate.</w:t>
            </w:r>
          </w:p>
          <w:p>
            <w:pPr>
              <w:spacing w:after="60" w:line="260"/>
            </w:pPr>
            <w:r>
              <w:rPr>
                <w:rFonts w:ascii="Verdana" w:cs="Verdana" w:eastAsia="Verdana" w:hAnsi="Verdana"/>
                <w:sz w:val="20"/>
                <w:szCs w:val="20"/>
              </w:rPr>
              <w:t xml:space="preserve">•  Works contracts for immovable property and food served as part of a service are composite supplies of services by law.</w:t>
            </w:r>
          </w:p>
          <w:p>
            <w:pPr>
              <w:spacing w:after="60" w:line="260"/>
            </w:pPr>
            <w:r>
              <w:rPr>
                <w:rFonts w:ascii="Verdana" w:cs="Verdana" w:eastAsia="Verdana" w:hAnsi="Verdana"/>
                <w:sz w:val="20"/>
                <w:szCs w:val="20"/>
              </w:rPr>
              <w:t xml:space="preserve">•  Pre-GST rulings (BSNL, L&amp;T, Kone) still help in identifying what the customer is really buying.</w:t>
            </w:r>
          </w:p>
          <w:p>
            <w:pPr>
              <w:spacing w:after="60" w:line="260"/>
            </w:pPr>
            <w:r>
              <w:rPr>
                <w:rFonts w:ascii="Verdana" w:cs="Verdana" w:eastAsia="Verdana" w:hAnsi="Verdana"/>
                <w:sz w:val="20"/>
                <w:szCs w:val="20"/>
              </w:rPr>
              <w:t xml:space="preserve">•  Pricing and contract structure can change the tax on the same goods, so document the reasoning.</w:t>
            </w:r>
          </w:p>
        </w:tc>
      </w:tr>
    </w:tbl>
    <w:p>
      <w:pPr>
        <w:pStyle w:val="Heading1"/>
        <w:pageBreakBefore/>
        <w:spacing w:after="200" w:before="0"/>
      </w:pPr>
      <w:r>
        <w:rPr>
          <w:rFonts w:ascii="Verdana" w:cs="Verdana" w:eastAsia="Verdana" w:hAnsi="Verdana"/>
        </w:rPr>
        <w:t xml:space="preserve">7. Levy, Exemptions and Reverse Charge (Sections 9 and 11; IGST Section 5)</w:t>
      </w:r>
    </w:p>
    <w:p>
      <w:pPr>
        <w:spacing w:after="120" w:line="276"/>
        <w:jc w:val="both"/>
      </w:pPr>
      <w:r>
        <w:rPr>
          <w:rFonts w:ascii="Verdana" w:cs="Verdana" w:eastAsia="Verdana" w:hAnsi="Verdana"/>
        </w:rPr>
        <w:t xml:space="preserve">Section 9 of the CGST Act and section 5 of the IGST Act are the charging sections. They create the levy, fix the maximum rates, and decide who pays: normally the supplier, but in notified cases the recipient or an e-commerce operator. Section 11 gives the power to exempt. Together they answer the question "who pays how much tax on this supply".</w:t>
      </w:r>
    </w:p>
    <w:p>
      <w:pPr>
        <w:pStyle w:val="Heading2"/>
        <w:keepNext/>
        <w:spacing w:after="120" w:before="240"/>
      </w:pPr>
      <w:r>
        <w:rPr>
          <w:rFonts w:ascii="Verdana" w:cs="Verdana" w:eastAsia="Verdana" w:hAnsi="Verdana"/>
        </w:rPr>
        <w:t xml:space="preserve">7.1 The charge</w:t>
      </w:r>
    </w:p>
    <w:p>
      <w:pPr>
        <w:spacing w:after="120" w:line="276"/>
        <w:jc w:val="both"/>
      </w:pPr>
      <w:r>
        <w:rPr>
          <w:rFonts w:ascii="Verdana" w:cs="Verdana" w:eastAsia="Verdana" w:hAnsi="Verdana"/>
        </w:rPr>
        <w:t xml:space="preserve">Section 9(1) levies CGST on all intra-State supplies of goods or services, except alcoholic liquor for human consumption, on the value determined under section 15, at the rates notified on the Council's recommendation, not exceeding 20%. The SGST Acts levy the same amount of State tax. Section 5(1) of the IGST Act levies IGST on inter-State supplies at rates not exceeding 40%; IGST on imported goods is levied under the Customs Tariff Act at the point of import. Section 9(2) provides that the five petroleum products will be taxed from a date to be notified. Tax is payable by the supplier (forward charge) unless one of the following applies:</w:t>
      </w:r>
    </w:p>
    <w:p>
      <w:pPr>
        <w:pStyle w:val="ListParagraph"/>
        <w:numPr>
          <w:ilvl w:val="0"/>
          <w:numId w:val="2"/>
        </w:numPr>
        <w:spacing w:after="60" w:line="264"/>
      </w:pPr>
      <w:r>
        <w:rPr>
          <w:rFonts w:ascii="Verdana" w:cs="Verdana" w:eastAsia="Verdana" w:hAnsi="Verdana"/>
          <w:b/>
          <w:bCs/>
        </w:rPr>
        <w:t xml:space="preserve">section 9(3)</w:t>
      </w:r>
      <w:r>
        <w:rPr>
          <w:rFonts w:ascii="Verdana" w:cs="Verdana" w:eastAsia="Verdana" w:hAnsi="Verdana"/>
        </w:rPr>
        <w:t xml:space="preserve">: notified categories of supply where the recipient pays (reverse charge);</w:t>
      </w:r>
    </w:p>
    <w:p>
      <w:pPr>
        <w:pStyle w:val="ListParagraph"/>
        <w:numPr>
          <w:ilvl w:val="0"/>
          <w:numId w:val="2"/>
        </w:numPr>
        <w:spacing w:after="60" w:line="264"/>
      </w:pPr>
      <w:r>
        <w:rPr>
          <w:rFonts w:ascii="Verdana" w:cs="Verdana" w:eastAsia="Verdana" w:hAnsi="Verdana"/>
          <w:b/>
          <w:bCs/>
        </w:rPr>
        <w:t xml:space="preserve">section 9(4)</w:t>
      </w:r>
      <w:r>
        <w:rPr>
          <w:rFonts w:ascii="Verdana" w:cs="Verdana" w:eastAsia="Verdana" w:hAnsi="Verdana"/>
        </w:rPr>
        <w:t xml:space="preserve">: notified classes of registered persons pay on specified supplies received from unregistered suppliers;</w:t>
      </w:r>
    </w:p>
    <w:p>
      <w:pPr>
        <w:pStyle w:val="ListParagraph"/>
        <w:numPr>
          <w:ilvl w:val="0"/>
          <w:numId w:val="2"/>
        </w:numPr>
        <w:spacing w:after="60" w:line="264"/>
      </w:pPr>
      <w:r>
        <w:rPr>
          <w:rFonts w:ascii="Verdana" w:cs="Verdana" w:eastAsia="Verdana" w:hAnsi="Verdana"/>
          <w:b/>
          <w:bCs/>
        </w:rPr>
        <w:t xml:space="preserve">section 9(5)</w:t>
      </w:r>
      <w:r>
        <w:rPr>
          <w:rFonts w:ascii="Verdana" w:cs="Verdana" w:eastAsia="Verdana" w:hAnsi="Verdana"/>
        </w:rPr>
        <w:t xml:space="preserve">: notified services supplied through an e-commerce operator, where the operator pays.</w:t>
      </w:r>
    </w:p>
    <w:p>
      <w:pPr>
        <w:pStyle w:val="Heading2"/>
        <w:keepNext/>
        <w:spacing w:after="120" w:before="240"/>
      </w:pPr>
      <w:r>
        <w:rPr>
          <w:rFonts w:ascii="Verdana" w:cs="Verdana" w:eastAsia="Verdana" w:hAnsi="Verdana"/>
        </w:rPr>
        <w:t xml:space="preserve">7.2 Reverse charge on notified services (section 9(3))</w:t>
      </w:r>
    </w:p>
    <w:p>
      <w:pPr>
        <w:spacing w:after="120" w:line="276"/>
        <w:jc w:val="both"/>
      </w:pPr>
      <w:r>
        <w:rPr>
          <w:rFonts w:ascii="Verdana" w:cs="Verdana" w:eastAsia="Verdana" w:hAnsi="Verdana"/>
        </w:rPr>
        <w:t xml:space="preserve">Reverse charge is used where the supplier is small, unorganised or outside India, or where collecting from the recipient is simpler. The main entries in the services notification (Notification 13/2017-Central Tax (Rate), as amended) are listed below. The recipient pays at the rate that applies to the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5"/>
        <w:gridCol w:w="2610"/>
        <w:gridCol w:w="3013"/>
      </w:tblGrid>
      <w:tr>
        <w:trPr>
          <w:cantSplit/>
          <w:tblHeader/>
        </w:trPr>
        <w:tc>
          <w:tcPr>
            <w:tcW w:type="dxa" w:w="401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Service</w:t>
            </w:r>
          </w:p>
        </w:tc>
        <w:tc>
          <w:tcPr>
            <w:tcW w:type="dxa" w:w="261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Supplier</w:t>
            </w:r>
          </w:p>
        </w:tc>
        <w:tc>
          <w:tcPr>
            <w:tcW w:type="dxa" w:w="301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Recipient who pays</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transport agency (GTA), where GTA has not opted to pay under forward charge</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GTA</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Factory, society, co-operative, registered person, body corporate, firm, casual taxable person</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Legal services</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Advocate or firm of advocates</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entity</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Services of arbitral tribunal</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Arbitral tribunal</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entity</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Sponsorship</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Any person</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Body corporate or partnership firm</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Services by Government or local authority (excluding specified services such as postal, transport and renting to unregistered persons)</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Central or State Government, UT, local authority</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entity</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Services as director</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Director</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Company or body corporate</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Insurance agent services</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Insurance agent</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Insurer</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Recovery agent services</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Recovery agent</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Bank, financial institution, NBFC</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Security services (supply of security personnel)</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Person other than body corporate</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Registered person (with specified exceptions)</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Renting of passenger motor vehicle with fuel, where supplier does not charge 18%</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Person other than body corporate</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Body corporate (pays at 5%)</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Renting of residential dwelling</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Any person</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Registered person (except proprietor using it as own residence)</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Renting of property other than residential dwelling (from 10 October 2024)</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Unregistered person</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Registered person (composition taxpayers excluded from 2025)</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Import of services (section 5(3), IGST Act)</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Person outside India</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Recipient in India (other than non-taxable online recipient)</w:t>
            </w:r>
          </w:p>
        </w:tc>
      </w:tr>
    </w:tbl>
    <w:p>
      <w:pPr>
        <w:spacing w:after="60"/>
      </w:pPr>
    </w:p>
    <w:p>
      <w:pPr>
        <w:spacing w:after="120" w:line="276"/>
        <w:jc w:val="both"/>
      </w:pPr>
      <w:r>
        <w:rPr>
          <w:rFonts w:ascii="Verdana" w:cs="Verdana" w:eastAsia="Verdana" w:hAnsi="Verdana"/>
        </w:rPr>
        <w:t xml:space="preserve">For renting of motor vehicles, the entry was restructured after GST 2.0; confirm the current wording before advising, particularly where the supplier charges 18% with ITC under forward charge. Transfer of copyright by authors, music composers and artists, services of mutual fund agents, business facilitators and lottery selling agents are also under reverse charge.</w:t>
      </w:r>
    </w:p>
    <w:p>
      <w:pPr>
        <w:spacing w:after="120" w:line="276"/>
        <w:jc w:val="both"/>
      </w:pPr>
      <w:r>
        <w:rPr>
          <w:rFonts w:ascii="Verdana" w:cs="Verdana" w:eastAsia="Verdana" w:hAnsi="Verdana"/>
        </w:rPr>
        <w:t xml:space="preserve">Director's remuneration that is treated as salary under the Income-tax law is outside GST as an employee service. Sitting fees and commission to independent directors are taxable under reverse charge (Circular 140/10/2020).</w:t>
      </w:r>
    </w:p>
    <w:p>
      <w:pPr>
        <w:pStyle w:val="Heading2"/>
        <w:keepNext/>
        <w:spacing w:after="120" w:before="240"/>
      </w:pPr>
      <w:r>
        <w:rPr>
          <w:rFonts w:ascii="Verdana" w:cs="Verdana" w:eastAsia="Verdana" w:hAnsi="Verdana"/>
        </w:rPr>
        <w:t xml:space="preserve">7.3 Reverse charge on notified goods</w:t>
      </w:r>
    </w:p>
    <w:p>
      <w:pPr>
        <w:spacing w:after="120" w:line="276"/>
        <w:jc w:val="both"/>
      </w:pPr>
      <w:r>
        <w:rPr>
          <w:rFonts w:ascii="Verdana" w:cs="Verdana" w:eastAsia="Verdana" w:hAnsi="Verdana"/>
        </w:rPr>
        <w:t xml:space="preserve">The goods notification (Notification 4/2017-Central Tax (Rate), as amended) covers: cashew nuts not shelled or peeled, bidi wrapper leaves (tendu) and tobacco leaves supplied by an agriculturist; silk yarn by a manufacturer; raw cotton by an agriculturist; supply of lottery by a State Government, UT or local authority to a lottery distributor; used vehicles, seized and confiscated goods, old and used goods, and waste and scrap sold by Government or a local authority; priority sector lending certificates; and, from 10 October 2024, metal scrap falling in Chapters 72 to 81 supplied by an unregistered person to a registered person.</w:t>
      </w:r>
    </w:p>
    <w:p>
      <w:pPr>
        <w:pStyle w:val="Heading2"/>
        <w:keepNext/>
        <w:spacing w:after="120" w:before="240"/>
      </w:pPr>
      <w:r>
        <w:rPr>
          <w:rFonts w:ascii="Verdana" w:cs="Verdana" w:eastAsia="Verdana" w:hAnsi="Verdana"/>
        </w:rPr>
        <w:t xml:space="preserve">7.4 Procedure under reverse charge</w:t>
      </w:r>
    </w:p>
    <w:p>
      <w:pPr>
        <w:pStyle w:val="ListParagraph"/>
        <w:numPr>
          <w:ilvl w:val="0"/>
          <w:numId w:val="2"/>
        </w:numPr>
        <w:spacing w:after="60" w:line="264"/>
      </w:pPr>
      <w:r>
        <w:rPr>
          <w:rFonts w:ascii="Verdana" w:cs="Verdana" w:eastAsia="Verdana" w:hAnsi="Verdana"/>
          <w:b/>
          <w:bCs/>
        </w:rPr>
        <w:t xml:space="preserve">Registration</w:t>
      </w:r>
      <w:r>
        <w:rPr>
          <w:rFonts w:ascii="Verdana" w:cs="Verdana" w:eastAsia="Verdana" w:hAnsi="Verdana"/>
        </w:rPr>
        <w:t xml:space="preserve">: a person liable to pay tax under reverse charge must register regardless of turnover (section 24(iii)).</w:t>
      </w:r>
    </w:p>
    <w:p>
      <w:pPr>
        <w:pStyle w:val="ListParagraph"/>
        <w:numPr>
          <w:ilvl w:val="0"/>
          <w:numId w:val="2"/>
        </w:numPr>
        <w:spacing w:after="60" w:line="264"/>
      </w:pPr>
      <w:r>
        <w:rPr>
          <w:rFonts w:ascii="Verdana" w:cs="Verdana" w:eastAsia="Verdana" w:hAnsi="Verdana"/>
          <w:b/>
          <w:bCs/>
        </w:rPr>
        <w:t xml:space="preserve">Self-invoice</w:t>
      </w:r>
      <w:r>
        <w:rPr>
          <w:rFonts w:ascii="Verdana" w:cs="Verdana" w:eastAsia="Verdana" w:hAnsi="Verdana"/>
        </w:rPr>
        <w:t xml:space="preserve">: where the supplier is unregistered, the recipient issues an invoice itself (section 31(3)(f)) within 30 days of receipt of the supply (rule 47A), and a payment voucher at the time of payment (section 31(3)(g)).</w:t>
      </w:r>
    </w:p>
    <w:p>
      <w:pPr>
        <w:pStyle w:val="ListParagraph"/>
        <w:numPr>
          <w:ilvl w:val="0"/>
          <w:numId w:val="2"/>
        </w:numPr>
        <w:spacing w:after="60" w:line="264"/>
      </w:pPr>
      <w:r>
        <w:rPr>
          <w:rFonts w:ascii="Verdana" w:cs="Verdana" w:eastAsia="Verdana" w:hAnsi="Verdana"/>
          <w:b/>
          <w:bCs/>
        </w:rPr>
        <w:t xml:space="preserve">Payment in cash</w:t>
      </w:r>
      <w:r>
        <w:rPr>
          <w:rFonts w:ascii="Verdana" w:cs="Verdana" w:eastAsia="Verdana" w:hAnsi="Verdana"/>
        </w:rPr>
        <w:t xml:space="preserve">: tax under reverse charge is not "output tax" (section 2(82)), so it cannot be paid from the credit ledger. It must be paid through the cash ledger.</w:t>
      </w:r>
    </w:p>
    <w:p>
      <w:pPr>
        <w:pStyle w:val="ListParagraph"/>
        <w:numPr>
          <w:ilvl w:val="0"/>
          <w:numId w:val="2"/>
        </w:numPr>
        <w:spacing w:after="60" w:line="264"/>
      </w:pPr>
      <w:r>
        <w:rPr>
          <w:rFonts w:ascii="Verdana" w:cs="Verdana" w:eastAsia="Verdana" w:hAnsi="Verdana"/>
          <w:b/>
          <w:bCs/>
        </w:rPr>
        <w:t xml:space="preserve">ITC</w:t>
      </w:r>
      <w:r>
        <w:rPr>
          <w:rFonts w:ascii="Verdana" w:cs="Verdana" w:eastAsia="Verdana" w:hAnsi="Verdana"/>
        </w:rPr>
        <w:t xml:space="preserve">: tax paid under reverse charge is input tax. The recipient can take ITC in the same return if the supply is used for business and not blocked under section 17(5). For supplies from unregistered persons, the time limit under section 16(4) is linked to the financial year of the self-invoice.</w:t>
      </w:r>
    </w:p>
    <w:p>
      <w:pPr>
        <w:pStyle w:val="ListParagraph"/>
        <w:numPr>
          <w:ilvl w:val="0"/>
          <w:numId w:val="2"/>
        </w:numPr>
        <w:spacing w:after="60" w:line="264"/>
      </w:pPr>
      <w:r>
        <w:rPr>
          <w:rFonts w:ascii="Verdana" w:cs="Verdana" w:eastAsia="Verdana" w:hAnsi="Verdana"/>
          <w:b/>
          <w:bCs/>
        </w:rPr>
        <w:t xml:space="preserve">Time of supply</w:t>
      </w:r>
      <w:r>
        <w:rPr>
          <w:rFonts w:ascii="Verdana" w:cs="Verdana" w:eastAsia="Verdana" w:hAnsi="Verdana"/>
        </w:rPr>
        <w:t xml:space="preserve">: for goods, the earliest of receipt of goods, date of payment, and the date immediately after 30 days from the supplier's invoice (section 12(3)); for services, the earlier of date of payment and the date immediately after 60 days from the supplier's invoice (section 13(3)). For import of services from an associated enterprise, the date of entry in the books or of payment, whichever is earlier.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36: Monthly reverse charge register</w:t>
            </w:r>
          </w:p>
          <w:p>
            <w:pPr>
              <w:spacing w:after="60" w:line="260"/>
            </w:pPr>
            <w:r>
              <w:rPr>
                <w:rFonts w:ascii="Verdana" w:cs="Verdana" w:eastAsia="Verdana" w:hAnsi="Verdana"/>
                <w:sz w:val="20"/>
                <w:szCs w:val="20"/>
              </w:rPr>
              <w:t xml:space="preserve">Sharma Textiles Pvt. Ltd., Ahmedabad, records the following inward supplies in November 2025. All are intra-State.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Legal fees to an advocate: Rs. 2,00,000 at 18%</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36,000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Sitting fees to independent directors: Rs. 50,000 at 18%</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9,000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Security services by a partnership firm: Rs. 3,00,000 at 18%</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54,000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Rent of godown from unregistered landlord: Rs. 80,000 at 18%</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14,400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Metal scrap from unregistered dealer: Rs. 5,00,000 at 18%</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90,000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tax payable under reverse charge (in cash)</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Rs. 2,03,400</w:t>
            </w:r>
          </w:p>
        </w:tc>
      </w:tr>
    </w:tbl>
    <w:p>
      <w:pPr>
        <w:spacing w:after="60"/>
      </w:pPr>
    </w:p>
    <w:p>
      <w:pPr>
        <w:spacing w:after="120" w:line="276"/>
        <w:jc w:val="both"/>
      </w:pPr>
      <w:r>
        <w:rPr>
          <w:rFonts w:ascii="Verdana" w:cs="Verdana" w:eastAsia="Verdana" w:hAnsi="Verdana"/>
        </w:rPr>
        <w:t xml:space="preserve">The company pays Rs. 2,03,400 (CGST Rs. 1,01,700 and SGST Rs. 1,01,700) in cash with its GSTR-3B and takes ITC of the same amount in that return, since all the supplies are used for its taxable business. The cash outflow is recovered only when the ITC is used against output tax in later months. Self-invoices are needed for the rent and the scrap, as those suppliers are unregistered.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37: GTA: reverse charge or forward charge</w:t>
            </w:r>
          </w:p>
          <w:p>
            <w:pPr>
              <w:spacing w:after="60" w:line="260"/>
            </w:pPr>
            <w:r>
              <w:rPr>
                <w:rFonts w:ascii="Verdana" w:cs="Verdana" w:eastAsia="Verdana" w:hAnsi="Verdana"/>
                <w:sz w:val="20"/>
                <w:szCs w:val="20"/>
              </w:rPr>
              <w:t xml:space="preserve">Verma Plastics pays freight of Rs. 1,00,000 to a GTA for transporting goods.</w:t>
            </w:r>
          </w:p>
          <w:p>
            <w:pPr>
              <w:spacing w:after="60" w:line="260"/>
            </w:pPr>
            <w:r>
              <w:rPr>
                <w:rFonts w:ascii="Verdana" w:cs="Verdana" w:eastAsia="Verdana" w:hAnsi="Verdana"/>
                <w:sz w:val="20"/>
                <w:szCs w:val="20"/>
              </w:rPr>
              <w:t xml:space="preserve">Case A: The GTA has not opted to pay tax itself. Verma Plastics pays under reverse charge at 5%: CGST Rs. 2,500 + SGST Rs. 2,500 = Rs. 5,000, and takes ITC of Rs. 5,000.</w:t>
            </w:r>
          </w:p>
          <w:p>
            <w:pPr>
              <w:spacing w:after="60" w:line="260"/>
            </w:pPr>
            <w:r>
              <w:rPr>
                <w:rFonts w:ascii="Verdana" w:cs="Verdana" w:eastAsia="Verdana" w:hAnsi="Verdana"/>
                <w:sz w:val="20"/>
                <w:szCs w:val="20"/>
              </w:rPr>
              <w:t xml:space="preserve">Case B: The GTA has opted for forward charge at 18% with ITC. It charges Rs. 18,000. Verma Plastics takes ITC of Rs. 18,000.</w:t>
            </w:r>
          </w:p>
          <w:p>
            <w:pPr>
              <w:spacing w:after="60" w:line="260"/>
            </w:pPr>
            <w:r>
              <w:rPr>
                <w:rFonts w:ascii="Verdana" w:cs="Verdana" w:eastAsia="Verdana" w:hAnsi="Verdana"/>
                <w:sz w:val="20"/>
                <w:szCs w:val="20"/>
              </w:rPr>
              <w:t xml:space="preserve">Result: For a buyer with full ITC, both are cost neutral, but Case A needs cash payment first. For a buyer making exempt supplies, Case A costs Rs. 5,000 and Case B Rs. 18,000.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38: Import of services</w:t>
            </w:r>
          </w:p>
          <w:p>
            <w:pPr>
              <w:spacing w:after="60" w:line="260"/>
            </w:pPr>
            <w:r>
              <w:rPr>
                <w:rFonts w:ascii="Verdana" w:cs="Verdana" w:eastAsia="Verdana" w:hAnsi="Verdana"/>
                <w:sz w:val="20"/>
                <w:szCs w:val="20"/>
              </w:rPr>
              <w:t xml:space="preserve">Kavya Infotech pays a US consultant USD 10,000 (Rs. 8,50,000 at Rs. 85 per USD) for a software architecture review.</w:t>
            </w:r>
          </w:p>
          <w:p>
            <w:pPr>
              <w:spacing w:after="60" w:line="260"/>
            </w:pPr>
            <w:r>
              <w:rPr>
                <w:rFonts w:ascii="Verdana" w:cs="Verdana" w:eastAsia="Verdana" w:hAnsi="Verdana"/>
                <w:sz w:val="20"/>
                <w:szCs w:val="20"/>
              </w:rPr>
              <w:t xml:space="preserve">Step 1: The supplier is outside India and the recipient is in India. IGST is payable by Kavya Infotech under reverse charge.</w:t>
            </w:r>
          </w:p>
          <w:p>
            <w:pPr>
              <w:spacing w:after="60" w:line="260"/>
            </w:pPr>
            <w:r>
              <w:rPr>
                <w:rFonts w:ascii="Verdana" w:cs="Verdana" w:eastAsia="Verdana" w:hAnsi="Verdana"/>
                <w:sz w:val="20"/>
                <w:szCs w:val="20"/>
              </w:rPr>
              <w:t xml:space="preserve">Step 2: IGST at 18% = Rs. 1,53,000, paid in cash. ITC of Rs. 1,53,000 is available in the same month.</w:t>
            </w:r>
          </w:p>
          <w:p>
            <w:pPr>
              <w:spacing w:after="60" w:line="260"/>
            </w:pPr>
            <w:r>
              <w:rPr>
                <w:rFonts w:ascii="Verdana" w:cs="Verdana" w:eastAsia="Verdana" w:hAnsi="Verdana"/>
                <w:sz w:val="20"/>
                <w:szCs w:val="20"/>
              </w:rPr>
              <w:t xml:space="preserve">Result: Where the Indian company exports its own services and has accumulated ITC, the cash paid on imports still has to be funded first; this is a common working capital strain for exporters.</w:t>
            </w:r>
          </w:p>
        </w:tc>
      </w:tr>
    </w:tbl>
    <w:p>
      <w:pPr>
        <w:spacing w:after="60"/>
      </w:pPr>
    </w:p>
    <w:p>
      <w:pPr>
        <w:pStyle w:val="Heading2"/>
        <w:keepNext/>
        <w:spacing w:after="120" w:before="240"/>
      </w:pPr>
      <w:r>
        <w:rPr>
          <w:rFonts w:ascii="Verdana" w:cs="Verdana" w:eastAsia="Verdana" w:hAnsi="Verdana"/>
        </w:rPr>
        <w:t xml:space="preserve">7.5 Section 9(4): promoters of real estate projects</w:t>
      </w:r>
    </w:p>
    <w:p>
      <w:pPr>
        <w:spacing w:after="120" w:line="276"/>
        <w:jc w:val="both"/>
      </w:pPr>
      <w:r>
        <w:rPr>
          <w:rFonts w:ascii="Verdana" w:cs="Verdana" w:eastAsia="Verdana" w:hAnsi="Verdana"/>
        </w:rPr>
        <w:t xml:space="preserve">Section 9(4) now applies only to notified classes of registered persons. The main case is promoters of residential real estate projects paying the concessional rates of 1% and 5% without ITC. They must buy at least 80% of their inputs and input services (other than land development rights, FSI, electricity, diesel, petrol and natural gas) from registered suppliers. On any shortfall, the promoter pays tax at 18% under reverse charge. Cement and capital goods bought from unregistered suppliers are taxed under reverse charge at their applicable rates.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39: Shortfall in purchases from registered suppliers</w:t>
            </w:r>
          </w:p>
          <w:p>
            <w:pPr>
              <w:spacing w:after="60" w:line="260"/>
            </w:pPr>
            <w:r>
              <w:rPr>
                <w:rFonts w:ascii="Verdana" w:cs="Verdana" w:eastAsia="Verdana" w:hAnsi="Verdana"/>
                <w:sz w:val="20"/>
                <w:szCs w:val="20"/>
              </w:rPr>
              <w:t xml:space="preserve">Shree Developers' project uses inputs and input services worth Rs. 10,00,00,000 (excluding the items listed above). Purchases from registered suppliers are Rs. 7,20,00,000.</w:t>
            </w:r>
          </w:p>
          <w:p>
            <w:pPr>
              <w:spacing w:after="60" w:line="260"/>
            </w:pPr>
            <w:r>
              <w:rPr>
                <w:rFonts w:ascii="Verdana" w:cs="Verdana" w:eastAsia="Verdana" w:hAnsi="Verdana"/>
                <w:sz w:val="20"/>
                <w:szCs w:val="20"/>
              </w:rPr>
              <w:t xml:space="preserve">Step 1: Required from registered suppliers = 80% of Rs. 10,00,00,000 = Rs. 8,00,00,000.</w:t>
            </w:r>
          </w:p>
          <w:p>
            <w:pPr>
              <w:spacing w:after="60" w:line="260"/>
            </w:pPr>
            <w:r>
              <w:rPr>
                <w:rFonts w:ascii="Verdana" w:cs="Verdana" w:eastAsia="Verdana" w:hAnsi="Verdana"/>
                <w:sz w:val="20"/>
                <w:szCs w:val="20"/>
              </w:rPr>
              <w:t xml:space="preserve">Step 2: Shortfall = Rs. 8,00,00,000 minus Rs. 7,20,00,000 = Rs. 80,00,000.</w:t>
            </w:r>
          </w:p>
          <w:p>
            <w:pPr>
              <w:spacing w:after="60" w:line="260"/>
            </w:pPr>
            <w:r>
              <w:rPr>
                <w:rFonts w:ascii="Verdana" w:cs="Verdana" w:eastAsia="Verdana" w:hAnsi="Verdana"/>
                <w:sz w:val="20"/>
                <w:szCs w:val="20"/>
              </w:rPr>
              <w:t xml:space="preserve">Step 3: Tax under reverse charge at 18% = Rs. 14,40,000, payable in cash and not available as ITC (the promoter's output rate is without ITC).</w:t>
            </w:r>
          </w:p>
        </w:tc>
      </w:tr>
    </w:tbl>
    <w:p>
      <w:pPr>
        <w:spacing w:after="60"/>
      </w:pPr>
    </w:p>
    <w:p>
      <w:pPr>
        <w:pStyle w:val="Heading2"/>
        <w:keepNext/>
        <w:spacing w:after="120" w:before="240"/>
      </w:pPr>
      <w:r>
        <w:rPr>
          <w:rFonts w:ascii="Verdana" w:cs="Verdana" w:eastAsia="Verdana" w:hAnsi="Verdana"/>
        </w:rPr>
        <w:t xml:space="preserve">7.6 Section 9(5): e-commerce operators</w:t>
      </w:r>
    </w:p>
    <w:p>
      <w:pPr>
        <w:spacing w:after="120" w:line="276"/>
        <w:jc w:val="both"/>
      </w:pPr>
      <w:r>
        <w:rPr>
          <w:rFonts w:ascii="Verdana" w:cs="Verdana" w:eastAsia="Verdana" w:hAnsi="Verdana"/>
        </w:rPr>
        <w:t xml:space="preserve">For notified services supplied through an e-commerce operator, the operator is liable to pay tax as if it were the supplier: passenger transport by radio taxi, motor cab, maxi cab, motorcycle or omnibus; hotel accommodation and similar services (except where the supplier is registered and liable in its own right); housekeeping services; restaurant services (from 1 January 2022); and local delivery services where the supplier is unregistered (from 22 September 2025, at 18%). If the operator has no physical presence in India, its representative pays.</w:t>
      </w:r>
    </w:p>
    <w:p>
      <w:pPr>
        <w:pStyle w:val="Heading2"/>
        <w:keepNext/>
        <w:spacing w:after="120" w:before="240"/>
      </w:pPr>
      <w:r>
        <w:rPr>
          <w:rFonts w:ascii="Verdana" w:cs="Verdana" w:eastAsia="Verdana" w:hAnsi="Verdana"/>
        </w:rPr>
        <w:t xml:space="preserve">7.7 Exemptions (section 11)</w:t>
      </w:r>
    </w:p>
    <w:p>
      <w:pPr>
        <w:spacing w:after="120" w:line="276"/>
        <w:jc w:val="both"/>
      </w:pPr>
      <w:r>
        <w:rPr>
          <w:rFonts w:ascii="Verdana" w:cs="Verdana" w:eastAsia="Verdana" w:hAnsi="Verdana"/>
        </w:rPr>
        <w:t xml:space="preserve">Section 11(1) allows the Government, on the Council's recommendation, to exempt goods or services generally, either absolutely or subject to conditions, by notification. Section 11(2) allows exemption by a special order in exceptional cases. The main exemption notifications are Notification 10/2025-Central Tax (Rate) for goods (which replaced Notification 2/2017-Central Tax (Rate) from 22 September 2025) and Notification 12/2017-Central Tax (Rate), as amended, for services. Key service exemptions include:</w:t>
      </w:r>
    </w:p>
    <w:p>
      <w:pPr>
        <w:pStyle w:val="ListParagraph"/>
        <w:numPr>
          <w:ilvl w:val="0"/>
          <w:numId w:val="2"/>
        </w:numPr>
        <w:spacing w:after="60" w:line="264"/>
      </w:pPr>
      <w:r>
        <w:rPr>
          <w:rFonts w:ascii="Verdana" w:cs="Verdana" w:eastAsia="Verdana" w:hAnsi="Verdana"/>
        </w:rPr>
        <w:t xml:space="preserve">health care services by a clinical establishment, an authorised medical practitioner or para-medics;</w:t>
      </w:r>
    </w:p>
    <w:p>
      <w:pPr>
        <w:pStyle w:val="ListParagraph"/>
        <w:numPr>
          <w:ilvl w:val="0"/>
          <w:numId w:val="2"/>
        </w:numPr>
        <w:spacing w:after="60" w:line="264"/>
      </w:pPr>
      <w:r>
        <w:rPr>
          <w:rFonts w:ascii="Verdana" w:cs="Verdana" w:eastAsia="Verdana" w:hAnsi="Verdana"/>
        </w:rPr>
        <w:t xml:space="preserve">services by an educational institution to its students, faculty and staff, and specified services to such institutions up to higher secondary level;</w:t>
      </w:r>
    </w:p>
    <w:p>
      <w:pPr>
        <w:pStyle w:val="ListParagraph"/>
        <w:numPr>
          <w:ilvl w:val="0"/>
          <w:numId w:val="2"/>
        </w:numPr>
        <w:spacing w:after="60" w:line="264"/>
      </w:pPr>
      <w:r>
        <w:rPr>
          <w:rFonts w:ascii="Verdana" w:cs="Verdana" w:eastAsia="Verdana" w:hAnsi="Verdana"/>
        </w:rPr>
        <w:t xml:space="preserve">agricultural services such as cultivation, supply of farm labour, and storage and warehousing of agricultural produce;</w:t>
      </w:r>
    </w:p>
    <w:p>
      <w:pPr>
        <w:pStyle w:val="ListParagraph"/>
        <w:numPr>
          <w:ilvl w:val="0"/>
          <w:numId w:val="2"/>
        </w:numPr>
        <w:spacing w:after="60" w:line="264"/>
      </w:pPr>
      <w:r>
        <w:rPr>
          <w:rFonts w:ascii="Verdana" w:cs="Verdana" w:eastAsia="Verdana" w:hAnsi="Verdana"/>
        </w:rPr>
        <w:t xml:space="preserve">charitable activities by entities registered under the Income-tax law for charitable purposes;</w:t>
      </w:r>
    </w:p>
    <w:p>
      <w:pPr>
        <w:pStyle w:val="ListParagraph"/>
        <w:numPr>
          <w:ilvl w:val="0"/>
          <w:numId w:val="2"/>
        </w:numPr>
        <w:spacing w:after="60" w:line="264"/>
      </w:pPr>
      <w:r>
        <w:rPr>
          <w:rFonts w:ascii="Verdana" w:cs="Verdana" w:eastAsia="Verdana" w:hAnsi="Verdana"/>
        </w:rPr>
        <w:t xml:space="preserve">renting of residential dwelling for use as residence, other than to a registered person;</w:t>
      </w:r>
    </w:p>
    <w:p>
      <w:pPr>
        <w:pStyle w:val="ListParagraph"/>
        <w:numPr>
          <w:ilvl w:val="0"/>
          <w:numId w:val="2"/>
        </w:numPr>
        <w:spacing w:after="60" w:line="264"/>
      </w:pPr>
      <w:r>
        <w:rPr>
          <w:rFonts w:ascii="Verdana" w:cs="Verdana" w:eastAsia="Verdana" w:hAnsi="Verdana"/>
        </w:rPr>
        <w:t xml:space="preserve">many services by Government and local authorities, subject to exceptions;</w:t>
      </w:r>
    </w:p>
    <w:p>
      <w:pPr>
        <w:pStyle w:val="ListParagraph"/>
        <w:numPr>
          <w:ilvl w:val="0"/>
          <w:numId w:val="2"/>
        </w:numPr>
        <w:spacing w:after="60" w:line="264"/>
      </w:pPr>
      <w:r>
        <w:rPr>
          <w:rFonts w:ascii="Verdana" w:cs="Verdana" w:eastAsia="Verdana" w:hAnsi="Verdana"/>
        </w:rPr>
        <w:t xml:space="preserve">interest on deposits, loans and advances (other than credit card interest);</w:t>
      </w:r>
    </w:p>
    <w:p>
      <w:pPr>
        <w:pStyle w:val="ListParagraph"/>
        <w:numPr>
          <w:ilvl w:val="0"/>
          <w:numId w:val="2"/>
        </w:numPr>
        <w:spacing w:after="60" w:line="264"/>
      </w:pPr>
      <w:r>
        <w:rPr>
          <w:rFonts w:ascii="Verdana" w:cs="Verdana" w:eastAsia="Verdana" w:hAnsi="Verdana"/>
        </w:rPr>
        <w:t xml:space="preserve">services by the Reserve Bank of India;</w:t>
      </w:r>
    </w:p>
    <w:p>
      <w:pPr>
        <w:pStyle w:val="ListParagraph"/>
        <w:numPr>
          <w:ilvl w:val="0"/>
          <w:numId w:val="2"/>
        </w:numPr>
        <w:spacing w:after="60" w:line="264"/>
      </w:pPr>
      <w:r>
        <w:rPr>
          <w:rFonts w:ascii="Verdana" w:cs="Verdana" w:eastAsia="Verdana" w:hAnsi="Verdana"/>
        </w:rPr>
        <w:t xml:space="preserve">individual life insurance and individual health insurance policies, and their reinsurance, from 22 September 2025.</w:t>
      </w:r>
    </w:p>
    <w:p>
      <w:pPr>
        <w:spacing w:after="120" w:line="276"/>
        <w:jc w:val="both"/>
      </w:pPr>
      <w:r>
        <w:rPr>
          <w:rFonts w:ascii="Verdana" w:cs="Verdana" w:eastAsia="Verdana" w:hAnsi="Verdana"/>
        </w:rPr>
        <w:t xml:space="preserve">Where an exemption is granted </w:t>
      </w:r>
      <w:r>
        <w:rPr>
          <w:rFonts w:ascii="Verdana" w:cs="Verdana" w:eastAsia="Verdana" w:hAnsi="Verdana"/>
          <w:b/>
          <w:bCs/>
        </w:rPr>
        <w:t xml:space="preserve">absolutely</w:t>
      </w:r>
      <w:r>
        <w:rPr>
          <w:rFonts w:ascii="Verdana" w:cs="Verdana" w:eastAsia="Verdana" w:hAnsi="Verdana"/>
        </w:rPr>
        <w:t xml:space="preserve"> (without conditions), the supplier cannot collect tax on the supply (Explanation to section 11). Where an exemption is </w:t>
      </w:r>
      <w:r>
        <w:rPr>
          <w:rFonts w:ascii="Verdana" w:cs="Verdana" w:eastAsia="Verdana" w:hAnsi="Verdana"/>
          <w:b/>
          <w:bCs/>
        </w:rPr>
        <w:t xml:space="preserve">conditional</w:t>
      </w:r>
      <w:r>
        <w:rPr>
          <w:rFonts w:ascii="Verdana" w:cs="Verdana" w:eastAsia="Verdana" w:hAnsi="Verdana"/>
        </w:rPr>
        <w:t xml:space="preserve">, the supplier who does not meet the conditions simply pays tax. In both cases, ITC on inputs and input services used for exempt supplies is not available (section 17(2)), and common credit must be reversed under rules 42 and 43. A business with even a small exempt stream must therefore run the reversal every month and true it up at the year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40: ITC reversal for exempt supplies</w:t>
            </w:r>
          </w:p>
          <w:p>
            <w:pPr>
              <w:spacing w:after="60" w:line="260"/>
            </w:pPr>
            <w:r>
              <w:rPr>
                <w:rFonts w:ascii="Verdana" w:cs="Verdana" w:eastAsia="Verdana" w:hAnsi="Verdana"/>
                <w:sz w:val="20"/>
                <w:szCs w:val="20"/>
              </w:rPr>
              <w:t xml:space="preserve">Patel Dairy Products (a partnership) sells fresh milk (exempt) of Rs. 3,00,00,000 and ghee (taxable at 5%) of Rs. 2,00,00,000 in 2025-26. Common ITC on packing machinery services, audit fees and software is Rs. 6,00,000.</w:t>
            </w:r>
          </w:p>
          <w:p>
            <w:pPr>
              <w:spacing w:after="60" w:line="260"/>
            </w:pPr>
            <w:r>
              <w:rPr>
                <w:rFonts w:ascii="Verdana" w:cs="Verdana" w:eastAsia="Verdana" w:hAnsi="Verdana"/>
                <w:sz w:val="20"/>
                <w:szCs w:val="20"/>
              </w:rPr>
              <w:t xml:space="preserve">Step 1: Exempt share = Rs. 3,00,00,000 / Rs. 5,00,00,000 = 60%.</w:t>
            </w:r>
          </w:p>
          <w:p>
            <w:pPr>
              <w:spacing w:after="60" w:line="260"/>
            </w:pPr>
            <w:r>
              <w:rPr>
                <w:rFonts w:ascii="Verdana" w:cs="Verdana" w:eastAsia="Verdana" w:hAnsi="Verdana"/>
                <w:sz w:val="20"/>
                <w:szCs w:val="20"/>
              </w:rPr>
              <w:t xml:space="preserve">Step 2: ITC to be reversed = 60% of Rs. 6,00,000 = Rs. 3,60,000.</w:t>
            </w:r>
          </w:p>
          <w:p>
            <w:pPr>
              <w:spacing w:after="60" w:line="260"/>
            </w:pPr>
            <w:r>
              <w:rPr>
                <w:rFonts w:ascii="Verdana" w:cs="Verdana" w:eastAsia="Verdana" w:hAnsi="Verdana"/>
                <w:sz w:val="20"/>
                <w:szCs w:val="20"/>
              </w:rPr>
              <w:t xml:space="preserve">Result: Only Rs. 2,40,000 of common ITC is available. ITC used only for ghee is fully available; ITC used only for milk is fully reversed.</w:t>
            </w:r>
          </w:p>
        </w:tc>
      </w:tr>
    </w:tbl>
    <w:p>
      <w:pPr>
        <w:spacing w:after="60"/>
      </w:pPr>
    </w:p>
    <w:p>
      <w:pPr>
        <w:pStyle w:val="Heading2"/>
        <w:keepNext/>
        <w:spacing w:after="120" w:before="240"/>
      </w:pPr>
      <w:r>
        <w:rPr>
          <w:rFonts w:ascii="Verdana" w:cs="Verdana" w:eastAsia="Verdana" w:hAnsi="Verdana"/>
        </w:rPr>
        <w:t xml:space="preserve">7.8 Section 11A: tax not recovered because of general practice</w:t>
      </w:r>
    </w:p>
    <w:p>
      <w:pPr>
        <w:spacing w:after="120" w:line="276"/>
        <w:jc w:val="both"/>
      </w:pPr>
      <w:r>
        <w:rPr>
          <w:rFonts w:ascii="Verdana" w:cs="Verdana" w:eastAsia="Verdana" w:hAnsi="Verdana"/>
        </w:rPr>
        <w:t xml:space="preserve">Section 11A, inserted in 2024, allows the Government, on the Council's recommendation, to direct that GST not levied or short levied because of a general practice in the trade will not be recovered for a specified period. It is meant for cases where the whole industry followed an interpretation that later turned out to be wrong. It is a power to forgive, not a right the taxpayer can claim; relief depends on a specific notification.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A supplier who wrongly charges tax on an exempt supply must still pay that tax to the Government under section 76. Charging GST where none is due does not reduce exposure; it creates one.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Section 9(1) of the CGST Act and section 5(1) of the IGST Act levy tax on supply; the supplier pays under forward charge unless sections 9(3), 9(4) or 9(5) apply.</w:t>
            </w:r>
          </w:p>
          <w:p>
            <w:pPr>
              <w:spacing w:after="60" w:line="260"/>
            </w:pPr>
            <w:r>
              <w:rPr>
                <w:rFonts w:ascii="Verdana" w:cs="Verdana" w:eastAsia="Verdana" w:hAnsi="Verdana"/>
                <w:sz w:val="20"/>
                <w:szCs w:val="20"/>
              </w:rPr>
              <w:t xml:space="preserve">•  Reverse charge covers notified services (legal, GTA, directors, security, renting, sponsorship, Government services, imports) and notified goods (including metal scrap from unregistered persons).</w:t>
            </w:r>
          </w:p>
          <w:p>
            <w:pPr>
              <w:spacing w:after="60" w:line="260"/>
            </w:pPr>
            <w:r>
              <w:rPr>
                <w:rFonts w:ascii="Verdana" w:cs="Verdana" w:eastAsia="Verdana" w:hAnsi="Verdana"/>
                <w:sz w:val="20"/>
                <w:szCs w:val="20"/>
              </w:rPr>
              <w:t xml:space="preserve">•  Reverse charge tax must be paid in cash; ITC is available in the same return if the supply is used for taxable business.</w:t>
            </w:r>
          </w:p>
          <w:p>
            <w:pPr>
              <w:spacing w:after="60" w:line="260"/>
            </w:pPr>
            <w:r>
              <w:rPr>
                <w:rFonts w:ascii="Verdana" w:cs="Verdana" w:eastAsia="Verdana" w:hAnsi="Verdana"/>
                <w:sz w:val="20"/>
                <w:szCs w:val="20"/>
              </w:rPr>
              <w:t xml:space="preserve">•  Promoters must buy 80% from registered suppliers; the shortfall is taxed at 18% under section 9(4).</w:t>
            </w:r>
          </w:p>
          <w:p>
            <w:pPr>
              <w:spacing w:after="60" w:line="260"/>
            </w:pPr>
            <w:r>
              <w:rPr>
                <w:rFonts w:ascii="Verdana" w:cs="Verdana" w:eastAsia="Verdana" w:hAnsi="Verdana"/>
                <w:sz w:val="20"/>
                <w:szCs w:val="20"/>
              </w:rPr>
              <w:t xml:space="preserve">•  E-commerce operators pay tax on notified services under section 9(5), including local delivery by unregistered persons from 22 September 2025.</w:t>
            </w:r>
          </w:p>
          <w:p>
            <w:pPr>
              <w:spacing w:after="60" w:line="260"/>
            </w:pPr>
            <w:r>
              <w:rPr>
                <w:rFonts w:ascii="Verdana" w:cs="Verdana" w:eastAsia="Verdana" w:hAnsi="Verdana"/>
                <w:sz w:val="20"/>
                <w:szCs w:val="20"/>
              </w:rPr>
              <w:t xml:space="preserve">•  Exempt supplies cost ITC; absolute exemptions cannot be waived; section 11A allows the Government to forgive tax not paid under a general practice.</w:t>
            </w:r>
          </w:p>
        </w:tc>
      </w:tr>
    </w:tbl>
    <w:p>
      <w:pPr>
        <w:pStyle w:val="Heading1"/>
        <w:pageBreakBefore/>
        <w:spacing w:after="200" w:before="0"/>
      </w:pPr>
      <w:r>
        <w:rPr>
          <w:rFonts w:ascii="Verdana" w:cs="Verdana" w:eastAsia="Verdana" w:hAnsi="Verdana"/>
        </w:rPr>
        <w:t xml:space="preserve">8. Classification and Rates</w:t>
      </w:r>
    </w:p>
    <w:p>
      <w:pPr>
        <w:spacing w:after="120" w:line="276"/>
        <w:jc w:val="both"/>
      </w:pPr>
      <w:r>
        <w:rPr>
          <w:rFonts w:ascii="Verdana" w:cs="Verdana" w:eastAsia="Verdana" w:hAnsi="Verdana"/>
        </w:rPr>
        <w:t xml:space="preserve">Once it is clear that there is a taxable supply, the rate depends on classification. For goods, the rate notifications follow the Harmonised System of Nomenclature (HSN) as used in the Customs Tariff. For services, CBIC adopted a Services Accounting Code (SAC) scheme based on the UN Central Product Classification. A wrong classification can cost a business the difference in rate on years of turnover, so this is one of the areas most exposed to audit.</w:t>
      </w:r>
    </w:p>
    <w:p>
      <w:pPr>
        <w:pStyle w:val="Heading2"/>
        <w:keepNext/>
        <w:spacing w:after="120" w:before="240"/>
      </w:pPr>
      <w:r>
        <w:rPr>
          <w:rFonts w:ascii="Verdana" w:cs="Verdana" w:eastAsia="Verdana" w:hAnsi="Verdana"/>
        </w:rPr>
        <w:t xml:space="preserve">8.1 HSN and SAC on invoices</w:t>
      </w:r>
    </w:p>
    <w:p>
      <w:pPr>
        <w:spacing w:after="120" w:line="276"/>
        <w:jc w:val="both"/>
      </w:pPr>
      <w:r>
        <w:rPr>
          <w:rFonts w:ascii="Verdana" w:cs="Verdana" w:eastAsia="Verdana" w:hAnsi="Verdana"/>
        </w:rPr>
        <w:t xml:space="preserve">Invoices and GSTR-1 must show the HSN or SAC code. From 1 April 2021, a registered person with aggregate turnover in the previous year up to Rs. 5 crore must show at least 4 digits on B2B invoices (optional on B2C), and a person with turnover above Rs. 5 crore must show 6 digits on all invoices. GSTR-1 Table 12 carries an HSN-wise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41: HSN digits required</w:t>
            </w:r>
          </w:p>
          <w:p>
            <w:pPr>
              <w:spacing w:after="60" w:line="260"/>
            </w:pPr>
            <w:r>
              <w:rPr>
                <w:rFonts w:ascii="Verdana" w:cs="Verdana" w:eastAsia="Verdana" w:hAnsi="Verdana"/>
                <w:sz w:val="20"/>
                <w:szCs w:val="20"/>
              </w:rPr>
              <w:t xml:space="preserve">Joshi Fabrics had aggregate turnover of Rs. 4,80,00,000 in 2024-25. Its group company Joshi Garments had Rs. 6,20,00,000.</w:t>
            </w:r>
          </w:p>
          <w:p>
            <w:pPr>
              <w:spacing w:after="60" w:line="260"/>
            </w:pPr>
            <w:r>
              <w:rPr>
                <w:rFonts w:ascii="Verdana" w:cs="Verdana" w:eastAsia="Verdana" w:hAnsi="Verdana"/>
                <w:sz w:val="20"/>
                <w:szCs w:val="20"/>
              </w:rPr>
              <w:t xml:space="preserve">Step 1: Joshi Fabrics (up to Rs. 5 crore): 4-digit HSN on B2B invoices in 2025-26, for example 5208 for cotton fabric.</w:t>
            </w:r>
          </w:p>
          <w:p>
            <w:pPr>
              <w:spacing w:after="60" w:line="260"/>
            </w:pPr>
            <w:r>
              <w:rPr>
                <w:rFonts w:ascii="Verdana" w:cs="Verdana" w:eastAsia="Verdana" w:hAnsi="Verdana"/>
                <w:sz w:val="20"/>
                <w:szCs w:val="20"/>
              </w:rPr>
              <w:t xml:space="preserve">Step 2: Joshi Garments (above Rs. 5 crore): 6-digit HSN on all invoices, for example 620520 for men's cotton shirts.</w:t>
            </w:r>
          </w:p>
          <w:p>
            <w:pPr>
              <w:spacing w:after="60" w:line="260"/>
            </w:pPr>
            <w:r>
              <w:rPr>
                <w:rFonts w:ascii="Verdana" w:cs="Verdana" w:eastAsia="Verdana" w:hAnsi="Verdana"/>
                <w:sz w:val="20"/>
                <w:szCs w:val="20"/>
              </w:rPr>
              <w:t xml:space="preserve">Result: The two companies have different PANs, so each is tested on its own turnover.</w:t>
            </w:r>
          </w:p>
        </w:tc>
      </w:tr>
    </w:tbl>
    <w:p>
      <w:pPr>
        <w:spacing w:after="60"/>
      </w:pPr>
    </w:p>
    <w:p>
      <w:pPr>
        <w:pStyle w:val="Heading2"/>
        <w:keepNext/>
        <w:spacing w:after="120" w:before="240"/>
      </w:pPr>
      <w:r>
        <w:rPr>
          <w:rFonts w:ascii="Verdana" w:cs="Verdana" w:eastAsia="Verdana" w:hAnsi="Verdana"/>
        </w:rPr>
        <w:t xml:space="preserve">8.2 Principles of classification</w:t>
      </w:r>
    </w:p>
    <w:p>
      <w:pPr>
        <w:spacing w:after="120" w:line="276"/>
        <w:jc w:val="both"/>
      </w:pPr>
      <w:r>
        <w:rPr>
          <w:rFonts w:ascii="Verdana" w:cs="Verdana" w:eastAsia="Verdana" w:hAnsi="Verdana"/>
        </w:rPr>
        <w:t xml:space="preserve">The rate notifications say that "tariff item", "heading", "sub-heading" and "chapter" have the meaning in the First Schedule to the Customs Tariff Act, 1975, and that the rules for interpretation of that Schedule, including Section and Chapter Notes and the General Explanatory Notes, apply. GST classification of goods therefore follows customs classification.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Rule</w:t>
            </w:r>
          </w:p>
        </w:tc>
        <w:tc>
          <w:tcPr>
            <w:tcW w:type="dxa" w:w="803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What it says in brief</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Rule 1</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Titles of Sections and Chapters are for reference only. Classification is by the terms of the headings and the Section and Chapter Notes.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Rule 2(a)</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 incomplete or unassembled article is classified as the complete article if it has its essential character.</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Rule 2(b)</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 reference to a material includes mixtures and combinations of it with other materials.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Rule 3(a)</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The heading with the most specific description is preferred over a general one.</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Rule 3(b)</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Mixtures, composite goods and retail sets are classified by the component that gives them their essential character.</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Rule 3(c)</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If still undecided, the heading that occurs last in numerical order.</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Rule 4</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not covered by any heading go under the heading for goods most akin to them.</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Rule 5</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Cases and packing normally sold with goods are classified with them.</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Rule 6</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The same principles apply at sub-heading level.</w:t>
            </w:r>
          </w:p>
        </w:tc>
      </w:tr>
    </w:tbl>
    <w:p>
      <w:pPr>
        <w:spacing w:after="60"/>
      </w:pPr>
    </w:p>
    <w:p>
      <w:pPr>
        <w:spacing w:after="120" w:line="276"/>
        <w:jc w:val="both"/>
      </w:pPr>
      <w:r>
        <w:rPr>
          <w:rFonts w:ascii="Verdana" w:cs="Verdana" w:eastAsia="Verdana" w:hAnsi="Verdana"/>
        </w:rPr>
        <w:t xml:space="preserve">Alongside these rules, courts apply the </w:t>
      </w:r>
      <w:r>
        <w:rPr>
          <w:rFonts w:ascii="Verdana" w:cs="Verdana" w:eastAsia="Verdana" w:hAnsi="Verdana"/>
          <w:b/>
          <w:bCs/>
        </w:rPr>
        <w:t xml:space="preserve">common parlance</w:t>
      </w:r>
      <w:r>
        <w:rPr>
          <w:rFonts w:ascii="Verdana" w:cs="Verdana" w:eastAsia="Verdana" w:hAnsi="Verdana"/>
        </w:rPr>
        <w:t xml:space="preserve"> or </w:t>
      </w:r>
      <w:r>
        <w:rPr>
          <w:rFonts w:ascii="Verdana" w:cs="Verdana" w:eastAsia="Verdana" w:hAnsi="Verdana"/>
          <w:b/>
          <w:bCs/>
        </w:rPr>
        <w:t xml:space="preserve">trade parlance</w:t>
      </w:r>
      <w:r>
        <w:rPr>
          <w:rFonts w:ascii="Verdana" w:cs="Verdana" w:eastAsia="Verdana" w:hAnsi="Verdana"/>
        </w:rPr>
        <w:t xml:space="preserve"> test: how the product is understood by those who deal in it and use it, unless the tariff uses a technical or scientific term. A residuary entry is used only when no specific entry fits.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Common parlance and burden of proof</w:t>
            </w:r>
          </w:p>
          <w:p>
            <w:pPr>
              <w:spacing w:after="60" w:line="260"/>
            </w:pPr>
            <w:r>
              <w:rPr>
                <w:rFonts w:ascii="Verdana" w:cs="Verdana" w:eastAsia="Verdana" w:hAnsi="Verdana"/>
                <w:b/>
                <w:bCs/>
                <w:sz w:val="20"/>
                <w:szCs w:val="20"/>
              </w:rPr>
              <w:t xml:space="preserve">Dunlop India Ltd. v. Union of India (Supreme Court, 1976):</w:t>
            </w:r>
            <w:r>
              <w:rPr>
                <w:rFonts w:ascii="Verdana" w:cs="Verdana" w:eastAsia="Verdana" w:hAnsi="Verdana"/>
                <w:sz w:val="20"/>
                <w:szCs w:val="20"/>
              </w:rPr>
              <w:t xml:space="preserve"> When an article has, by all standards, a reasonable claim to be classified under a specific entry, it should not be pushed into a residuary entry. Meaning in common commercial usage is relevant in reading tariff entries.</w:t>
            </w:r>
          </w:p>
          <w:p>
            <w:pPr>
              <w:spacing w:after="60" w:line="260"/>
            </w:pPr>
            <w:r>
              <w:rPr>
                <w:rFonts w:ascii="Verdana" w:cs="Verdana" w:eastAsia="Verdana" w:hAnsi="Verdana"/>
                <w:b/>
                <w:bCs/>
                <w:sz w:val="20"/>
                <w:szCs w:val="20"/>
              </w:rPr>
              <w:t xml:space="preserve">HPL Chemicals Ltd. v. Commissioner of Central Excise (Supreme Court, 2006):</w:t>
            </w:r>
            <w:r>
              <w:rPr>
                <w:rFonts w:ascii="Verdana" w:cs="Verdana" w:eastAsia="Verdana" w:hAnsi="Verdana"/>
                <w:sz w:val="20"/>
                <w:szCs w:val="20"/>
              </w:rPr>
              <w:t xml:space="preserve"> Classification is a matter of evidence, and the burden of proving that goods fall under the heading claimed by the department is on the revenue. Resort to a residuary heading is a last option.</w:t>
            </w:r>
          </w:p>
          <w:p>
            <w:pPr>
              <w:spacing w:after="60" w:line="260"/>
            </w:pPr>
            <w:r>
              <w:rPr>
                <w:rFonts w:ascii="Verdana" w:cs="Verdana" w:eastAsia="Verdana" w:hAnsi="Verdana"/>
                <w:b/>
                <w:bCs/>
                <w:sz w:val="20"/>
                <w:szCs w:val="20"/>
              </w:rPr>
              <w:t xml:space="preserve">Practical relevance under GST:</w:t>
            </w:r>
            <w:r>
              <w:rPr>
                <w:rFonts w:ascii="Verdana" w:cs="Verdana" w:eastAsia="Verdana" w:hAnsi="Verdana"/>
                <w:sz w:val="20"/>
                <w:szCs w:val="20"/>
              </w:rPr>
              <w:t xml:space="preserve"> In a classification dispute, the department must bring evidence (technical literature, trade enquiries, test reports) for its heading. The taxpayer should build its own file of product literature, trade usage and customs classification of the same goods.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42: What a classification dispute costs</w:t>
            </w:r>
          </w:p>
          <w:p>
            <w:pPr>
              <w:spacing w:after="60" w:line="260"/>
            </w:pPr>
            <w:r>
              <w:rPr>
                <w:rFonts w:ascii="Verdana" w:cs="Verdana" w:eastAsia="Verdana" w:hAnsi="Verdana"/>
                <w:sz w:val="20"/>
                <w:szCs w:val="20"/>
              </w:rPr>
              <w:t xml:space="preserve">Bhavani Foods Ltd. classifies a snack product under a heading taxed at 5%. The department claims it falls under a heading taxed at 18%. Turnover of the product over the period under audit is Rs. 3,00,00,000.</w:t>
            </w:r>
          </w:p>
          <w:p>
            <w:pPr>
              <w:spacing w:after="60" w:line="260"/>
            </w:pPr>
            <w:r>
              <w:rPr>
                <w:rFonts w:ascii="Verdana" w:cs="Verdana" w:eastAsia="Verdana" w:hAnsi="Verdana"/>
                <w:sz w:val="20"/>
                <w:szCs w:val="20"/>
              </w:rPr>
              <w:t xml:space="preserve">Step 1: Rate difference = 18% minus 5% = 13%.</w:t>
            </w:r>
          </w:p>
          <w:p>
            <w:pPr>
              <w:spacing w:after="60" w:line="260"/>
            </w:pPr>
            <w:r>
              <w:rPr>
                <w:rFonts w:ascii="Verdana" w:cs="Verdana" w:eastAsia="Verdana" w:hAnsi="Verdana"/>
                <w:sz w:val="20"/>
                <w:szCs w:val="20"/>
              </w:rPr>
              <w:t xml:space="preserve">Step 2: Tax in dispute = 13% of Rs. 3,00,00,000 = Rs. 39,00,000, plus interest at 18% a year under section 50 and penalty.</w:t>
            </w:r>
          </w:p>
          <w:p>
            <w:pPr>
              <w:spacing w:after="60" w:line="260"/>
            </w:pPr>
            <w:r>
              <w:rPr>
                <w:rFonts w:ascii="Verdana" w:cs="Verdana" w:eastAsia="Verdana" w:hAnsi="Verdana"/>
                <w:sz w:val="20"/>
                <w:szCs w:val="20"/>
              </w:rPr>
              <w:t xml:space="preserve">Result: With this exposure, an advance ruling (which covers classification under section 97(2)(a)) or at least a reasoned opinion supported by evidence is worth obtaining before the dispute arises. Advance rulings bind only the applicant, and rulings in different States have differed on similar products.</w:t>
            </w:r>
          </w:p>
        </w:tc>
      </w:tr>
    </w:tbl>
    <w:p>
      <w:pPr>
        <w:spacing w:after="60"/>
      </w:pPr>
    </w:p>
    <w:p>
      <w:pPr>
        <w:pStyle w:val="Heading2"/>
        <w:keepNext/>
        <w:spacing w:after="120" w:before="240"/>
      </w:pPr>
      <w:r>
        <w:rPr>
          <w:rFonts w:ascii="Verdana" w:cs="Verdana" w:eastAsia="Verdana" w:hAnsi="Verdana"/>
        </w:rPr>
        <w:t xml:space="preserve">8.3 The rate structure after GST 2.0</w:t>
      </w:r>
    </w:p>
    <w:p>
      <w:pPr>
        <w:spacing w:after="120" w:line="276"/>
        <w:jc w:val="both"/>
      </w:pPr>
      <w:r>
        <w:rPr>
          <w:rFonts w:ascii="Verdana" w:cs="Verdana" w:eastAsia="Verdana" w:hAnsi="Verdana"/>
        </w:rPr>
        <w:t xml:space="preserve">The table gives the structure in force from 22 September 2025. A few items may still carry old rates or special conditions, so the current notification must always be checked.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Rate</w:t>
            </w:r>
          </w:p>
        </w:tc>
        <w:tc>
          <w:tcPr>
            <w:tcW w:type="dxa" w:w="803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Coverage</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Essential goods and exempt services, including UHT milk, paneer, Indian breads, 33 life-saving drugs, individual life and health insurance</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0.1%</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Supplies to merchant exporters (with conditions)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0.25%</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Rough precious and semi-precious stones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Cut and polished diamonds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Gold, silver and jewellery</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and 5%</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Residential real estate (affordable and other), without ITC</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Merit rate: most food items, toiletries, bicycles, tractors, solar devices, textiles; hotel rooms up to Rs. 7,500, restaurants, beauty services (without ITC)</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Standard rate: most goods and services, cement, ACs, TVs, small cars, two-wheelers up to 350cc, works contracts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40%</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Demerit and luxury: larger cars, motorcycles above 350cc, aerated sugary drinks, tobacco and pan masala (from 1 February 2026), casinos, betting, lottery, online money gaming</w:t>
            </w:r>
          </w:p>
        </w:tc>
      </w:tr>
    </w:tbl>
    <w:p>
      <w:pPr>
        <w:spacing w:after="60"/>
      </w:pPr>
    </w:p>
    <w:p>
      <w:pPr>
        <w:pStyle w:val="Heading3"/>
        <w:keepNext/>
        <w:spacing w:after="80" w:before="160"/>
      </w:pPr>
      <w:r>
        <w:rPr>
          <w:rFonts w:ascii="Verdana" w:cs="Verdana" w:eastAsia="Verdana" w:hAnsi="Verdana"/>
        </w:rPr>
        <w:t xml:space="preserve">How to find the rate</w:t>
      </w:r>
    </w:p>
    <w:p>
      <w:pPr>
        <w:pStyle w:val="ListParagraph"/>
        <w:numPr>
          <w:ilvl w:val="0"/>
          <w:numId w:val="2"/>
        </w:numPr>
        <w:spacing w:after="60" w:line="264"/>
      </w:pPr>
      <w:r>
        <w:rPr>
          <w:rFonts w:ascii="Verdana" w:cs="Verdana" w:eastAsia="Verdana" w:hAnsi="Verdana"/>
        </w:rPr>
        <w:t xml:space="preserve">Identify the correct HSN (goods) or SAC (services) using the tariff, Section and Chapter Notes and the rules above.</w:t>
      </w:r>
    </w:p>
    <w:p>
      <w:pPr>
        <w:pStyle w:val="ListParagraph"/>
        <w:numPr>
          <w:ilvl w:val="0"/>
          <w:numId w:val="2"/>
        </w:numPr>
        <w:spacing w:after="60" w:line="264"/>
      </w:pPr>
      <w:r>
        <w:rPr>
          <w:rFonts w:ascii="Verdana" w:cs="Verdana" w:eastAsia="Verdana" w:hAnsi="Verdana"/>
        </w:rPr>
        <w:t xml:space="preserve">For goods, find the entry in the Schedules of the goods rate notification, which group goods by rate. Check the description as well as the HSN; many entries apply only to part of a heading or subject to a condition.</w:t>
      </w:r>
    </w:p>
    <w:p>
      <w:pPr>
        <w:pStyle w:val="ListParagraph"/>
        <w:numPr>
          <w:ilvl w:val="0"/>
          <w:numId w:val="2"/>
        </w:numPr>
        <w:spacing w:after="60" w:line="264"/>
      </w:pPr>
      <w:r>
        <w:rPr>
          <w:rFonts w:ascii="Verdana" w:cs="Verdana" w:eastAsia="Verdana" w:hAnsi="Verdana"/>
        </w:rPr>
        <w:t xml:space="preserve">For services, find the entry in the services rate notification, which lists services by heading with the rate and conditions (for example, "without ITC").</w:t>
      </w:r>
    </w:p>
    <w:p>
      <w:pPr>
        <w:pStyle w:val="ListParagraph"/>
        <w:numPr>
          <w:ilvl w:val="0"/>
          <w:numId w:val="2"/>
        </w:numPr>
        <w:spacing w:after="60" w:line="264"/>
      </w:pPr>
      <w:r>
        <w:rPr>
          <w:rFonts w:ascii="Verdana" w:cs="Verdana" w:eastAsia="Verdana" w:hAnsi="Verdana"/>
        </w:rPr>
        <w:t xml:space="preserve">Check the exemption notification for goods or services, and whether it is absolute or conditional.</w:t>
      </w:r>
    </w:p>
    <w:p>
      <w:pPr>
        <w:pStyle w:val="ListParagraph"/>
        <w:numPr>
          <w:ilvl w:val="0"/>
          <w:numId w:val="2"/>
        </w:numPr>
        <w:spacing w:after="60" w:line="264"/>
      </w:pPr>
      <w:r>
        <w:rPr>
          <w:rFonts w:ascii="Verdana" w:cs="Verdana" w:eastAsia="Verdana" w:hAnsi="Verdana"/>
        </w:rPr>
        <w:t xml:space="preserve">Check any amendment, corrigendum or clarification issued after GST 2.0 for that item.</w:t>
      </w:r>
    </w:p>
    <w:p>
      <w:pPr>
        <w:pStyle w:val="Heading2"/>
        <w:keepNext/>
        <w:spacing w:after="120" w:before="240"/>
      </w:pPr>
      <w:r>
        <w:rPr>
          <w:rFonts w:ascii="Verdana" w:cs="Verdana" w:eastAsia="Verdana" w:hAnsi="Verdana"/>
        </w:rPr>
        <w:t xml:space="preserve">8.4 Effect of a change in rate</w:t>
      </w:r>
    </w:p>
    <w:p>
      <w:pPr>
        <w:spacing w:after="120" w:line="276"/>
        <w:jc w:val="both"/>
      </w:pPr>
      <w:r>
        <w:rPr>
          <w:rFonts w:ascii="Verdana" w:cs="Verdana" w:eastAsia="Verdana" w:hAnsi="Verdana"/>
        </w:rPr>
        <w:t xml:space="preserve">Section 14 of the CGST Act decides whether the old or new rate applies when the date of supply, the invoice and the payment fall on different sides of the date of change. The outline is shown below; the time of supply chapter covers it in detail.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2007"/>
        <w:gridCol w:w="2007"/>
        <w:gridCol w:w="3416"/>
      </w:tblGrid>
      <w:tr>
        <w:trPr>
          <w:cantSplit/>
          <w:tblHeader/>
        </w:trPr>
        <w:tc>
          <w:tcPr>
            <w:tcW w:type="dxa" w:w="220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Supply</w:t>
            </w:r>
          </w:p>
        </w:tc>
        <w:tc>
          <w:tcPr>
            <w:tcW w:type="dxa" w:w="200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Invoice</w:t>
            </w:r>
          </w:p>
        </w:tc>
        <w:tc>
          <w:tcPr>
            <w:tcW w:type="dxa" w:w="200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Payment</w:t>
            </w:r>
          </w:p>
        </w:tc>
        <w:tc>
          <w:tcPr>
            <w:tcW w:type="dxa" w:w="341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Rate</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 change</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After</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After</w:t>
            </w:r>
          </w:p>
        </w:tc>
        <w:tc>
          <w:tcPr>
            <w:tcW w:type="dxa" w:w="34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New (earlier of invoice or payment)</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 change</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After</w:t>
            </w:r>
          </w:p>
        </w:tc>
        <w:tc>
          <w:tcPr>
            <w:tcW w:type="dxa" w:w="34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Old (date of invoice)</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 change</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After</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w:t>
            </w:r>
          </w:p>
        </w:tc>
        <w:tc>
          <w:tcPr>
            <w:tcW w:type="dxa" w:w="34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Old (date of payment)</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After change</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After</w:t>
            </w:r>
          </w:p>
        </w:tc>
        <w:tc>
          <w:tcPr>
            <w:tcW w:type="dxa" w:w="34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New (date of payment)</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After change</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w:t>
            </w:r>
          </w:p>
        </w:tc>
        <w:tc>
          <w:tcPr>
            <w:tcW w:type="dxa" w:w="34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Old (earlier of invoice or payment)</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After change</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After</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w:t>
            </w:r>
          </w:p>
        </w:tc>
        <w:tc>
          <w:tcPr>
            <w:tcW w:type="dxa" w:w="34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New (date of invoice)</w:t>
            </w:r>
          </w:p>
        </w:tc>
      </w:tr>
    </w:tbl>
    <w:p>
      <w:pPr>
        <w:spacing w:after="60"/>
      </w:pPr>
    </w:p>
    <w:p>
      <w:pPr>
        <w:spacing w:after="120" w:line="276"/>
        <w:jc w:val="both"/>
      </w:pPr>
      <w:r>
        <w:rPr>
          <w:rFonts w:ascii="Verdana" w:cs="Verdana" w:eastAsia="Verdana" w:hAnsi="Verdana"/>
        </w:rPr>
        <w:t xml:space="preserve">For this purpose, the date of receipt of payment is the date of credit in the bank account where that is more than four working days after the date of change.</w:t>
      </w:r>
    </w:p>
    <w:p>
      <w:pPr>
        <w:pStyle w:val="Heading2"/>
        <w:keepNext/>
        <w:spacing w:after="120" w:before="240"/>
      </w:pPr>
      <w:r>
        <w:rPr>
          <w:rFonts w:ascii="Verdana" w:cs="Verdana" w:eastAsia="Verdana" w:hAnsi="Verdana"/>
        </w:rPr>
        <w:t xml:space="preserve">8.5 Inverted duty structure</w:t>
      </w:r>
    </w:p>
    <w:p>
      <w:pPr>
        <w:spacing w:after="120" w:line="276"/>
        <w:jc w:val="both"/>
      </w:pPr>
      <w:r>
        <w:rPr>
          <w:rFonts w:ascii="Verdana" w:cs="Verdana" w:eastAsia="Verdana" w:hAnsi="Verdana"/>
        </w:rPr>
        <w:t xml:space="preserve">An inverted duty structure arises when the rate on inputs is higher than the rate on the output, so ITC keeps piling up. GST 2.0 corrected some inversions (for example, man-made fibre and yarn were brought to 5% along with fabric) but created others where finished goods fell to 5% while their parts stayed at 18%. Section 54(3)(ii) allows refund of unused ITC arising from inversion, using the formula in rule 89(5). The formula refunds ITC on inputs only, not on input services or capital goods.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Input services excluded from inverted duty refund</w:t>
            </w:r>
          </w:p>
          <w:p>
            <w:pPr>
              <w:spacing w:after="60" w:line="260"/>
            </w:pPr>
            <w:r>
              <w:rPr>
                <w:rFonts w:ascii="Verdana" w:cs="Verdana" w:eastAsia="Verdana" w:hAnsi="Verdana"/>
                <w:b/>
                <w:bCs/>
                <w:sz w:val="20"/>
                <w:szCs w:val="20"/>
              </w:rPr>
              <w:t xml:space="preserve">Union of India v. VKC Footsteps India (P) Ltd. (Supreme Court, 2021):</w:t>
            </w:r>
            <w:r>
              <w:rPr>
                <w:rFonts w:ascii="Verdana" w:cs="Verdana" w:eastAsia="Verdana" w:hAnsi="Verdana"/>
                <w:sz w:val="20"/>
                <w:szCs w:val="20"/>
              </w:rPr>
              <w:t xml:space="preserve"> The Court upheld rule 89(5) and the restriction of inverted duty refund to ITC on inputs (goods), excluding input services. Refund is a statutory right that exists only to the extent the law provides. The Court suggested that the Council reconsider the formula, but did not strike it down.</w:t>
            </w:r>
          </w:p>
          <w:p>
            <w:pPr>
              <w:spacing w:after="60" w:line="260"/>
            </w:pPr>
            <w:r>
              <w:rPr>
                <w:rFonts w:ascii="Verdana" w:cs="Verdana" w:eastAsia="Verdana" w:hAnsi="Verdana"/>
                <w:b/>
                <w:bCs/>
                <w:sz w:val="20"/>
                <w:szCs w:val="20"/>
              </w:rPr>
              <w:t xml:space="preserve">Practical relevance:</w:t>
            </w:r>
            <w:r>
              <w:rPr>
                <w:rFonts w:ascii="Verdana" w:cs="Verdana" w:eastAsia="Verdana" w:hAnsi="Verdana"/>
                <w:sz w:val="20"/>
                <w:szCs w:val="20"/>
              </w:rPr>
              <w:t xml:space="preserve"> Businesses with large input service costs in an inverted structure will carry forward that part of the credit. The formula was amended in 2022, and the Finance Act, 2026 has provided for 90% provisional refunds of inverted duty claims (enacted but not yet notified).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43: Refund for a bicycle manufacturer</w:t>
            </w:r>
          </w:p>
          <w:p>
            <w:pPr>
              <w:spacing w:after="60" w:line="260"/>
            </w:pPr>
            <w:r>
              <w:rPr>
                <w:rFonts w:ascii="Verdana" w:cs="Verdana" w:eastAsia="Verdana" w:hAnsi="Verdana"/>
                <w:sz w:val="20"/>
                <w:szCs w:val="20"/>
              </w:rPr>
              <w:t xml:space="preserve">Speed Cycles Pvt. Ltd. makes bicycles, taxed at 5% after GST 2.0. In a tax period its turnover is Rs. 1,20,00,000 (all inverted rated supply; no other supplies). ITC on inputs (steel tubes, paint and other inputs taxed at 18%) is Rs. 14,40,000 and on input services Rs. 1,00,000.</w:t>
            </w:r>
          </w:p>
          <w:p>
            <w:pPr>
              <w:spacing w:after="60" w:line="260"/>
            </w:pPr>
            <w:r>
              <w:rPr>
                <w:rFonts w:ascii="Verdana" w:cs="Verdana" w:eastAsia="Verdana" w:hAnsi="Verdana"/>
                <w:sz w:val="20"/>
                <w:szCs w:val="20"/>
              </w:rPr>
              <w:t xml:space="preserve">Step 1: Output tax = 5% of Rs. 1,20,00,000 = Rs. 6,00,000. Total ITC = Rs. 15,40,000. Unused ITC = Rs. 9,40,000.</w:t>
            </w:r>
          </w:p>
          <w:p>
            <w:pPr>
              <w:spacing w:after="60" w:line="260"/>
            </w:pPr>
            <w:r>
              <w:rPr>
                <w:rFonts w:ascii="Verdana" w:cs="Verdana" w:eastAsia="Verdana" w:hAnsi="Verdana"/>
                <w:sz w:val="20"/>
                <w:szCs w:val="20"/>
              </w:rPr>
              <w:t xml:space="preserve">Step 2: Rule 89(5): Maximum refund = (turnover of inverted rated supply x Net ITC / adjusted total turnover) minus (tax payable on inverted rated supply x Net ITC / ITC on inputs and input services).</w:t>
            </w:r>
          </w:p>
          <w:p>
            <w:pPr>
              <w:spacing w:after="60" w:line="260"/>
            </w:pPr>
            <w:r>
              <w:rPr>
                <w:rFonts w:ascii="Verdana" w:cs="Verdana" w:eastAsia="Verdana" w:hAnsi="Verdana"/>
                <w:sz w:val="20"/>
                <w:szCs w:val="20"/>
              </w:rPr>
              <w:t xml:space="preserve">Step 3: First part = Rs. 1,20,00,000 x Rs. 14,40,000 / Rs. 1,20,00,000 = Rs. 14,40,000.</w:t>
            </w:r>
          </w:p>
          <w:p>
            <w:pPr>
              <w:spacing w:after="60" w:line="260"/>
            </w:pPr>
            <w:r>
              <w:rPr>
                <w:rFonts w:ascii="Verdana" w:cs="Verdana" w:eastAsia="Verdana" w:hAnsi="Verdana"/>
                <w:sz w:val="20"/>
                <w:szCs w:val="20"/>
              </w:rPr>
              <w:t xml:space="preserve">Step 4: Second part = Rs. 6,00,000 x Rs. 14,40,000 / Rs. 15,40,000 = Rs. 5,61,039.</w:t>
            </w:r>
          </w:p>
          <w:p>
            <w:pPr>
              <w:spacing w:after="60" w:line="260"/>
            </w:pPr>
            <w:r>
              <w:rPr>
                <w:rFonts w:ascii="Verdana" w:cs="Verdana" w:eastAsia="Verdana" w:hAnsi="Verdana"/>
                <w:sz w:val="20"/>
                <w:szCs w:val="20"/>
              </w:rPr>
              <w:t xml:space="preserve">Result: Refund = Rs. 14,40,000 minus Rs. 5,61,039 = Rs. 8,78,961. The balance of Rs. 61,039, broadly the input services share, stays in the ledger.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Goods follow HSN as in the Customs Tariff; services follow SAC. Invoices need 4-digit HSN up to Rs. 5 crore turnover and 6 digits above.</w:t>
            </w:r>
          </w:p>
          <w:p>
            <w:pPr>
              <w:spacing w:after="60" w:line="260"/>
            </w:pPr>
            <w:r>
              <w:rPr>
                <w:rFonts w:ascii="Verdana" w:cs="Verdana" w:eastAsia="Verdana" w:hAnsi="Verdana"/>
                <w:sz w:val="20"/>
                <w:szCs w:val="20"/>
              </w:rPr>
              <w:t xml:space="preserve">•  The General Rules for Interpretation, Section and Chapter Notes and Explanatory Notes apply to GST classification.</w:t>
            </w:r>
          </w:p>
          <w:p>
            <w:pPr>
              <w:spacing w:after="60" w:line="260"/>
            </w:pPr>
            <w:r>
              <w:rPr>
                <w:rFonts w:ascii="Verdana" w:cs="Verdana" w:eastAsia="Verdana" w:hAnsi="Verdana"/>
                <w:sz w:val="20"/>
                <w:szCs w:val="20"/>
              </w:rPr>
              <w:t xml:space="preserve">•  Specific entries prevail over general ones; common parlance applies unless the tariff uses a technical term; the residuary entry is the last resort.</w:t>
            </w:r>
          </w:p>
          <w:p>
            <w:pPr>
              <w:spacing w:after="60" w:line="260"/>
            </w:pPr>
            <w:r>
              <w:rPr>
                <w:rFonts w:ascii="Verdana" w:cs="Verdana" w:eastAsia="Verdana" w:hAnsi="Verdana"/>
                <w:sz w:val="20"/>
                <w:szCs w:val="20"/>
              </w:rPr>
              <w:t xml:space="preserve">•  The burden of proving the department's classification is on the revenue (HPL Chemicals).</w:t>
            </w:r>
          </w:p>
          <w:p>
            <w:pPr>
              <w:spacing w:after="60" w:line="260"/>
            </w:pPr>
            <w:r>
              <w:rPr>
                <w:rFonts w:ascii="Verdana" w:cs="Verdana" w:eastAsia="Verdana" w:hAnsi="Verdana"/>
                <w:sz w:val="20"/>
                <w:szCs w:val="20"/>
              </w:rPr>
              <w:t xml:space="preserve">•  After GST 2.0 the main rates are 5%, 18% and 40%, with special rates for precious metals, diamonds, real estate and merchant exports.</w:t>
            </w:r>
          </w:p>
          <w:p>
            <w:pPr>
              <w:spacing w:after="60" w:line="260"/>
            </w:pPr>
            <w:r>
              <w:rPr>
                <w:rFonts w:ascii="Verdana" w:cs="Verdana" w:eastAsia="Verdana" w:hAnsi="Verdana"/>
                <w:sz w:val="20"/>
                <w:szCs w:val="20"/>
              </w:rPr>
              <w:t xml:space="preserve">•  Section 14 decides the rate when a change falls between supply, invoice and payment; inverted duty refunds cover inputs only (VKC Footsteps).</w:t>
            </w:r>
          </w:p>
        </w:tc>
      </w:tr>
    </w:tbl>
    <w:p>
      <w:pPr>
        <w:pStyle w:val="Heading1"/>
        <w:pageBreakBefore/>
        <w:spacing w:after="200" w:before="0"/>
      </w:pPr>
      <w:r>
        <w:rPr>
          <w:rFonts w:ascii="Verdana" w:cs="Verdana" w:eastAsia="Verdana" w:hAnsi="Verdana"/>
        </w:rPr>
        <w:t xml:space="preserve">9. Composition Scheme (Sections 10 and 10(2A))</w:t>
      </w:r>
    </w:p>
    <w:p>
      <w:pPr>
        <w:spacing w:after="120" w:line="276"/>
        <w:jc w:val="both"/>
      </w:pPr>
      <w:r>
        <w:rPr>
          <w:rFonts w:ascii="Verdana" w:cs="Verdana" w:eastAsia="Verdana" w:hAnsi="Verdana"/>
        </w:rPr>
        <w:t xml:space="preserve">The composition scheme lets small businesses pay tax at a flat, low rate on turnover instead of charging tax invoice by invoice and claiming ITC. It reduces compliance to a quarterly statement and an annual return. The price is that the business cannot collect tax from customers, cannot take ITC, and cannot sell outside its State. Whether the scheme suits a client depends on who the customers are and on the margins, and the answer often surprises.</w:t>
      </w:r>
    </w:p>
    <w:p>
      <w:pPr>
        <w:pStyle w:val="Heading2"/>
        <w:keepNext/>
        <w:spacing w:after="120" w:before="240"/>
      </w:pPr>
      <w:r>
        <w:rPr>
          <w:rFonts w:ascii="Verdana" w:cs="Verdana" w:eastAsia="Verdana" w:hAnsi="Verdana"/>
        </w:rPr>
        <w:t xml:space="preserve">9.1 Eligibility and rates</w:t>
      </w:r>
    </w:p>
    <w:p>
      <w:pPr>
        <w:spacing w:after="120" w:line="276"/>
        <w:jc w:val="both"/>
      </w:pPr>
      <w:r>
        <w:rPr>
          <w:rFonts w:ascii="Verdana" w:cs="Verdana" w:eastAsia="Verdana" w:hAnsi="Verdana"/>
        </w:rPr>
        <w:t xml:space="preserve">Section 10(1) is for suppliers of goods and restaurants. A registered person whose aggregate turnover in the preceding financial year did not exceed Rs. 1.5 crore (Rs. 75 lakh in certain special category States) may opt to pay tax at the rates in rule 7. Such a person may also supply services (other than restaurant services) up to 10% of turnover in the State in the preceding year or Rs. 5 lakh, whichever is higher. Section 10(2A) is a separate scheme for suppliers of services (or mixed suppliers) not eligible under section 10(1), with aggregate turnover in the preceding year up to Rs. 50 lakh.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5"/>
        <w:gridCol w:w="2811"/>
        <w:gridCol w:w="2812"/>
      </w:tblGrid>
      <w:tr>
        <w:trPr>
          <w:cantSplit/>
          <w:tblHeader/>
        </w:trPr>
        <w:tc>
          <w:tcPr>
            <w:tcW w:type="dxa" w:w="401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Category</w:t>
            </w:r>
          </w:p>
        </w:tc>
        <w:tc>
          <w:tcPr>
            <w:tcW w:type="dxa" w:w="281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Rate (CGST + SGST)</w:t>
            </w:r>
          </w:p>
        </w:tc>
        <w:tc>
          <w:tcPr>
            <w:tcW w:type="dxa" w:w="281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Base</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Manufacturers (other than of notified goods)</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(0.5% + 0.5%)</w:t>
            </w:r>
          </w:p>
        </w:tc>
        <w:tc>
          <w:tcPr>
            <w:tcW w:type="dxa" w:w="28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Turnover in the State</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Traders</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(0.5% + 0.5%)</w:t>
            </w:r>
          </w:p>
        </w:tc>
        <w:tc>
          <w:tcPr>
            <w:tcW w:type="dxa" w:w="28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Turnover of taxable supplies in the State</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Restaurants not serving alcohol</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 (2.5% + 2.5%)</w:t>
            </w:r>
          </w:p>
        </w:tc>
        <w:tc>
          <w:tcPr>
            <w:tcW w:type="dxa" w:w="28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Turnover in the State</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 providers under section 10(2A)</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 (3% + 3%)</w:t>
            </w:r>
          </w:p>
        </w:tc>
        <w:tc>
          <w:tcPr>
            <w:tcW w:type="dxa" w:w="28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Turnover in the State</w:t>
            </w:r>
          </w:p>
        </w:tc>
      </w:tr>
    </w:tbl>
    <w:p>
      <w:pPr>
        <w:spacing w:after="60"/>
      </w:pPr>
    </w:p>
    <w:p>
      <w:pPr>
        <w:spacing w:after="120" w:line="276"/>
        <w:jc w:val="both"/>
      </w:pPr>
      <w:r>
        <w:rPr>
          <w:rFonts w:ascii="Verdana" w:cs="Verdana" w:eastAsia="Verdana" w:hAnsi="Verdana"/>
        </w:rPr>
        <w:t xml:space="preserve">For composition eligibility, the value of exempt services by way of deposits, loans or advances, where the consideration is interest or discount, is left out of turnover.</w:t>
      </w:r>
    </w:p>
    <w:p>
      <w:pPr>
        <w:pStyle w:val="Heading2"/>
        <w:keepNext/>
        <w:spacing w:after="120" w:before="240"/>
      </w:pPr>
      <w:r>
        <w:rPr>
          <w:rFonts w:ascii="Verdana" w:cs="Verdana" w:eastAsia="Verdana" w:hAnsi="Verdana"/>
        </w:rPr>
        <w:t xml:space="preserve">9.2 Restrictions</w:t>
      </w:r>
    </w:p>
    <w:p>
      <w:pPr>
        <w:spacing w:after="120" w:line="276"/>
        <w:jc w:val="both"/>
      </w:pPr>
      <w:r>
        <w:rPr>
          <w:rFonts w:ascii="Verdana" w:cs="Verdana" w:eastAsia="Verdana" w:hAnsi="Verdana"/>
        </w:rPr>
        <w:t xml:space="preserve">A composition taxpayer must not:</w:t>
      </w:r>
    </w:p>
    <w:p>
      <w:pPr>
        <w:pStyle w:val="ListParagraph"/>
        <w:numPr>
          <w:ilvl w:val="0"/>
          <w:numId w:val="2"/>
        </w:numPr>
        <w:spacing w:after="60" w:line="264"/>
      </w:pPr>
      <w:r>
        <w:rPr>
          <w:rFonts w:ascii="Verdana" w:cs="Verdana" w:eastAsia="Verdana" w:hAnsi="Verdana"/>
        </w:rPr>
        <w:t xml:space="preserve">supply goods or services not leviable to GST (such as alcohol for human consumption);</w:t>
      </w:r>
    </w:p>
    <w:p>
      <w:pPr>
        <w:pStyle w:val="ListParagraph"/>
        <w:numPr>
          <w:ilvl w:val="0"/>
          <w:numId w:val="2"/>
        </w:numPr>
        <w:spacing w:after="60" w:line="264"/>
      </w:pPr>
      <w:r>
        <w:rPr>
          <w:rFonts w:ascii="Verdana" w:cs="Verdana" w:eastAsia="Verdana" w:hAnsi="Verdana"/>
        </w:rPr>
        <w:t xml:space="preserve">make inter-State outward supplies;</w:t>
      </w:r>
    </w:p>
    <w:p>
      <w:pPr>
        <w:pStyle w:val="ListParagraph"/>
        <w:numPr>
          <w:ilvl w:val="0"/>
          <w:numId w:val="2"/>
        </w:numPr>
        <w:spacing w:after="60" w:line="264"/>
      </w:pPr>
      <w:r>
        <w:rPr>
          <w:rFonts w:ascii="Verdana" w:cs="Verdana" w:eastAsia="Verdana" w:hAnsi="Verdana"/>
        </w:rPr>
        <w:t xml:space="preserve">supply services through an e-commerce operator; goods may be sold intra-State through an e-commerce operator from 1 October 2023;</w:t>
      </w:r>
    </w:p>
    <w:p>
      <w:pPr>
        <w:pStyle w:val="ListParagraph"/>
        <w:numPr>
          <w:ilvl w:val="0"/>
          <w:numId w:val="2"/>
        </w:numPr>
        <w:spacing w:after="60" w:line="264"/>
      </w:pPr>
      <w:r>
        <w:rPr>
          <w:rFonts w:ascii="Verdana" w:cs="Verdana" w:eastAsia="Verdana" w:hAnsi="Verdana"/>
        </w:rPr>
        <w:t xml:space="preserve">manufacture notified goods such as ice cream, pan masala, tobacco products and aerated waters;</w:t>
      </w:r>
    </w:p>
    <w:p>
      <w:pPr>
        <w:pStyle w:val="ListParagraph"/>
        <w:numPr>
          <w:ilvl w:val="0"/>
          <w:numId w:val="2"/>
        </w:numPr>
        <w:spacing w:after="60" w:line="264"/>
      </w:pPr>
      <w:r>
        <w:rPr>
          <w:rFonts w:ascii="Verdana" w:cs="Verdana" w:eastAsia="Verdana" w:hAnsi="Verdana"/>
        </w:rPr>
        <w:t xml:space="preserve">be a casual taxable person or non-resident taxable person;</w:t>
      </w:r>
    </w:p>
    <w:p>
      <w:pPr>
        <w:pStyle w:val="ListParagraph"/>
        <w:numPr>
          <w:ilvl w:val="0"/>
          <w:numId w:val="2"/>
        </w:numPr>
        <w:spacing w:after="60" w:line="264"/>
      </w:pPr>
      <w:r>
        <w:rPr>
          <w:rFonts w:ascii="Verdana" w:cs="Verdana" w:eastAsia="Verdana" w:hAnsi="Verdana"/>
        </w:rPr>
        <w:t xml:space="preserve">collect tax from customers or claim ITC.</w:t>
      </w:r>
    </w:p>
    <w:p>
      <w:pPr>
        <w:spacing w:after="120" w:line="276"/>
        <w:jc w:val="both"/>
      </w:pPr>
      <w:r>
        <w:rPr>
          <w:rFonts w:ascii="Verdana" w:cs="Verdana" w:eastAsia="Verdana" w:hAnsi="Verdana"/>
        </w:rPr>
        <w:t xml:space="preserve">The option applies to all registrations under the same PAN; one GSTIN cannot be under composition while another under the same PAN is regular. The taxpayer must issue a </w:t>
      </w:r>
      <w:r>
        <w:rPr>
          <w:rFonts w:ascii="Verdana" w:cs="Verdana" w:eastAsia="Verdana" w:hAnsi="Verdana"/>
          <w:b/>
          <w:bCs/>
        </w:rPr>
        <w:t xml:space="preserve">bill of supply</w:t>
      </w:r>
      <w:r>
        <w:rPr>
          <w:rFonts w:ascii="Verdana" w:cs="Verdana" w:eastAsia="Verdana" w:hAnsi="Verdana"/>
        </w:rPr>
        <w:t xml:space="preserve"> (not a tax invoice) marked "composition taxable person, not eligible to collect tax on supplies", display "composition taxable person" at the place of business, and pay tax under reverse charge where applicable at the normal rates, without ITC.</w:t>
      </w:r>
    </w:p>
    <w:p>
      <w:pPr>
        <w:pStyle w:val="Heading2"/>
        <w:keepNext/>
        <w:spacing w:after="120" w:before="240"/>
      </w:pPr>
      <w:r>
        <w:rPr>
          <w:rFonts w:ascii="Verdana" w:cs="Verdana" w:eastAsia="Verdana" w:hAnsi="Verdana"/>
        </w:rPr>
        <w:t xml:space="preserve">9.3 Forms and compliance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5"/>
        <w:gridCol w:w="4618"/>
        <w:gridCol w:w="3515"/>
      </w:tblGrid>
      <w:tr>
        <w:trPr>
          <w:cantSplit/>
          <w:tblHeader/>
        </w:trPr>
        <w:tc>
          <w:tcPr>
            <w:tcW w:type="dxa" w:w="150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Form</w:t>
            </w:r>
          </w:p>
        </w:tc>
        <w:tc>
          <w:tcPr>
            <w:tcW w:type="dxa" w:w="461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Purpose</w:t>
            </w:r>
          </w:p>
        </w:tc>
        <w:tc>
          <w:tcPr>
            <w:tcW w:type="dxa" w:w="351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Timing</w:t>
            </w:r>
          </w:p>
        </w:tc>
      </w:tr>
      <w:tr>
        <w:trPr>
          <w:cantSplit/>
        </w:trPr>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CMP-02</w:t>
            </w:r>
          </w:p>
        </w:tc>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Intimation to opt for composition</w:t>
            </w:r>
          </w:p>
        </w:tc>
        <w:tc>
          <w:tcPr>
            <w:tcW w:type="dxa" w:w="35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 the start of the financial year; new applicants opt in REG-01</w:t>
            </w:r>
          </w:p>
        </w:tc>
      </w:tr>
      <w:tr>
        <w:trPr>
          <w:cantSplit/>
        </w:trPr>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CMP-03</w:t>
            </w:r>
          </w:p>
        </w:tc>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Details of stock held on the date of opting</w:t>
            </w:r>
          </w:p>
        </w:tc>
        <w:tc>
          <w:tcPr>
            <w:tcW w:type="dxa" w:w="35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Within 60 days of opting</w:t>
            </w:r>
          </w:p>
        </w:tc>
      </w:tr>
      <w:tr>
        <w:trPr>
          <w:cantSplit/>
        </w:trPr>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ITC-03</w:t>
            </w:r>
          </w:p>
        </w:tc>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Reversal of ITC on stock and capital goods when opting in</w:t>
            </w:r>
          </w:p>
        </w:tc>
        <w:tc>
          <w:tcPr>
            <w:tcW w:type="dxa" w:w="35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Within 60 days from start of the year</w:t>
            </w:r>
          </w:p>
        </w:tc>
      </w:tr>
      <w:tr>
        <w:trPr>
          <w:cantSplit/>
        </w:trPr>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CMP-08</w:t>
            </w:r>
          </w:p>
        </w:tc>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Quarterly statement and payment of tax</w:t>
            </w:r>
          </w:p>
        </w:tc>
        <w:tc>
          <w:tcPr>
            <w:tcW w:type="dxa" w:w="35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By 18th of the month after the quarter</w:t>
            </w:r>
          </w:p>
        </w:tc>
      </w:tr>
      <w:tr>
        <w:trPr>
          <w:cantSplit/>
        </w:trPr>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GSTR-4</w:t>
            </w:r>
          </w:p>
        </w:tc>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Annual return</w:t>
            </w:r>
          </w:p>
        </w:tc>
        <w:tc>
          <w:tcPr>
            <w:tcW w:type="dxa" w:w="35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By 30 June after the financial year</w:t>
            </w:r>
          </w:p>
        </w:tc>
      </w:tr>
      <w:tr>
        <w:trPr>
          <w:cantSplit/>
        </w:trPr>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CMP-04</w:t>
            </w:r>
          </w:p>
        </w:tc>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Intimation of withdrawal from the scheme</w:t>
            </w:r>
          </w:p>
        </w:tc>
        <w:tc>
          <w:tcPr>
            <w:tcW w:type="dxa" w:w="35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Within 7 days of becoming ineligible, or before voluntary withdrawal</w:t>
            </w:r>
          </w:p>
        </w:tc>
      </w:tr>
      <w:tr>
        <w:trPr>
          <w:cantSplit/>
        </w:trPr>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ITC-01</w:t>
            </w:r>
          </w:p>
        </w:tc>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Claim of ITC on stock when leaving the scheme</w:t>
            </w:r>
          </w:p>
        </w:tc>
        <w:tc>
          <w:tcPr>
            <w:tcW w:type="dxa" w:w="35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Within 30 days of becoming liable under section 9</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44: Checking eligibility</w:t>
            </w:r>
          </w:p>
          <w:p>
            <w:pPr>
              <w:spacing w:after="60" w:line="260"/>
            </w:pPr>
            <w:r>
              <w:rPr>
                <w:rFonts w:ascii="Verdana" w:cs="Verdana" w:eastAsia="Verdana" w:hAnsi="Verdana"/>
                <w:sz w:val="20"/>
                <w:szCs w:val="20"/>
              </w:rPr>
              <w:t xml:space="preserve">Rathod Hardware, Rajkot, had turnover of Rs. 1,40,00,000 from sale of goods in 2024-25 and Rs. 12,00,000 from repair services. It also earned Rs. 3,00,000 as interest on deposits. It sells only within Gujarat.</w:t>
            </w:r>
          </w:p>
          <w:p>
            <w:pPr>
              <w:spacing w:after="60" w:line="260"/>
            </w:pPr>
            <w:r>
              <w:rPr>
                <w:rFonts w:ascii="Verdana" w:cs="Verdana" w:eastAsia="Verdana" w:hAnsi="Verdana"/>
                <w:sz w:val="20"/>
                <w:szCs w:val="20"/>
              </w:rPr>
              <w:t xml:space="preserve">Step 1: Aggregate turnover for composition (excluding interest) = Rs. 1,40,00,000 + Rs. 12,00,000 = Rs. 1,52,00,000.</w:t>
            </w:r>
          </w:p>
          <w:p>
            <w:pPr>
              <w:spacing w:after="60" w:line="260"/>
            </w:pPr>
            <w:r>
              <w:rPr>
                <w:rFonts w:ascii="Verdana" w:cs="Verdana" w:eastAsia="Verdana" w:hAnsi="Verdana"/>
                <w:sz w:val="20"/>
                <w:szCs w:val="20"/>
              </w:rPr>
              <w:t xml:space="preserve">Step 2: This is above Rs. 1.5 crore. Rathod Hardware is not eligible for 2025-26, even though the goods turnover alone is within the limit.</w:t>
            </w:r>
          </w:p>
          <w:p>
            <w:pPr>
              <w:spacing w:after="60" w:line="260"/>
            </w:pPr>
            <w:r>
              <w:rPr>
                <w:rFonts w:ascii="Verdana" w:cs="Verdana" w:eastAsia="Verdana" w:hAnsi="Verdana"/>
                <w:sz w:val="20"/>
                <w:szCs w:val="20"/>
              </w:rPr>
              <w:t xml:space="preserve">Step 3: Had the repair turnover been Rs. 9,00,000, aggregate turnover would be Rs. 1,49,00,000 (eligible), and services of Rs. 9,00,000 would be within the permitted limit of the higher of 10% of Rs. 1,49,00,000 (Rs. 14,90,000) and Rs. 5,00,000.</w:t>
            </w:r>
          </w:p>
        </w:tc>
      </w:tr>
    </w:tbl>
    <w:p>
      <w:pPr>
        <w:spacing w:after="60"/>
      </w:pPr>
    </w:p>
    <w:p>
      <w:pPr>
        <w:pStyle w:val="Heading2"/>
        <w:keepNext/>
        <w:spacing w:after="120" w:before="240"/>
      </w:pPr>
      <w:r>
        <w:rPr>
          <w:rFonts w:ascii="Verdana" w:cs="Verdana" w:eastAsia="Verdana" w:hAnsi="Verdana"/>
        </w:rPr>
        <w:t xml:space="preserve">9.4 Opting in and opting out: effect on ITC (section 18)</w:t>
      </w:r>
    </w:p>
    <w:p>
      <w:pPr>
        <w:spacing w:after="120" w:line="276"/>
        <w:jc w:val="both"/>
      </w:pPr>
      <w:r>
        <w:rPr>
          <w:rFonts w:ascii="Verdana" w:cs="Verdana" w:eastAsia="Verdana" w:hAnsi="Verdana"/>
        </w:rPr>
        <w:t xml:space="preserve">A regular taxpayer who opts for composition must pay an amount equal to the ITC on inputs held in stock (including in semi-finished and finished goods) and on capital goods, reduced for capital goods by 5 percentage points per quarter or part of a quarter since the invoice date (section 18(4) and rule 44). Any balance left in the credit ledger lapses. When a taxpayer leaves the scheme, section 18(1)(c) allows ITC on stock and capital goods held on the day before he becomes liable to pay tax as a regular taxpayer, subject to the same reduction for capital goods and the one-year limit on invoices in section 18(2).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45: ITC reversal on opting in</w:t>
            </w:r>
          </w:p>
          <w:p>
            <w:pPr>
              <w:spacing w:after="60" w:line="260"/>
            </w:pPr>
            <w:r>
              <w:rPr>
                <w:rFonts w:ascii="Verdana" w:cs="Verdana" w:eastAsia="Verdana" w:hAnsi="Verdana"/>
                <w:sz w:val="20"/>
                <w:szCs w:val="20"/>
              </w:rPr>
              <w:t xml:space="preserve">Kavya Stores, a regular taxpayer, opts for composition from 1 April 2026. On 31 March 2026 it holds stock on which ITC of Rs. 1,08,000 was taken, and a display refrigeration unit on which ITC of Rs. 90,000 was taken 7 quarters earlier (counting parts of quarters).</w:t>
            </w:r>
          </w:p>
          <w:p>
            <w:pPr>
              <w:spacing w:after="60" w:line="260"/>
            </w:pPr>
            <w:r>
              <w:rPr>
                <w:rFonts w:ascii="Verdana" w:cs="Verdana" w:eastAsia="Verdana" w:hAnsi="Verdana"/>
                <w:sz w:val="20"/>
                <w:szCs w:val="20"/>
              </w:rPr>
              <w:t xml:space="preserve">Step 1: Stock: reverse the full ITC of Rs. 1,08,000.</w:t>
            </w:r>
          </w:p>
          <w:p>
            <w:pPr>
              <w:spacing w:after="60" w:line="260"/>
            </w:pPr>
            <w:r>
              <w:rPr>
                <w:rFonts w:ascii="Verdana" w:cs="Verdana" w:eastAsia="Verdana" w:hAnsi="Verdana"/>
                <w:sz w:val="20"/>
                <w:szCs w:val="20"/>
              </w:rPr>
              <w:t xml:space="preserve">Step 2: Capital goods: reduce by 5 x 7 = 35 percentage points. Amount payable = 65% of Rs. 90,000 = Rs. 58,500.</w:t>
            </w:r>
          </w:p>
          <w:p>
            <w:pPr>
              <w:spacing w:after="60" w:line="260"/>
            </w:pPr>
            <w:r>
              <w:rPr>
                <w:rFonts w:ascii="Verdana" w:cs="Verdana" w:eastAsia="Verdana" w:hAnsi="Verdana"/>
                <w:sz w:val="20"/>
                <w:szCs w:val="20"/>
              </w:rPr>
              <w:t xml:space="preserve">Step 3: Total payable through ITC-03 = Rs. 1,08,000 + Rs. 58,500 = Rs. 1,66,500, which can be paid from the credit ledger. Any balance remaining in the ledger after this lapses.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46: Crossing the limit during the year</w:t>
            </w:r>
          </w:p>
          <w:p>
            <w:pPr>
              <w:spacing w:after="60" w:line="260"/>
            </w:pPr>
            <w:r>
              <w:rPr>
                <w:rFonts w:ascii="Verdana" w:cs="Verdana" w:eastAsia="Verdana" w:hAnsi="Verdana"/>
                <w:sz w:val="20"/>
                <w:szCs w:val="20"/>
              </w:rPr>
              <w:t xml:space="preserve">Om Traders, under composition for 2025-26, sees its aggregate turnover cross Rs. 1.5 crore on 12 January 2026. On 11 January 2026 it holds stock of Rs. 8,00,000 bought within the last year, on which suppliers charged GST of Rs. 1,44,000.</w:t>
            </w:r>
          </w:p>
          <w:p>
            <w:pPr>
              <w:spacing w:after="60" w:line="260"/>
            </w:pPr>
            <w:r>
              <w:rPr>
                <w:rFonts w:ascii="Verdana" w:cs="Verdana" w:eastAsia="Verdana" w:hAnsi="Verdana"/>
                <w:sz w:val="20"/>
                <w:szCs w:val="20"/>
              </w:rPr>
              <w:t xml:space="preserve">Step 1: The option lapses from 12 January 2026 (section 10(3)). Om Traders files CMP-04 within 7 days and issues tax invoices from that date.</w:t>
            </w:r>
          </w:p>
          <w:p>
            <w:pPr>
              <w:spacing w:after="60" w:line="260"/>
            </w:pPr>
            <w:r>
              <w:rPr>
                <w:rFonts w:ascii="Verdana" w:cs="Verdana" w:eastAsia="Verdana" w:hAnsi="Verdana"/>
                <w:sz w:val="20"/>
                <w:szCs w:val="20"/>
              </w:rPr>
              <w:t xml:space="preserve">Step 2: It files ITC-01 within 30 days and claims ITC of Rs. 1,44,000 on the stock.</w:t>
            </w:r>
          </w:p>
          <w:p>
            <w:pPr>
              <w:spacing w:after="60" w:line="260"/>
            </w:pPr>
            <w:r>
              <w:rPr>
                <w:rFonts w:ascii="Verdana" w:cs="Verdana" w:eastAsia="Verdana" w:hAnsi="Verdana"/>
                <w:sz w:val="20"/>
                <w:szCs w:val="20"/>
              </w:rPr>
              <w:t xml:space="preserve">Step 3: Composition tax is paid on supplies up to 11 January 2026, and regular tax from 12 January 2026.</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47: Quarterly tax under composition</w:t>
            </w:r>
          </w:p>
          <w:p>
            <w:pPr>
              <w:spacing w:after="60" w:line="260"/>
            </w:pPr>
            <w:r>
              <w:rPr>
                <w:rFonts w:ascii="Verdana" w:cs="Verdana" w:eastAsia="Verdana" w:hAnsi="Verdana"/>
                <w:sz w:val="20"/>
                <w:szCs w:val="20"/>
              </w:rPr>
              <w:t xml:space="preserve">Joshi Namkeen, a manufacturer under composition in Gujarat, has turnover of Rs. 30,00,000 in the quarter ending December 2025. It paid freight of Rs. 40,000 to a GTA that has not opted for forward charge.</w:t>
            </w:r>
          </w:p>
          <w:p>
            <w:pPr>
              <w:spacing w:after="60" w:line="260"/>
            </w:pPr>
            <w:r>
              <w:rPr>
                <w:rFonts w:ascii="Verdana" w:cs="Verdana" w:eastAsia="Verdana" w:hAnsi="Verdana"/>
                <w:sz w:val="20"/>
                <w:szCs w:val="20"/>
              </w:rPr>
              <w:t xml:space="preserve">Step 1: Composition tax at 1% of Rs. 30,00,000 = Rs. 30,000 (CGST Rs. 15,000 + SGST Rs. 15,000).</w:t>
            </w:r>
          </w:p>
          <w:p>
            <w:pPr>
              <w:spacing w:after="60" w:line="260"/>
            </w:pPr>
            <w:r>
              <w:rPr>
                <w:rFonts w:ascii="Verdana" w:cs="Verdana" w:eastAsia="Verdana" w:hAnsi="Verdana"/>
                <w:sz w:val="20"/>
                <w:szCs w:val="20"/>
              </w:rPr>
              <w:t xml:space="preserve">Step 2: Reverse charge on freight at 5% = Rs. 2,000 (CGST Rs. 1,000 + SGST Rs. 1,000). No ITC is available.</w:t>
            </w:r>
          </w:p>
          <w:p>
            <w:pPr>
              <w:spacing w:after="60" w:line="260"/>
            </w:pPr>
            <w:r>
              <w:rPr>
                <w:rFonts w:ascii="Verdana" w:cs="Verdana" w:eastAsia="Verdana" w:hAnsi="Verdana"/>
                <w:sz w:val="20"/>
                <w:szCs w:val="20"/>
              </w:rPr>
              <w:t xml:space="preserve">Result: Total tax in CMP-08 = Rs. 32,000, paid in cash by 18 January 2026.</w:t>
            </w:r>
          </w:p>
        </w:tc>
      </w:tr>
    </w:tbl>
    <w:p>
      <w:pPr>
        <w:spacing w:after="60"/>
      </w:pPr>
    </w:p>
    <w:p>
      <w:pPr>
        <w:pStyle w:val="Heading2"/>
        <w:keepNext/>
        <w:spacing w:after="120" w:before="240"/>
      </w:pPr>
      <w:r>
        <w:rPr>
          <w:rFonts w:ascii="Verdana" w:cs="Verdana" w:eastAsia="Verdana" w:hAnsi="Verdana"/>
        </w:rPr>
        <w:t xml:space="preserve">9.5 Composition or regular: worked comparisons</w:t>
      </w:r>
    </w:p>
    <w:p>
      <w:pPr>
        <w:spacing w:after="120" w:line="276"/>
        <w:jc w:val="both"/>
      </w:pPr>
      <w:r>
        <w:rPr>
          <w:rFonts w:ascii="Verdana" w:cs="Verdana" w:eastAsia="Verdana" w:hAnsi="Verdana"/>
        </w:rPr>
        <w:t xml:space="preserve">The scheme saves tax only where the tax on value added under the regular scheme exceeds the composition tax plus the ITC lost. It suits a business that sells to consumers at a good margin. It does not suit a business selling to registered buyers, who cannot take ITC on purchases from a composition supplier.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48: Trader selling to consumers</w:t>
            </w:r>
          </w:p>
          <w:p>
            <w:pPr>
              <w:spacing w:after="60" w:line="260"/>
            </w:pPr>
            <w:r>
              <w:rPr>
                <w:rFonts w:ascii="Verdana" w:cs="Verdana" w:eastAsia="Verdana" w:hAnsi="Verdana"/>
                <w:sz w:val="20"/>
                <w:szCs w:val="20"/>
              </w:rPr>
              <w:t xml:space="preserve">Mehta Kirana, Ahmedabad, buys goods for Rs. 80,00,000 plus GST at 18% (Rs. 14,40,000) in a year and sells to consumers at a total shelf price of Rs. 1,18,00,000, which is fixed by the market whichever scheme it chooses.</w:t>
            </w:r>
          </w:p>
          <w:p>
            <w:pPr>
              <w:spacing w:after="60" w:line="260"/>
            </w:pPr>
            <w:r>
              <w:rPr>
                <w:rFonts w:ascii="Verdana" w:cs="Verdana" w:eastAsia="Verdana" w:hAnsi="Verdana"/>
                <w:sz w:val="20"/>
                <w:szCs w:val="20"/>
              </w:rPr>
              <w:t xml:space="preserve">Regular scheme: Output tax included in shelf price = Rs. 1,18,00,000 x 18 / 118 = Rs. 18,00,000. Net sales = Rs. 1,00,00,000. ITC = Rs. 14,40,000; tax paid in cash = Rs. 3,60,000. Margin = Rs. 1,00,00,000 minus Rs. 80,00,000 = Rs. 20,00,000.</w:t>
            </w:r>
          </w:p>
          <w:p>
            <w:pPr>
              <w:spacing w:after="60" w:line="260"/>
            </w:pPr>
            <w:r>
              <w:rPr>
                <w:rFonts w:ascii="Verdana" w:cs="Verdana" w:eastAsia="Verdana" w:hAnsi="Verdana"/>
                <w:sz w:val="20"/>
                <w:szCs w:val="20"/>
              </w:rPr>
              <w:t xml:space="preserve">Composition: Sales = Rs. 1,18,00,000 (no tax collected). Cost of goods including GST = Rs. 94,40,000. Composition tax at 1% = Rs. 1,18,000. Margin = Rs. 1,18,00,000 minus Rs. 94,40,000 minus Rs. 1,18,000 = Rs. 22,42,000.</w:t>
            </w:r>
          </w:p>
          <w:p>
            <w:pPr>
              <w:spacing w:after="60" w:line="260"/>
            </w:pPr>
            <w:r>
              <w:rPr>
                <w:rFonts w:ascii="Verdana" w:cs="Verdana" w:eastAsia="Verdana" w:hAnsi="Verdana"/>
                <w:sz w:val="20"/>
                <w:szCs w:val="20"/>
              </w:rPr>
              <w:t xml:space="preserve">Result: Composition gives Rs. 2,42,000 more margin and far less compliance. If Mehta Kirana's buyers were registered businesses wanting ITC, it would lose them, and the comparison would change.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49: Small restaurant</w:t>
            </w:r>
          </w:p>
          <w:p>
            <w:pPr>
              <w:spacing w:after="60" w:line="260"/>
            </w:pPr>
            <w:r>
              <w:rPr>
                <w:rFonts w:ascii="Verdana" w:cs="Verdana" w:eastAsia="Verdana" w:hAnsi="Verdana"/>
                <w:sz w:val="20"/>
                <w:szCs w:val="20"/>
              </w:rPr>
              <w:t xml:space="preserve">Swad Restaurant, a standalone restaurant, expects customers to spend Rs. 63,00,000 a year. Restaurant service outside specified premises is taxed at 5% without ITC under the regular scheme.</w:t>
            </w:r>
          </w:p>
          <w:p>
            <w:pPr>
              <w:spacing w:after="60" w:line="260"/>
            </w:pPr>
            <w:r>
              <w:rPr>
                <w:rFonts w:ascii="Verdana" w:cs="Verdana" w:eastAsia="Verdana" w:hAnsi="Verdana"/>
                <w:sz w:val="20"/>
                <w:szCs w:val="20"/>
              </w:rPr>
              <w:t xml:space="preserve">Regular scheme: Menu price plus 5% GST. Revenue to the restaurant = Rs. 63,00,000 x 100 / 105 = Rs. 60,00,000; GST collected and paid = Rs. 3,00,000. No ITC.</w:t>
            </w:r>
          </w:p>
          <w:p>
            <w:pPr>
              <w:spacing w:after="60" w:line="260"/>
            </w:pPr>
            <w:r>
              <w:rPr>
                <w:rFonts w:ascii="Verdana" w:cs="Verdana" w:eastAsia="Verdana" w:hAnsi="Verdana"/>
                <w:sz w:val="20"/>
                <w:szCs w:val="20"/>
              </w:rPr>
              <w:t xml:space="preserve">Composition: GST cannot be charged, so menu prices are set to include it. Composition tax at 5% of Rs. 63,00,000 = Rs. 3,15,000. Revenue retained = Rs. 59,85,000.</w:t>
            </w:r>
          </w:p>
          <w:p>
            <w:pPr>
              <w:spacing w:after="60" w:line="260"/>
            </w:pPr>
            <w:r>
              <w:rPr>
                <w:rFonts w:ascii="Verdana" w:cs="Verdana" w:eastAsia="Verdana" w:hAnsi="Verdana"/>
                <w:sz w:val="20"/>
                <w:szCs w:val="20"/>
              </w:rPr>
              <w:t xml:space="preserve">Result: Composition costs Rs. 15,000 more a year, since the 5% applies to the tax-inclusive amount, and ITC is unavailable either way. Its only advantage is simpler compliance (CMP-08 and GSTR-4 instead of monthly GSTR-1 and GSTR-3B), which the owner should weigh against the extra cost.</w:t>
            </w:r>
          </w:p>
        </w:tc>
      </w:tr>
    </w:tbl>
    <w:p>
      <w:pPr>
        <w:spacing w:after="60"/>
      </w:pPr>
    </w:p>
    <w:p>
      <w:pPr>
        <w:pStyle w:val="Heading2"/>
        <w:keepNext/>
        <w:spacing w:after="120" w:before="240"/>
      </w:pPr>
      <w:r>
        <w:rPr>
          <w:rFonts w:ascii="Verdana" w:cs="Verdana" w:eastAsia="Verdana" w:hAnsi="Verdana"/>
        </w:rPr>
        <w:t xml:space="preserve">9.6 Common mistakes</w:t>
      </w:r>
    </w:p>
    <w:p>
      <w:pPr>
        <w:pStyle w:val="ListParagraph"/>
        <w:numPr>
          <w:ilvl w:val="0"/>
          <w:numId w:val="2"/>
        </w:numPr>
        <w:spacing w:after="60" w:line="264"/>
      </w:pPr>
      <w:r>
        <w:rPr>
          <w:rFonts w:ascii="Verdana" w:cs="Verdana" w:eastAsia="Verdana" w:hAnsi="Verdana"/>
        </w:rPr>
        <w:t xml:space="preserve">Treating each GSTIN separately for the Rs. 1.5 crore limit; the test is aggregate turnover under the PAN.</w:t>
      </w:r>
    </w:p>
    <w:p>
      <w:pPr>
        <w:pStyle w:val="ListParagraph"/>
        <w:numPr>
          <w:ilvl w:val="0"/>
          <w:numId w:val="2"/>
        </w:numPr>
        <w:spacing w:after="60" w:line="264"/>
      </w:pPr>
      <w:r>
        <w:rPr>
          <w:rFonts w:ascii="Verdana" w:cs="Verdana" w:eastAsia="Verdana" w:hAnsi="Verdana"/>
        </w:rPr>
        <w:t xml:space="preserve">Making even one inter-State sale, which breaks eligibility from that date.</w:t>
      </w:r>
    </w:p>
    <w:p>
      <w:pPr>
        <w:pStyle w:val="ListParagraph"/>
        <w:numPr>
          <w:ilvl w:val="0"/>
          <w:numId w:val="2"/>
        </w:numPr>
        <w:spacing w:after="60" w:line="264"/>
      </w:pPr>
      <w:r>
        <w:rPr>
          <w:rFonts w:ascii="Verdana" w:cs="Verdana" w:eastAsia="Verdana" w:hAnsi="Verdana"/>
        </w:rPr>
        <w:t xml:space="preserve">Issuing a tax invoice or showing GST on the bill; tax collected must be paid over and the option can be cancelled.</w:t>
      </w:r>
    </w:p>
    <w:p>
      <w:pPr>
        <w:pStyle w:val="ListParagraph"/>
        <w:numPr>
          <w:ilvl w:val="0"/>
          <w:numId w:val="2"/>
        </w:numPr>
        <w:spacing w:after="60" w:line="264"/>
      </w:pPr>
      <w:r>
        <w:rPr>
          <w:rFonts w:ascii="Verdana" w:cs="Verdana" w:eastAsia="Verdana" w:hAnsi="Verdana"/>
        </w:rPr>
        <w:t xml:space="preserve">Forgetting reverse charge liability on GTA freight and legal fees, which composition taxpayers pay at the normal rates. (Since January 2025, composition taxpayers are not liable under reverse charge on commercial rent paid to unregistered landlords.)</w:t>
      </w:r>
    </w:p>
    <w:p>
      <w:pPr>
        <w:pStyle w:val="ListParagraph"/>
        <w:numPr>
          <w:ilvl w:val="0"/>
          <w:numId w:val="2"/>
        </w:numPr>
        <w:spacing w:after="60" w:line="264"/>
      </w:pPr>
      <w:r>
        <w:rPr>
          <w:rFonts w:ascii="Verdana" w:cs="Verdana" w:eastAsia="Verdana" w:hAnsi="Verdana"/>
        </w:rPr>
        <w:t xml:space="preserve">Not filing ITC-03 on opting in, or ITC-01 within 30 days on opting out, and losing the credit.</w:t>
      </w:r>
    </w:p>
    <w:p>
      <w:pPr>
        <w:pStyle w:val="ListParagraph"/>
        <w:numPr>
          <w:ilvl w:val="0"/>
          <w:numId w:val="2"/>
        </w:numPr>
        <w:spacing w:after="60" w:line="264"/>
      </w:pPr>
      <w:r>
        <w:rPr>
          <w:rFonts w:ascii="Verdana" w:cs="Verdana" w:eastAsia="Verdana" w:hAnsi="Verdana"/>
        </w:rPr>
        <w:t xml:space="preserve">Assuming the scheme is cheaper: for restaurants and for businesses with B2B customers it often is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Section 10(1): goods suppliers and restaurants with turnover up to Rs. 1.5 crore (Rs. 75 lakh in some States); rates 1% for manufacturers and traders, 5% for restaurants.</w:t>
            </w:r>
          </w:p>
          <w:p>
            <w:pPr>
              <w:spacing w:after="60" w:line="260"/>
            </w:pPr>
            <w:r>
              <w:rPr>
                <w:rFonts w:ascii="Verdana" w:cs="Verdana" w:eastAsia="Verdana" w:hAnsi="Verdana"/>
                <w:sz w:val="20"/>
                <w:szCs w:val="20"/>
              </w:rPr>
              <w:t xml:space="preserve">•  Section 10(2A): service providers with turnover up to Rs. 50 lakh at 6%.</w:t>
            </w:r>
          </w:p>
          <w:p>
            <w:pPr>
              <w:spacing w:after="60" w:line="260"/>
            </w:pPr>
            <w:r>
              <w:rPr>
                <w:rFonts w:ascii="Verdana" w:cs="Verdana" w:eastAsia="Verdana" w:hAnsi="Verdana"/>
                <w:sz w:val="20"/>
                <w:szCs w:val="20"/>
              </w:rPr>
              <w:t xml:space="preserve">•  No ITC, no tax collection, no inter-State outward supply, no services through e-commerce operators; bill of supply and signboard mandatory.</w:t>
            </w:r>
          </w:p>
          <w:p>
            <w:pPr>
              <w:spacing w:after="60" w:line="260"/>
            </w:pPr>
            <w:r>
              <w:rPr>
                <w:rFonts w:ascii="Verdana" w:cs="Verdana" w:eastAsia="Verdana" w:hAnsi="Verdana"/>
                <w:sz w:val="20"/>
                <w:szCs w:val="20"/>
              </w:rPr>
              <w:t xml:space="preserve">•  CMP-02 to opt in, CMP-08 quarterly by the 18th, GSTR-4 by 30 June, CMP-04 to withdraw.</w:t>
            </w:r>
          </w:p>
          <w:p>
            <w:pPr>
              <w:spacing w:after="60" w:line="260"/>
            </w:pPr>
            <w:r>
              <w:rPr>
                <w:rFonts w:ascii="Verdana" w:cs="Verdana" w:eastAsia="Verdana" w:hAnsi="Verdana"/>
                <w:sz w:val="20"/>
                <w:szCs w:val="20"/>
              </w:rPr>
              <w:t xml:space="preserve">•  Opting in requires reversal of ITC on stock and capital goods; opting out allows ITC on stock through ITC-01.</w:t>
            </w:r>
          </w:p>
          <w:p>
            <w:pPr>
              <w:spacing w:after="60" w:line="260"/>
            </w:pPr>
            <w:r>
              <w:rPr>
                <w:rFonts w:ascii="Verdana" w:cs="Verdana" w:eastAsia="Verdana" w:hAnsi="Verdana"/>
                <w:sz w:val="20"/>
                <w:szCs w:val="20"/>
              </w:rPr>
              <w:t xml:space="preserve">•  Composition suits B2C traders with good margins; it often costs more for restaurants and loses B2B customers.</w:t>
            </w:r>
          </w:p>
        </w:tc>
      </w:tr>
    </w:tbl>
    <w:p>
      <w:pPr>
        <w:pStyle w:val="TocPart"/>
        <w:pageBreakBefore/>
        <w:shd w:fill="92400E" w:color="auto" w:val="clear"/>
        <w:spacing w:after="0" w:before="0"/>
        <w:ind w:left="0"/>
      </w:pPr>
      <w:r>
        <w:rPr>
          <w:rFonts w:ascii="Verdana" w:cs="Verdana" w:eastAsia="Verdana" w:hAnsi="Verdana"/>
          <w:b/>
          <w:bCs/>
          <w:color w:val="FFFFFF"/>
          <w:sz w:val="26"/>
          <w:szCs w:val="26"/>
        </w:rPr>
        <w:t xml:space="preserve">  PART C: TIME, VALUE AND PLACE OF SUPPLY</w:t>
      </w:r>
    </w:p>
    <w:p>
      <w:pPr>
        <w:shd w:fill="F6E8D2" w:color="auto" w:val="clear"/>
        <w:spacing w:after="200"/>
      </w:pPr>
      <w:r>
        <w:rPr>
          <w:rFonts w:ascii="Verdana" w:cs="Verdana" w:eastAsia="Verdana" w:hAnsi="Verdana"/>
          <w:i/>
          <w:iCs/>
          <w:color w:val="92400E"/>
          <w:sz w:val="20"/>
          <w:szCs w:val="20"/>
        </w:rPr>
        <w:t xml:space="preserve">  When tax is payable, on what amount, and which Government collects it</w:t>
      </w:r>
    </w:p>
    <w:p>
      <w:pPr>
        <w:spacing w:after="240" w:line="276"/>
        <w:jc w:val="both"/>
      </w:pPr>
      <w:r>
        <w:rPr>
          <w:rFonts w:ascii="Verdana" w:cs="Verdana" w:eastAsia="Verdana" w:hAnsi="Verdana"/>
          <w:i/>
          <w:iCs/>
          <w:color w:val="404040"/>
          <w:sz w:val="21"/>
          <w:szCs w:val="21"/>
        </w:rPr>
        <w:t xml:space="preserve">Every taxable supply raises three questions: when does the liability arise, on what amount is tax charged, and is the supply intra-State or inter-State. This Part answers them in that order, and then applies the place of supply rules to imports, exports, supplies to SEZs and deemed exports.</w:t>
      </w:r>
    </w:p>
    <w:p>
      <w:pPr>
        <w:pStyle w:val="Heading1"/>
        <w:spacing w:after="200" w:before="120"/>
      </w:pPr>
      <w:r>
        <w:rPr>
          <w:rFonts w:ascii="Verdana" w:cs="Verdana" w:eastAsia="Verdana" w:hAnsi="Verdana"/>
        </w:rPr>
        <w:t xml:space="preserve">10. Time of Supply (Sections 12, 13 and 14)</w:t>
      </w:r>
    </w:p>
    <w:p>
      <w:pPr>
        <w:spacing w:after="120" w:line="276"/>
        <w:jc w:val="both"/>
      </w:pPr>
      <w:r>
        <w:rPr>
          <w:rFonts w:ascii="Verdana" w:cs="Verdana" w:eastAsia="Verdana" w:hAnsi="Verdana"/>
        </w:rPr>
        <w:t xml:space="preserve">Section 9 of the CGST Act levies tax on supplies but does not say when the tax becomes payable. Sections 12 and 13 fix the "time of supply" for goods and services, and section 14 decides the rate when the rate changes around a supply. The liability to pay tax arises at the time of supply. That date decides the tax period in which the supply is reported, the rate where rates change, the exchange rate under rule 34, and the start of interest under section 50 if tax is paid late.</w:t>
      </w:r>
    </w:p>
    <w:p>
      <w:pPr>
        <w:spacing w:after="120" w:line="276"/>
        <w:jc w:val="both"/>
      </w:pPr>
      <w:r>
        <w:rPr>
          <w:rFonts w:ascii="Verdana" w:cs="Verdana" w:eastAsia="Verdana" w:hAnsi="Verdana"/>
        </w:rPr>
        <w:t xml:space="preserve">Time of supply is linked to, but separate from, the time limit for issuing an invoice under section 31. The invoice date (or the last date for issuing it) is one of the events that fixes the time of supply. A late invoice does not move the time of supply to a later date.</w:t>
      </w:r>
    </w:p>
    <w:p>
      <w:pPr>
        <w:pStyle w:val="Heading2"/>
        <w:keepNext/>
        <w:spacing w:after="120" w:before="240"/>
      </w:pPr>
      <w:r>
        <w:rPr>
          <w:rFonts w:ascii="Verdana" w:cs="Verdana" w:eastAsia="Verdana" w:hAnsi="Verdana"/>
        </w:rPr>
        <w:t xml:space="preserve">10.1 Goods under forward charge</w:t>
      </w:r>
    </w:p>
    <w:p>
      <w:pPr>
        <w:spacing w:after="120" w:line="276"/>
        <w:jc w:val="both"/>
      </w:pPr>
      <w:r>
        <w:rPr>
          <w:rFonts w:ascii="Verdana" w:cs="Verdana" w:eastAsia="Verdana" w:hAnsi="Verdana"/>
        </w:rPr>
        <w:t xml:space="preserve">Under section 12(2), the time of supply of goods is the earlier of: (a) the date of issue of invoice, or the last date by which the invoice ought to have been issued under section 31(1); and (b) the date of receipt of payment. Section 31(1) requires the invoice before or at the time of removal of goods (where the supply involves movement) or delivery (in other cases).</w:t>
      </w:r>
    </w:p>
    <w:p>
      <w:pPr>
        <w:spacing w:after="120" w:line="276"/>
        <w:jc w:val="both"/>
      </w:pPr>
      <w:r>
        <w:rPr>
          <w:rFonts w:ascii="Verdana" w:cs="Verdana" w:eastAsia="Verdana" w:hAnsi="Verdana"/>
        </w:rPr>
        <w:t xml:space="preserve">Clause (b) no longer bites for most taxpayers. By Notification 66/2017-Central Tax dated 15 November 2017, all registered persons other than composition taxpayers pay tax on goods at the time of issue of invoice. So advances received for goods are not taxed on receipt. For goods sent on approval or sale-or-return, section 31(7) allows the invoice before or at the time of supply, or six months from removal, whichever is earlier.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50: Invoice issued after removal of goods</w:t>
            </w:r>
          </w:p>
          <w:p>
            <w:pPr>
              <w:spacing w:after="60" w:line="260"/>
            </w:pPr>
            <w:r>
              <w:rPr>
                <w:rFonts w:ascii="Verdana" w:cs="Verdana" w:eastAsia="Verdana" w:hAnsi="Verdana"/>
                <w:sz w:val="20"/>
                <w:szCs w:val="20"/>
              </w:rPr>
              <w:t xml:space="preserve">Sharma Textiles Pvt. Ltd., Surat, removes fabric worth Rs. 6,00,000 (5%) on 28 March 2026, having received an advance of Rs. 2,00,000 on 10 March 2026. The invoice is raised on 2 April 2026.</w:t>
            </w:r>
          </w:p>
          <w:p>
            <w:pPr>
              <w:spacing w:after="60" w:line="260"/>
            </w:pPr>
            <w:r>
              <w:rPr>
                <w:rFonts w:ascii="Verdana" w:cs="Verdana" w:eastAsia="Verdana" w:hAnsi="Verdana"/>
                <w:sz w:val="20"/>
                <w:szCs w:val="20"/>
              </w:rPr>
              <w:t xml:space="preserve">Step 1: The advance on 10 March 2026 is not taxed (Notification 66/2017-Central Tax).</w:t>
            </w:r>
          </w:p>
          <w:p>
            <w:pPr>
              <w:spacing w:after="60" w:line="260"/>
            </w:pPr>
            <w:r>
              <w:rPr>
                <w:rFonts w:ascii="Verdana" w:cs="Verdana" w:eastAsia="Verdana" w:hAnsi="Verdana"/>
                <w:sz w:val="20"/>
                <w:szCs w:val="20"/>
              </w:rPr>
              <w:t xml:space="preserve">Step 2: The last date for issuing the invoice was the date of removal, 28 March 2026. Time of supply is 28 March 2026, not 2 April 2026.</w:t>
            </w:r>
          </w:p>
          <w:p>
            <w:pPr>
              <w:spacing w:after="60" w:line="260"/>
            </w:pPr>
            <w:r>
              <w:rPr>
                <w:rFonts w:ascii="Verdana" w:cs="Verdana" w:eastAsia="Verdana" w:hAnsi="Verdana"/>
                <w:sz w:val="20"/>
                <w:szCs w:val="20"/>
              </w:rPr>
              <w:t xml:space="preserve">Step 3: Tax of Rs. 30,000 (CGST Rs. 15,000 + SGST Rs. 15,000) belongs to March 2026. If reported in April, interest under section 50 runs from 21 April 2026.</w:t>
            </w:r>
          </w:p>
        </w:tc>
      </w:tr>
    </w:tbl>
    <w:p>
      <w:pPr>
        <w:spacing w:after="60"/>
      </w:pPr>
    </w:p>
    <w:p>
      <w:pPr>
        <w:pStyle w:val="Heading2"/>
        <w:keepNext/>
        <w:spacing w:after="120" w:before="240"/>
      </w:pPr>
      <w:r>
        <w:rPr>
          <w:rFonts w:ascii="Verdana" w:cs="Verdana" w:eastAsia="Verdana" w:hAnsi="Verdana"/>
        </w:rPr>
        <w:t xml:space="preserve">10.2 Services under forward charge</w:t>
      </w:r>
    </w:p>
    <w:p>
      <w:pPr>
        <w:spacing w:after="120" w:line="276"/>
        <w:jc w:val="both"/>
      </w:pPr>
      <w:r>
        <w:rPr>
          <w:rFonts w:ascii="Verdana" w:cs="Verdana" w:eastAsia="Verdana" w:hAnsi="Verdana"/>
        </w:rPr>
        <w:t xml:space="preserve">Section 13(2) gives three situations: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16"/>
        <w:gridCol w:w="5422"/>
      </w:tblGrid>
      <w:tr>
        <w:trPr>
          <w:cantSplit/>
          <w:tblHeader/>
        </w:trPr>
        <w:tc>
          <w:tcPr>
            <w:tcW w:type="dxa" w:w="421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Situation</w:t>
            </w:r>
          </w:p>
        </w:tc>
        <w:tc>
          <w:tcPr>
            <w:tcW w:type="dxa" w:w="542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Time of supply</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Invoice issued within the period prescribed under section 31(2)</w:t>
            </w:r>
          </w:p>
        </w:tc>
        <w:tc>
          <w:tcPr>
            <w:tcW w:type="dxa" w:w="54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Earlier of date of invoice and date of receipt of payment</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Invoice not issued within the prescribed period</w:t>
            </w:r>
          </w:p>
        </w:tc>
        <w:tc>
          <w:tcPr>
            <w:tcW w:type="dxa" w:w="54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Earlier of date of provision of service and date of receipt of payment</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Neither applies</w:t>
            </w:r>
          </w:p>
        </w:tc>
        <w:tc>
          <w:tcPr>
            <w:tcW w:type="dxa" w:w="54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Date on which the recipient shows receipt of services in its books</w:t>
            </w:r>
          </w:p>
        </w:tc>
      </w:tr>
    </w:tbl>
    <w:p>
      <w:pPr>
        <w:spacing w:after="60"/>
      </w:pPr>
    </w:p>
    <w:p>
      <w:pPr>
        <w:spacing w:after="120" w:line="276"/>
        <w:jc w:val="both"/>
      </w:pPr>
      <w:r>
        <w:rPr>
          <w:rFonts w:ascii="Verdana" w:cs="Verdana" w:eastAsia="Verdana" w:hAnsi="Verdana"/>
        </w:rPr>
        <w:t xml:space="preserve">Rule 47 of the CGST Rules prescribes 30 days from the date of supply of service for issuing the invoice, and 45 days for an insurer, banking company or financial institution including an NBFC. The date of receipt of payment is the earlier of the date of entry in the supplier's books and the date of credit in its bank account.</w:t>
      </w:r>
    </w:p>
    <w:p>
      <w:pPr>
        <w:spacing w:after="120" w:line="276"/>
        <w:jc w:val="both"/>
      </w:pPr>
      <w:r>
        <w:rPr>
          <w:rFonts w:ascii="Verdana" w:cs="Verdana" w:eastAsia="Verdana" w:hAnsi="Verdana"/>
        </w:rPr>
        <w:t xml:space="preserve">Advances for services are taxable on receipt. The supplier issues a receipt voucher (section 31(3)(d)) and pays tax in that month. If the rate is not known, rule 50 requires tax at 18%, and if the nature of supply is not known, it is treated as inter-State. Under the first proviso to section 13(2), where the supplier receives up to Rs. 1,000 more than the invoice amount, he may treat the date of the next invoice for that excess as its time of supply.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51: Thirty-day rule and advance for services</w:t>
            </w:r>
          </w:p>
          <w:p>
            <w:pPr>
              <w:spacing w:after="60" w:line="260"/>
            </w:pPr>
            <w:r>
              <w:rPr>
                <w:rFonts w:ascii="Verdana" w:cs="Verdana" w:eastAsia="Verdana" w:hAnsi="Verdana"/>
                <w:sz w:val="20"/>
                <w:szCs w:val="20"/>
              </w:rPr>
              <w:t xml:space="preserve">Kavya and Associates, Pune, receives Rs. 1,18,000 (inclusive of 18% GST) on 15 May 2026 as an advance for a system audit, completes the audit on 10 June 2026 and raises the final invoice for Rs. 3,00,000 plus tax.</w:t>
            </w:r>
          </w:p>
          <w:p>
            <w:pPr>
              <w:spacing w:after="60" w:line="260"/>
            </w:pPr>
            <w:r>
              <w:rPr>
                <w:rFonts w:ascii="Verdana" w:cs="Verdana" w:eastAsia="Verdana" w:hAnsi="Verdana"/>
                <w:sz w:val="20"/>
                <w:szCs w:val="20"/>
              </w:rPr>
              <w:t xml:space="preserve">Step 1: Tax on the advance = Rs. 1,18,000 x 18/118 = Rs. 18,000, payable in May 2026.</w:t>
            </w:r>
          </w:p>
          <w:p>
            <w:pPr>
              <w:spacing w:after="60" w:line="260"/>
            </w:pPr>
            <w:r>
              <w:rPr>
                <w:rFonts w:ascii="Verdana" w:cs="Verdana" w:eastAsia="Verdana" w:hAnsi="Verdana"/>
                <w:sz w:val="20"/>
                <w:szCs w:val="20"/>
              </w:rPr>
              <w:t xml:space="preserve">Step 2 (invoice on 25 June 2026, within 30 days): time of supply for the balance is 25 June 2026. Balance tax = Rs. 54,000 minus Rs. 18,000 = Rs. 36,000, payable in June 2026.</w:t>
            </w:r>
          </w:p>
          <w:p>
            <w:pPr>
              <w:spacing w:after="60" w:line="260"/>
            </w:pPr>
            <w:r>
              <w:rPr>
                <w:rFonts w:ascii="Verdana" w:cs="Verdana" w:eastAsia="Verdana" w:hAnsi="Verdana"/>
                <w:sz w:val="20"/>
                <w:szCs w:val="20"/>
              </w:rPr>
              <w:t xml:space="preserve">Step 3 (invoice on 20 July 2026, after 30 days, balance paid on 5 August 2026): time of supply is the earlier of the date of provision (10 June 2026) and the date of payment, so the balance tax still belongs to June 2026.</w:t>
            </w:r>
          </w:p>
        </w:tc>
      </w:tr>
    </w:tbl>
    <w:p>
      <w:pPr>
        <w:spacing w:after="60"/>
      </w:pPr>
    </w:p>
    <w:p>
      <w:pPr>
        <w:pStyle w:val="Heading2"/>
        <w:keepNext/>
        <w:spacing w:after="120" w:before="240"/>
      </w:pPr>
      <w:r>
        <w:rPr>
          <w:rFonts w:ascii="Verdana" w:cs="Verdana" w:eastAsia="Verdana" w:hAnsi="Verdana"/>
        </w:rPr>
        <w:t xml:space="preserve">10.3 Continuous supply of goods and services</w:t>
      </w:r>
    </w:p>
    <w:p>
      <w:pPr>
        <w:spacing w:after="120" w:line="276"/>
        <w:jc w:val="both"/>
      </w:pPr>
      <w:r>
        <w:rPr>
          <w:rFonts w:ascii="Verdana" w:cs="Verdana" w:eastAsia="Verdana" w:hAnsi="Verdana"/>
        </w:rPr>
        <w:t xml:space="preserve">Section 2(32) defines continuous supply of goods as goods supplied continuously or on a recurrent basis under a contract, through a wire, cable, pipeline or otherwise, with regular or periodic invoicing. Section 2(33) defines continuous supply of services as services supplied continuously or on a recurrent basis under a contract for more than three months with periodic payment obligations. For these, the invoice, and so the time of supply, is fixed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9"/>
        <w:gridCol w:w="4619"/>
      </w:tblGrid>
      <w:tr>
        <w:trPr>
          <w:cantSplit/>
          <w:tblHeader/>
        </w:trPr>
        <w:tc>
          <w:tcPr>
            <w:tcW w:type="dxa" w:w="501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Type of continuous supply</w:t>
            </w:r>
          </w:p>
        </w:tc>
        <w:tc>
          <w:tcPr>
            <w:tcW w:type="dxa" w:w="461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Invoice to be issued</w:t>
            </w:r>
          </w:p>
        </w:tc>
      </w:tr>
      <w:tr>
        <w:trPr>
          <w:cantSplit/>
        </w:trPr>
        <w:tc>
          <w:tcPr>
            <w:tcW w:type="dxa" w:w="50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with successive statements or payments (section 31(4))</w:t>
            </w:r>
          </w:p>
        </w:tc>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 or at the time each statement is issued or payment received</w:t>
            </w:r>
          </w:p>
        </w:tc>
      </w:tr>
      <w:tr>
        <w:trPr>
          <w:cantSplit/>
        </w:trPr>
        <w:tc>
          <w:tcPr>
            <w:tcW w:type="dxa" w:w="50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Services, due date ascertainable from contract (section 31(5)(a))</w:t>
            </w:r>
          </w:p>
        </w:tc>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 or before the due date of payment</w:t>
            </w:r>
          </w:p>
        </w:tc>
      </w:tr>
      <w:tr>
        <w:trPr>
          <w:cantSplit/>
        </w:trPr>
        <w:tc>
          <w:tcPr>
            <w:tcW w:type="dxa" w:w="50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Services, due date not ascertainable (section 31(5)(b))</w:t>
            </w:r>
          </w:p>
        </w:tc>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 or at the time of receipt of payment</w:t>
            </w:r>
          </w:p>
        </w:tc>
      </w:tr>
      <w:tr>
        <w:trPr>
          <w:cantSplit/>
        </w:trPr>
        <w:tc>
          <w:tcPr>
            <w:tcW w:type="dxa" w:w="50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Services, payment linked to an event (section 31(5)(c))</w:t>
            </w:r>
          </w:p>
        </w:tc>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 or before the date of completion of the event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52: Facility management contract</w:t>
            </w:r>
          </w:p>
          <w:p>
            <w:pPr>
              <w:spacing w:after="60" w:line="260"/>
            </w:pPr>
            <w:r>
              <w:rPr>
                <w:rFonts w:ascii="Verdana" w:cs="Verdana" w:eastAsia="Verdana" w:hAnsi="Verdana"/>
                <w:sz w:val="20"/>
                <w:szCs w:val="20"/>
              </w:rPr>
              <w:t xml:space="preserve">Shree Facility Services has a 12-month contract from 1 April 2026 with a hospital in Vadodara. The fee is Rs. 3,00,000 per quarter plus 18% GST, payable by the 10th day after each quarter.</w:t>
            </w:r>
          </w:p>
          <w:p>
            <w:pPr>
              <w:spacing w:after="60" w:line="260"/>
            </w:pPr>
            <w:r>
              <w:rPr>
                <w:rFonts w:ascii="Verdana" w:cs="Verdana" w:eastAsia="Verdana" w:hAnsi="Verdana"/>
                <w:sz w:val="20"/>
                <w:szCs w:val="20"/>
              </w:rPr>
              <w:t xml:space="preserve">Step 1: For the first quarter the due date is 10 July 2026, so the invoice must be issued by 10 July 2026.</w:t>
            </w:r>
          </w:p>
          <w:p>
            <w:pPr>
              <w:spacing w:after="60" w:line="260"/>
            </w:pPr>
            <w:r>
              <w:rPr>
                <w:rFonts w:ascii="Verdana" w:cs="Verdana" w:eastAsia="Verdana" w:hAnsi="Verdana"/>
                <w:sz w:val="20"/>
                <w:szCs w:val="20"/>
              </w:rPr>
              <w:t xml:space="preserve">Step 2: Invoice on 8 July 2026, payment on 18 July 2026: time of supply is 8 July 2026. Tax of Rs. 54,000 (CGST Rs. 27,000 + SGST Rs. 27,000) belongs to July 2026.</w:t>
            </w:r>
          </w:p>
        </w:tc>
      </w:tr>
    </w:tbl>
    <w:p>
      <w:pPr>
        <w:spacing w:after="60"/>
      </w:pPr>
    </w:p>
    <w:p>
      <w:pPr>
        <w:pStyle w:val="Heading2"/>
        <w:keepNext/>
        <w:spacing w:after="120" w:before="240"/>
      </w:pPr>
      <w:r>
        <w:rPr>
          <w:rFonts w:ascii="Verdana" w:cs="Verdana" w:eastAsia="Verdana" w:hAnsi="Verdana"/>
        </w:rPr>
        <w:t xml:space="preserve">10.4 Reverse charge supplies</w:t>
      </w:r>
    </w:p>
    <w:p>
      <w:pPr>
        <w:spacing w:after="120" w:line="276"/>
        <w:jc w:val="both"/>
      </w:pPr>
      <w:r>
        <w:rPr>
          <w:rFonts w:ascii="Verdana" w:cs="Verdana" w:eastAsia="Verdana" w:hAnsi="Verdana"/>
        </w:rPr>
        <w:t xml:space="preserve">Under reverse charge the recipient pays tax, so the law uses dates within the recipient's knowledge, with an outer limit tied to the supplier's invoice.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5"/>
        <w:gridCol w:w="5623"/>
      </w:tblGrid>
      <w:tr>
        <w:trPr>
          <w:cantSplit/>
          <w:tblHeader/>
        </w:trPr>
        <w:tc>
          <w:tcPr>
            <w:tcW w:type="dxa" w:w="401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Supply</w:t>
            </w:r>
          </w:p>
        </w:tc>
        <w:tc>
          <w:tcPr>
            <w:tcW w:type="dxa" w:w="562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Time of supply</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(section 12(3))</w:t>
            </w:r>
          </w:p>
        </w:tc>
        <w:tc>
          <w:tcPr>
            <w:tcW w:type="dxa" w:w="56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Earliest of receipt of goods, payment, and the date immediately after 30 days from the supplier's invoice</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Services (section 13(3))</w:t>
            </w:r>
          </w:p>
        </w:tc>
        <w:tc>
          <w:tcPr>
            <w:tcW w:type="dxa" w:w="56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Earlier of payment and the date immediately after 60 days from the supplier's invoice</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Services from an associated enterprise outside India (proviso to section 13(3))</w:t>
            </w:r>
          </w:p>
        </w:tc>
        <w:tc>
          <w:tcPr>
            <w:tcW w:type="dxa" w:w="56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Earlier of entry in the recipient's books and payment</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None of the above determinable</w:t>
            </w:r>
          </w:p>
        </w:tc>
        <w:tc>
          <w:tcPr>
            <w:tcW w:type="dxa" w:w="56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Date of entry in the recipient's books</w:t>
            </w:r>
          </w:p>
        </w:tc>
      </w:tr>
    </w:tbl>
    <w:p>
      <w:pPr>
        <w:spacing w:after="60"/>
      </w:pPr>
    </w:p>
    <w:p>
      <w:pPr>
        <w:spacing w:after="120" w:line="276"/>
        <w:jc w:val="both"/>
      </w:pPr>
      <w:r>
        <w:rPr>
          <w:rFonts w:ascii="Verdana" w:cs="Verdana" w:eastAsia="Verdana" w:hAnsi="Verdana"/>
        </w:rPr>
        <w:t xml:space="preserve">Where the supplier is unregistered, the recipient issues a self-invoice, which rule 47A (from 1 November 2024) requires within 30 days of receipt of the supply. Reverse charge tax must be paid in cash; the credit can be taken in the same return.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53: Reverse charge on legal services</w:t>
            </w:r>
          </w:p>
          <w:p>
            <w:pPr>
              <w:spacing w:after="60" w:line="260"/>
            </w:pPr>
            <w:r>
              <w:rPr>
                <w:rFonts w:ascii="Verdana" w:cs="Verdana" w:eastAsia="Verdana" w:hAnsi="Verdana"/>
                <w:sz w:val="20"/>
                <w:szCs w:val="20"/>
              </w:rPr>
              <w:t xml:space="preserve">Patel Engineering Pvt. Ltd. receives legal services from an individual advocate (reverse charge). The bill for Rs. 1,50,000 is dated 1 February 2026 and is paid on 15 April 2026.</w:t>
            </w:r>
          </w:p>
          <w:p>
            <w:pPr>
              <w:spacing w:after="60" w:line="260"/>
            </w:pPr>
            <w:r>
              <w:rPr>
                <w:rFonts w:ascii="Verdana" w:cs="Verdana" w:eastAsia="Verdana" w:hAnsi="Verdana"/>
                <w:sz w:val="20"/>
                <w:szCs w:val="20"/>
              </w:rPr>
              <w:t xml:space="preserve">Step 1: Sixty days from 1 February 2026 end on 2 April 2026 (February 2026 has 28 days); the date immediately after is 3 April 2026.</w:t>
            </w:r>
          </w:p>
          <w:p>
            <w:pPr>
              <w:spacing w:after="60" w:line="260"/>
            </w:pPr>
            <w:r>
              <w:rPr>
                <w:rFonts w:ascii="Verdana" w:cs="Verdana" w:eastAsia="Verdana" w:hAnsi="Verdana"/>
                <w:sz w:val="20"/>
                <w:szCs w:val="20"/>
              </w:rPr>
              <w:t xml:space="preserve">Step 2: Time of supply is the earlier of 3 April 2026 and 15 April 2026, that is 3 April 2026. Tax of Rs. 27,000 (CGST Rs. 13,500 + SGST Rs. 13,500) is paid in the April 2026 return.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54: Import of services from an associated enterprise</w:t>
            </w:r>
          </w:p>
          <w:p>
            <w:pPr>
              <w:spacing w:after="60" w:line="260"/>
            </w:pPr>
            <w:r>
              <w:rPr>
                <w:rFonts w:ascii="Verdana" w:cs="Verdana" w:eastAsia="Verdana" w:hAnsi="Verdana"/>
                <w:sz w:val="20"/>
                <w:szCs w:val="20"/>
              </w:rPr>
              <w:t xml:space="preserve">Zenith India Pvt. Ltd. books a management fee of USD 50,000 from its US parent on 31 March 2026 and pays on 20 June 2026.</w:t>
            </w:r>
          </w:p>
          <w:p>
            <w:pPr>
              <w:spacing w:after="60" w:line="260"/>
            </w:pPr>
            <w:r>
              <w:rPr>
                <w:rFonts w:ascii="Verdana" w:cs="Verdana" w:eastAsia="Verdana" w:hAnsi="Verdana"/>
                <w:sz w:val="20"/>
                <w:szCs w:val="20"/>
              </w:rPr>
              <w:t xml:space="preserve">Time of supply is 31 March 2026, the earlier of book entry and payment. IGST under reverse charge goes into the March 2026 return. Year-end provisions for group charges therefore trigger tax even when payment waits for transfer pricing approval.</w:t>
            </w:r>
          </w:p>
        </w:tc>
      </w:tr>
    </w:tbl>
    <w:p>
      <w:pPr>
        <w:spacing w:after="60"/>
      </w:pPr>
    </w:p>
    <w:p>
      <w:pPr>
        <w:pStyle w:val="Heading2"/>
        <w:keepNext/>
        <w:spacing w:after="120" w:before="240"/>
      </w:pPr>
      <w:r>
        <w:rPr>
          <w:rFonts w:ascii="Verdana" w:cs="Verdana" w:eastAsia="Verdana" w:hAnsi="Verdana"/>
        </w:rPr>
        <w:t xml:space="preserve">10.5 Vouchers after the Finance Act, 2025</w:t>
      </w:r>
    </w:p>
    <w:p>
      <w:pPr>
        <w:spacing w:after="120" w:line="276"/>
        <w:jc w:val="both"/>
      </w:pPr>
      <w:r>
        <w:rPr>
          <w:rFonts w:ascii="Verdana" w:cs="Verdana" w:eastAsia="Verdana" w:hAnsi="Verdana"/>
        </w:rPr>
        <w:t xml:space="preserve">Sections 12(4) and 13(4) originally made the date of issue of a voucher the time of supply where the underlying supply was identifiable, and the date of redemption in other cases. AARs took conflicting views on gift cards and meal vouchers. CBIC Circular 243/37/2024-GST dated 31 December 2024 clarified that vouchers are neither goods nor services; they are instruments accepted as consideration. Tax arises only on the underlying supply when the voucher is redeemed. Distribution on a principal-to-principal basis is not a supply; a commission earned as an agent is taxable; unredeemed vouchers are not consideration for any supply. The Finance Act, 2025 then omitted sections 12(4) and 13(4).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55: Gift card</w:t>
            </w:r>
          </w:p>
          <w:p>
            <w:pPr>
              <w:spacing w:after="60" w:line="260"/>
            </w:pPr>
            <w:r>
              <w:rPr>
                <w:rFonts w:ascii="Verdana" w:cs="Verdana" w:eastAsia="Verdana" w:hAnsi="Verdana"/>
                <w:sz w:val="20"/>
                <w:szCs w:val="20"/>
              </w:rPr>
              <w:t xml:space="preserve">Deepak Electronics sells a gift card of Rs. 5,000 on 20 October 2026. It is redeemed on 12 November 2026 against a speaker priced at Rs. 5,000 including 18% GST.</w:t>
            </w:r>
          </w:p>
          <w:p>
            <w:pPr>
              <w:spacing w:after="60" w:line="260"/>
            </w:pPr>
            <w:r>
              <w:rPr>
                <w:rFonts w:ascii="Verdana" w:cs="Verdana" w:eastAsia="Verdana" w:hAnsi="Verdana"/>
                <w:sz w:val="20"/>
                <w:szCs w:val="20"/>
              </w:rPr>
              <w:t xml:space="preserve">No tax arises in October. In November, tax = Rs. 5,000 x 18/118 = Rs. 762.71 on value of Rs. 4,237.29. If the card had expired unused, no tax would arise at all.</w:t>
            </w:r>
          </w:p>
        </w:tc>
      </w:tr>
    </w:tbl>
    <w:p>
      <w:pPr>
        <w:spacing w:after="60"/>
      </w:pPr>
    </w:p>
    <w:p>
      <w:pPr>
        <w:pStyle w:val="Heading2"/>
        <w:keepNext/>
        <w:spacing w:after="120" w:before="240"/>
      </w:pPr>
      <w:r>
        <w:rPr>
          <w:rFonts w:ascii="Verdana" w:cs="Verdana" w:eastAsia="Verdana" w:hAnsi="Verdana"/>
        </w:rPr>
        <w:t xml:space="preserve">10.6 Interest and late fee for delayed payment</w:t>
      </w:r>
    </w:p>
    <w:p>
      <w:pPr>
        <w:spacing w:after="120" w:line="276"/>
        <w:jc w:val="both"/>
      </w:pPr>
      <w:r>
        <w:rPr>
          <w:rFonts w:ascii="Verdana" w:cs="Verdana" w:eastAsia="Verdana" w:hAnsi="Verdana"/>
        </w:rPr>
        <w:t xml:space="preserve">Section 15(2)(d) includes interest, late fee or penalty for delayed payment in value. Sections 12(6) and 13(6) fix its time of supply as the date on which the supplier receives it, since such charges are often waived. It carries the rate of the main supply. For example, if Joshi Packaging (boxes at 18%) raises a debit note for interest of Rs. 15,000 in October 2026 and is paid on 12 November 2026, tax of Rs. 2,700 is payable in November 2026. Where no other rule works, sections 12(5) and 13(5) take the due date of the return, or the date of payment of tax.</w:t>
      </w:r>
    </w:p>
    <w:p>
      <w:pPr>
        <w:pStyle w:val="Heading2"/>
        <w:keepNext/>
        <w:spacing w:after="120" w:before="240"/>
      </w:pPr>
      <w:r>
        <w:rPr>
          <w:rFonts w:ascii="Verdana" w:cs="Verdana" w:eastAsia="Verdana" w:hAnsi="Verdana"/>
        </w:rPr>
        <w:t xml:space="preserve">10.7 Change in rate of tax (Section 14)</w:t>
      </w:r>
    </w:p>
    <w:p>
      <w:pPr>
        <w:spacing w:after="120" w:line="276"/>
        <w:jc w:val="both"/>
      </w:pPr>
      <w:r>
        <w:rPr>
          <w:rFonts w:ascii="Verdana" w:cs="Verdana" w:eastAsia="Verdana" w:hAnsi="Verdana"/>
        </w:rPr>
        <w:t xml:space="preserve">When a rate changes, three events may fall on different sides of the date of change: the supply itself, the invoice and the payment. Section 14 decides the rate. The easy rule is "two out of three": if two events fall before the change, the old rate applies; if two fall after, the new rate applies.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9"/>
        <w:gridCol w:w="1499"/>
        <w:gridCol w:w="1499"/>
        <w:gridCol w:w="4069"/>
        <w:gridCol w:w="1072"/>
      </w:tblGrid>
      <w:tr>
        <w:trPr>
          <w:cantSplit/>
          <w:tblHeader/>
        </w:trPr>
        <w:tc>
          <w:tcPr>
            <w:tcW w:type="dxa" w:w="149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Supply</w:t>
            </w:r>
          </w:p>
        </w:tc>
        <w:tc>
          <w:tcPr>
            <w:tcW w:type="dxa" w:w="149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Invoice</w:t>
            </w:r>
          </w:p>
        </w:tc>
        <w:tc>
          <w:tcPr>
            <w:tcW w:type="dxa" w:w="149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Payment</w:t>
            </w:r>
          </w:p>
        </w:tc>
        <w:tc>
          <w:tcPr>
            <w:tcW w:type="dxa" w:w="406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Time of supply</w:t>
            </w:r>
          </w:p>
        </w:tc>
        <w:tc>
          <w:tcPr>
            <w:tcW w:type="dxa" w:w="107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Rate</w:t>
            </w:r>
          </w:p>
        </w:tc>
      </w:tr>
      <w:tr>
        <w:trPr>
          <w:cantSplit/>
        </w:trPr>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w:t>
            </w:r>
          </w:p>
        </w:tc>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After</w:t>
            </w:r>
          </w:p>
        </w:tc>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After</w:t>
            </w:r>
          </w:p>
        </w:tc>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Earlier of invoice and payment (14(a)(i))</w:t>
            </w:r>
          </w:p>
        </w:tc>
        <w:tc>
          <w:tcPr>
            <w:tcW w:type="dxa" w:w="10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New</w:t>
            </w:r>
          </w:p>
        </w:tc>
      </w:tr>
      <w:tr>
        <w:trPr>
          <w:cantSplit/>
        </w:trPr>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w:t>
            </w:r>
          </w:p>
        </w:tc>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w:t>
            </w:r>
          </w:p>
        </w:tc>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After</w:t>
            </w:r>
          </w:p>
        </w:tc>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Date of invoice (14(a)(ii))</w:t>
            </w:r>
          </w:p>
        </w:tc>
        <w:tc>
          <w:tcPr>
            <w:tcW w:type="dxa" w:w="10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Old</w:t>
            </w:r>
          </w:p>
        </w:tc>
      </w:tr>
      <w:tr>
        <w:trPr>
          <w:cantSplit/>
        </w:trPr>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w:t>
            </w:r>
          </w:p>
        </w:tc>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After</w:t>
            </w:r>
          </w:p>
        </w:tc>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w:t>
            </w:r>
          </w:p>
        </w:tc>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Date of payment (14(a)(iii))</w:t>
            </w:r>
          </w:p>
        </w:tc>
        <w:tc>
          <w:tcPr>
            <w:tcW w:type="dxa" w:w="10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Old</w:t>
            </w:r>
          </w:p>
        </w:tc>
      </w:tr>
      <w:tr>
        <w:trPr>
          <w:cantSplit/>
        </w:trPr>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After</w:t>
            </w:r>
          </w:p>
        </w:tc>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w:t>
            </w:r>
          </w:p>
        </w:tc>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After</w:t>
            </w:r>
          </w:p>
        </w:tc>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Date of payment (14(b)(i))</w:t>
            </w:r>
          </w:p>
        </w:tc>
        <w:tc>
          <w:tcPr>
            <w:tcW w:type="dxa" w:w="10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New</w:t>
            </w:r>
          </w:p>
        </w:tc>
      </w:tr>
      <w:tr>
        <w:trPr>
          <w:cantSplit/>
        </w:trPr>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After</w:t>
            </w:r>
          </w:p>
        </w:tc>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w:t>
            </w:r>
          </w:p>
        </w:tc>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w:t>
            </w:r>
          </w:p>
        </w:tc>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Earlier of invoice and payment (14(b)(ii))</w:t>
            </w:r>
          </w:p>
        </w:tc>
        <w:tc>
          <w:tcPr>
            <w:tcW w:type="dxa" w:w="10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Old</w:t>
            </w:r>
          </w:p>
        </w:tc>
      </w:tr>
      <w:tr>
        <w:trPr>
          <w:cantSplit/>
        </w:trPr>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After</w:t>
            </w:r>
          </w:p>
        </w:tc>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After</w:t>
            </w:r>
          </w:p>
        </w:tc>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w:t>
            </w:r>
          </w:p>
        </w:tc>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Date of invoice (14(b)(iii))</w:t>
            </w:r>
          </w:p>
        </w:tc>
        <w:tc>
          <w:tcPr>
            <w:tcW w:type="dxa" w:w="10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New</w:t>
            </w:r>
          </w:p>
        </w:tc>
      </w:tr>
    </w:tbl>
    <w:p>
      <w:pPr>
        <w:spacing w:after="60"/>
      </w:pPr>
    </w:p>
    <w:p>
      <w:pPr>
        <w:spacing w:after="120" w:line="276"/>
        <w:jc w:val="both"/>
      </w:pPr>
      <w:r>
        <w:rPr>
          <w:rFonts w:ascii="Verdana" w:cs="Verdana" w:eastAsia="Verdana" w:hAnsi="Verdana"/>
        </w:rPr>
        <w:t xml:space="preserve">Under the Explanation to section 14, the date of receipt of payment is the date of credit in the bank account if the credit comes after four working days from the date of change. The GST 2.0 changes of 22 September 2025 (a Monday) show how this works: beauty and wellness services moved from 18% to 5% without ITC, and cement from 28% to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56: Salon services across the rate change</w:t>
            </w:r>
          </w:p>
          <w:p>
            <w:pPr>
              <w:spacing w:after="60" w:line="260"/>
            </w:pPr>
            <w:r>
              <w:rPr>
                <w:rFonts w:ascii="Verdana" w:cs="Verdana" w:eastAsia="Verdana" w:hAnsi="Verdana"/>
                <w:sz w:val="20"/>
                <w:szCs w:val="20"/>
              </w:rPr>
              <w:t xml:space="preserve">Glow Unisex Salon, Jaipur, sells bridal packages of Rs. 20,000 each (before tax).</w:t>
            </w:r>
          </w:p>
          <w:p>
            <w:pPr>
              <w:spacing w:after="60" w:line="260"/>
            </w:pPr>
            <w:r>
              <w:rPr>
                <w:rFonts w:ascii="Verdana" w:cs="Verdana" w:eastAsia="Verdana" w:hAnsi="Verdana"/>
                <w:sz w:val="20"/>
                <w:szCs w:val="20"/>
              </w:rPr>
              <w:t xml:space="preserve">Package 1: services on 18 to 20 September 2025, invoice on 23 September, payment on 25 September. Two events after: 5%, tax Rs. 1,000 (CGST Rs. 500 + SGST Rs. 500).</w:t>
            </w:r>
          </w:p>
          <w:p>
            <w:pPr>
              <w:spacing w:after="60" w:line="260"/>
            </w:pPr>
            <w:r>
              <w:rPr>
                <w:rFonts w:ascii="Verdana" w:cs="Verdana" w:eastAsia="Verdana" w:hAnsi="Verdana"/>
                <w:sz w:val="20"/>
                <w:szCs w:val="20"/>
              </w:rPr>
              <w:t xml:space="preserve">Package 2: services and invoice on 19 September 2025, payment on 24 September. Two events before: 18%, tax Rs. 3,600.</w:t>
            </w:r>
          </w:p>
          <w:p>
            <w:pPr>
              <w:spacing w:after="60" w:line="260"/>
            </w:pPr>
            <w:r>
              <w:rPr>
                <w:rFonts w:ascii="Verdana" w:cs="Verdana" w:eastAsia="Verdana" w:hAnsi="Verdana"/>
                <w:sz w:val="20"/>
                <w:szCs w:val="20"/>
              </w:rPr>
              <w:t xml:space="preserve">Package 3: full advance and invoice on 15 September 2025, services on 27 September. Two events before: 18%, tax Rs. 3,600, already paid in September.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57: Cement dealer and the four working day rule</w:t>
            </w:r>
          </w:p>
          <w:p>
            <w:pPr>
              <w:spacing w:after="60" w:line="260"/>
            </w:pPr>
            <w:r>
              <w:rPr>
                <w:rFonts w:ascii="Verdana" w:cs="Verdana" w:eastAsia="Verdana" w:hAnsi="Verdana"/>
                <w:sz w:val="20"/>
                <w:szCs w:val="20"/>
              </w:rPr>
              <w:t xml:space="preserve">Patel Cement Agency, Rajkot, sells 500 bags at Rs. 400 (value Rs. 2,00,000) in each case.</w:t>
            </w:r>
          </w:p>
          <w:p>
            <w:pPr>
              <w:spacing w:after="60" w:line="260"/>
            </w:pPr>
            <w:r>
              <w:rPr>
                <w:rFonts w:ascii="Verdana" w:cs="Verdana" w:eastAsia="Verdana" w:hAnsi="Verdana"/>
                <w:sz w:val="20"/>
                <w:szCs w:val="20"/>
              </w:rPr>
              <w:t xml:space="preserve">Case A: invoice on 19 September 2025, delivery on 23 September, payment on 24 September. Invoice before; supply and payment after. Time of supply is the date of payment: 18%, tax Rs. 36,000.</w:t>
            </w:r>
          </w:p>
          <w:p>
            <w:pPr>
              <w:spacing w:after="60" w:line="260"/>
            </w:pPr>
            <w:r>
              <w:rPr>
                <w:rFonts w:ascii="Verdana" w:cs="Verdana" w:eastAsia="Verdana" w:hAnsi="Verdana"/>
                <w:sz w:val="20"/>
                <w:szCs w:val="20"/>
              </w:rPr>
              <w:t xml:space="preserve">Case B: delivery and invoice on 19 September 2025, payment on 26 September. Time of supply is the invoice date: 28%, tax Rs. 56,000.</w:t>
            </w:r>
          </w:p>
          <w:p>
            <w:pPr>
              <w:spacing w:after="60" w:line="260"/>
            </w:pPr>
            <w:r>
              <w:rPr>
                <w:rFonts w:ascii="Verdana" w:cs="Verdana" w:eastAsia="Verdana" w:hAnsi="Verdana"/>
                <w:sz w:val="20"/>
                <w:szCs w:val="20"/>
              </w:rPr>
              <w:t xml:space="preserve">Case C: invoice on 19 September 2025, delivery on 23 September; a cheque received and booked on 20 September is credited to the bank on 29 September. The four working days after 22 September end on 26 September, so the payment date is 29 September. Two events after: 18%, tax Rs. 36,000.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Around any rate change, keep a cut-off schedule of dispatch or completion dates, invoice dates, and payment dates (book entry and bank credit) for every open order. Section 14 fixes the rate only; the tax period still follows sections 12 and 13. Where a service moves to a rate without ITC, stop taking credit on inputs used for supplies made at the new rate.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Time of supply decides the tax period, the rate on a rate change, the exchange rate and interest exposure.</w:t>
            </w:r>
          </w:p>
          <w:p>
            <w:pPr>
              <w:spacing w:after="60" w:line="260"/>
            </w:pPr>
            <w:r>
              <w:rPr>
                <w:rFonts w:ascii="Verdana" w:cs="Verdana" w:eastAsia="Verdana" w:hAnsi="Verdana"/>
                <w:sz w:val="20"/>
                <w:szCs w:val="20"/>
              </w:rPr>
              <w:t xml:space="preserve">•  Goods: earlier of invoice (or the last date for it) and payment, but advances for goods are not taxed for normal taxpayers since 15 November 2017.</w:t>
            </w:r>
          </w:p>
          <w:p>
            <w:pPr>
              <w:spacing w:after="60" w:line="260"/>
            </w:pPr>
            <w:r>
              <w:rPr>
                <w:rFonts w:ascii="Verdana" w:cs="Verdana" w:eastAsia="Verdana" w:hAnsi="Verdana"/>
                <w:sz w:val="20"/>
                <w:szCs w:val="20"/>
              </w:rPr>
              <w:t xml:space="preserve">•  Services: invoice within 30 days (45 days for banks, insurers and NBFCs); advances are taxed on receipt; excess up to Rs. 1,000 may go with the next invoice.</w:t>
            </w:r>
          </w:p>
          <w:p>
            <w:pPr>
              <w:spacing w:after="60" w:line="260"/>
            </w:pPr>
            <w:r>
              <w:rPr>
                <w:rFonts w:ascii="Verdana" w:cs="Verdana" w:eastAsia="Verdana" w:hAnsi="Verdana"/>
                <w:sz w:val="20"/>
                <w:szCs w:val="20"/>
              </w:rPr>
              <w:t xml:space="preserve">•  Continuous supplies follow section 31(4) and 31(5): due date, payment or completion of the linked event.</w:t>
            </w:r>
          </w:p>
          <w:p>
            <w:pPr>
              <w:spacing w:after="60" w:line="260"/>
            </w:pPr>
            <w:r>
              <w:rPr>
                <w:rFonts w:ascii="Verdana" w:cs="Verdana" w:eastAsia="Verdana" w:hAnsi="Verdana"/>
                <w:sz w:val="20"/>
                <w:szCs w:val="20"/>
              </w:rPr>
              <w:t xml:space="preserve">•  Reverse charge: 30 days (goods) or 60 days (services) after the supplier's invoice is the outer limit; for foreign associated enterprises, the earlier of book entry and payment.</w:t>
            </w:r>
          </w:p>
          <w:p>
            <w:pPr>
              <w:spacing w:after="60" w:line="260"/>
            </w:pPr>
            <w:r>
              <w:rPr>
                <w:rFonts w:ascii="Verdana" w:cs="Verdana" w:eastAsia="Verdana" w:hAnsi="Verdana"/>
                <w:sz w:val="20"/>
                <w:szCs w:val="20"/>
              </w:rPr>
              <w:t xml:space="preserve">•  Vouchers are neither goods nor services; sections 12(4) and 13(4) are omitted, and tax arises on redemption. Interest for delayed payment is taxed when received.</w:t>
            </w:r>
          </w:p>
          <w:p>
            <w:pPr>
              <w:spacing w:after="60" w:line="260"/>
            </w:pPr>
            <w:r>
              <w:rPr>
                <w:rFonts w:ascii="Verdana" w:cs="Verdana" w:eastAsia="Verdana" w:hAnsi="Verdana"/>
                <w:sz w:val="20"/>
                <w:szCs w:val="20"/>
              </w:rPr>
              <w:t xml:space="preserve">•  On a rate change, two of three events decide the rate; a bank credit more than four working days after the change fixes the payment date.</w:t>
            </w:r>
          </w:p>
        </w:tc>
      </w:tr>
    </w:tbl>
    <w:p>
      <w:pPr>
        <w:pStyle w:val="Heading1"/>
        <w:pageBreakBefore/>
        <w:spacing w:after="200" w:before="0"/>
      </w:pPr>
      <w:r>
        <w:rPr>
          <w:rFonts w:ascii="Verdana" w:cs="Verdana" w:eastAsia="Verdana" w:hAnsi="Verdana"/>
        </w:rPr>
        <w:t xml:space="preserve">11. Value of Supply (Section 15 and Rules 27 to 35)</w:t>
      </w:r>
    </w:p>
    <w:p>
      <w:pPr>
        <w:spacing w:after="120" w:line="276"/>
        <w:jc w:val="both"/>
      </w:pPr>
      <w:r>
        <w:rPr>
          <w:rFonts w:ascii="Verdana" w:cs="Verdana" w:eastAsia="Verdana" w:hAnsi="Verdana"/>
        </w:rPr>
        <w:t xml:space="preserve">Tax is a percentage of value, so every error in value becomes an error in tax. Section 15 of the CGST Act (applied to IGST by section 20 of the IGST Act) starts with the price the parties actually agreed, adds items that parties tend to keep outside the price, allows certain discounts, and sends the supplier to the valuation rules (rules 27 to 35 of the CGST Rules) where the price cannot be relied on.</w:t>
      </w:r>
    </w:p>
    <w:p>
      <w:pPr>
        <w:pStyle w:val="Heading2"/>
        <w:keepNext/>
        <w:spacing w:after="120" w:before="240"/>
      </w:pPr>
      <w:r>
        <w:rPr>
          <w:rFonts w:ascii="Verdana" w:cs="Verdana" w:eastAsia="Verdana" w:hAnsi="Verdana"/>
        </w:rPr>
        <w:t xml:space="preserve">11.1 Transaction value and inclusions</w:t>
      </w:r>
    </w:p>
    <w:p>
      <w:pPr>
        <w:spacing w:after="120" w:line="276"/>
        <w:jc w:val="both"/>
      </w:pPr>
      <w:r>
        <w:rPr>
          <w:rFonts w:ascii="Verdana" w:cs="Verdana" w:eastAsia="Verdana" w:hAnsi="Verdana"/>
        </w:rPr>
        <w:t xml:space="preserve">Under section 15(1), value is the transaction value: the price actually paid or payable, where the supplier and recipient are not related and the price is the sole consideration. If the parties are related, or the supplier gets something besides the price, the rules take over (section 15(4)). "Related persons" is defined widely in the Explanation to section 15: directors and officers of each other's businesses, partners, employer and employee, persons holding 25% or more of the voting shares of both, persons controlled by a third person, and family members. Branches in different States are distinct persons, covered by rule 28.</w:t>
      </w:r>
    </w:p>
    <w:p>
      <w:pPr>
        <w:spacing w:after="120" w:line="276"/>
        <w:jc w:val="both"/>
      </w:pPr>
      <w:r>
        <w:rPr>
          <w:rFonts w:ascii="Verdana" w:cs="Verdana" w:eastAsia="Verdana" w:hAnsi="Verdana"/>
        </w:rPr>
        <w:t xml:space="preserve">Section 15(2) adds five items to the price: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4819"/>
        <w:gridCol w:w="3615"/>
      </w:tblGrid>
      <w:tr>
        <w:trPr>
          <w:cantSplit/>
          <w:tblHeader/>
        </w:trPr>
        <w:tc>
          <w:tcPr>
            <w:tcW w:type="dxa" w:w="1204"/>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Clause</w:t>
            </w:r>
          </w:p>
        </w:tc>
        <w:tc>
          <w:tcPr>
            <w:tcW w:type="dxa" w:w="481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Inclusion</w:t>
            </w:r>
          </w:p>
        </w:tc>
        <w:tc>
          <w:tcPr>
            <w:tcW w:type="dxa" w:w="361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Example</w:t>
            </w:r>
          </w:p>
        </w:tc>
      </w:tr>
      <w:tr>
        <w:trPr>
          <w:cantSplit/>
        </w:trPr>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15(2)(a)</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Taxes, duties, cesses, fees and charges under other laws, if charged separately (not GST or compensation cess)</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Central excise duty on tobacco shown on the bill</w:t>
            </w:r>
          </w:p>
        </w:tc>
      </w:tr>
      <w:tr>
        <w:trPr>
          <w:cantSplit/>
        </w:trPr>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15(2)(b)</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Amounts the supplier is liable to pay but which the recipient incurs, not included in the price</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Buyer pays the supplier's design fee directly</w:t>
            </w:r>
          </w:p>
        </w:tc>
      </w:tr>
      <w:tr>
        <w:trPr>
          <w:cantSplit/>
        </w:trPr>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15(2)(c)</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Incidental expenses charged by the supplier, including commission and packing, and anything done by the supplier at or before delivery</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Packing, loading, freight to buyer's door</w:t>
            </w:r>
          </w:p>
        </w:tc>
      </w:tr>
      <w:tr>
        <w:trPr>
          <w:cantSplit/>
        </w:trPr>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15(2)(d)</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late fee or penalty for delayed payment</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overdue bills</w:t>
            </w:r>
          </w:p>
        </w:tc>
      </w:tr>
      <w:tr>
        <w:trPr>
          <w:cantSplit/>
        </w:trPr>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15(2)(e)</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Subsidies directly linked to price, other than Central and State Government subsidies</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Subsidy by a private CSR foundation</w:t>
            </w:r>
          </w:p>
        </w:tc>
      </w:tr>
    </w:tbl>
    <w:p>
      <w:pPr>
        <w:spacing w:after="60"/>
      </w:pPr>
    </w:p>
    <w:p>
      <w:pPr>
        <w:spacing w:after="120" w:line="276"/>
        <w:jc w:val="both"/>
      </w:pPr>
      <w:r>
        <w:rPr>
          <w:rFonts w:ascii="Verdana" w:cs="Verdana" w:eastAsia="Verdana" w:hAnsi="Verdana"/>
        </w:rPr>
        <w:t xml:space="preserve">Clause (b) applies only if the supplier was liable for the amount. Clause (e) keeps Government subsidies out so that tax does not eat into them; a subsidy from a private source that is linked to the price is added.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58: Building up the value of supply</w:t>
            </w:r>
          </w:p>
          <w:p>
            <w:pPr>
              <w:spacing w:after="60" w:line="260"/>
            </w:pPr>
            <w:r>
              <w:rPr>
                <w:rFonts w:ascii="Verdana" w:cs="Verdana" w:eastAsia="Verdana" w:hAnsi="Verdana"/>
                <w:sz w:val="20"/>
                <w:szCs w:val="20"/>
              </w:rPr>
              <w:t xml:space="preserve">Rao Industrial Products, Hyderabad, sells a machine to a local buyer for Rs. 4,00,000. It charges Rs. 6,000 for packing and Rs. 10,000 for delivery. A design approval fee of Rs. 20,000, which Rao is liable to pay to a consultant, is paid directly by the buyer. GST is 18%.</w:t>
            </w:r>
          </w:p>
          <w:p>
            <w:pPr>
              <w:spacing w:after="60" w:line="260"/>
            </w:pPr>
            <w:r>
              <w:rPr>
                <w:rFonts w:ascii="Verdana" w:cs="Verdana" w:eastAsia="Verdana" w:hAnsi="Verdana"/>
                <w:sz w:val="20"/>
                <w:szCs w:val="20"/>
              </w:rPr>
              <w:t xml:space="preserve">Step 1: Value = Rs. 4,00,000 + Rs. 6,000 + Rs. 10,000 + Rs. 20,000 = Rs. 4,36,000.</w:t>
            </w:r>
          </w:p>
          <w:p>
            <w:pPr>
              <w:spacing w:after="60" w:line="260"/>
            </w:pPr>
            <w:r>
              <w:rPr>
                <w:rFonts w:ascii="Verdana" w:cs="Verdana" w:eastAsia="Verdana" w:hAnsi="Verdana"/>
                <w:sz w:val="20"/>
                <w:szCs w:val="20"/>
              </w:rPr>
              <w:t xml:space="preserve">Step 2: GST = Rs. 78,480 (CGST Rs. 39,240 + SGST Rs. 39,240).</w:t>
            </w:r>
          </w:p>
          <w:p>
            <w:pPr>
              <w:spacing w:after="60" w:line="260"/>
            </w:pPr>
            <w:r>
              <w:rPr>
                <w:rFonts w:ascii="Verdana" w:cs="Verdana" w:eastAsia="Verdana" w:hAnsi="Verdana"/>
                <w:sz w:val="20"/>
                <w:szCs w:val="20"/>
              </w:rPr>
              <w:t xml:space="preserve">Step 3: The buyer pays Rao Rs. 4,16,000 + Rs. 78,480 = Rs. 4,94,480. Tax is payable on the Rs. 20,000 even though Rao never receives it.</w:t>
            </w:r>
          </w:p>
        </w:tc>
      </w:tr>
    </w:tbl>
    <w:p>
      <w:pPr>
        <w:spacing w:after="60"/>
      </w:pPr>
    </w:p>
    <w:p>
      <w:pPr>
        <w:pStyle w:val="Heading2"/>
        <w:keepNext/>
        <w:spacing w:after="120" w:before="240"/>
      </w:pPr>
      <w:r>
        <w:rPr>
          <w:rFonts w:ascii="Verdana" w:cs="Verdana" w:eastAsia="Verdana" w:hAnsi="Verdana"/>
        </w:rPr>
        <w:t xml:space="preserve">11.2 Discounts (Section 15(3))</w:t>
      </w:r>
    </w:p>
    <w:p>
      <w:pPr>
        <w:spacing w:after="120" w:line="276"/>
        <w:jc w:val="both"/>
      </w:pPr>
      <w:r>
        <w:rPr>
          <w:rFonts w:ascii="Verdana" w:cs="Verdana" w:eastAsia="Verdana" w:hAnsi="Verdana"/>
        </w:rPr>
        <w:t xml:space="preserve">A discount given before or at the time of supply is excluded if it is duly recorded in the invoice (section 15(3)(a)). A discount given after the supply is excluded under section 15(3)(b) only if: (i) it is established in terms of an agreement entered into at or before the supply and specifically linked to the relevant invoices; and (ii) the recipient has reversed the ITC attributable to it. The supplier then issues a GST credit note under section 34. After the Finance Act, 2025 amendment to section 34(2), the supplier can reduce output tax only if the recipient has reversed the credit, which the recipient now declares on the Invoice Management System. CBIC Circular 212/6/2024-GST (June 2024) explained how the supplier can evidence that reversal: a certificate from a chartered accountant or cost accountant for larger amounts, and an undertaking from the recipient otherwise.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59: Volume rebate under a dealership agreement</w:t>
            </w:r>
          </w:p>
          <w:p>
            <w:pPr>
              <w:spacing w:after="60" w:line="260"/>
            </w:pPr>
            <w:r>
              <w:rPr>
                <w:rFonts w:ascii="Verdana" w:cs="Verdana" w:eastAsia="Verdana" w:hAnsi="Verdana"/>
                <w:sz w:val="20"/>
                <w:szCs w:val="20"/>
              </w:rPr>
              <w:t xml:space="preserve">A dealership agreement signed on 1 April 2026 gives Rathi Distributors a 2% rebate if its purchases from Kirti Appliances Ltd. exceed Rs. 50 lakh in a quarter. In July to September 2026 Rathi buys Rs. 60,00,000 of goods (18%) on 14 invoices.</w:t>
            </w:r>
          </w:p>
          <w:p>
            <w:pPr>
              <w:spacing w:after="60" w:line="260"/>
            </w:pPr>
            <w:r>
              <w:rPr>
                <w:rFonts w:ascii="Verdana" w:cs="Verdana" w:eastAsia="Verdana" w:hAnsi="Verdana"/>
                <w:sz w:val="20"/>
                <w:szCs w:val="20"/>
              </w:rPr>
              <w:t xml:space="preserve">Step 1: Rebate = 2% of Rs. 60,00,000 = Rs. 1,20,000, linked to the 14 invoices. Kirti issues a credit note for Rs. 1,20,000 plus GST of Rs. 21,600.</w:t>
            </w:r>
          </w:p>
          <w:p>
            <w:pPr>
              <w:spacing w:after="60" w:line="260"/>
            </w:pPr>
            <w:r>
              <w:rPr>
                <w:rFonts w:ascii="Verdana" w:cs="Verdana" w:eastAsia="Verdana" w:hAnsi="Verdana"/>
                <w:sz w:val="20"/>
                <w:szCs w:val="20"/>
              </w:rPr>
              <w:t xml:space="preserve">Step 2: Rathi reverses ITC of Rs. 21,600 through the IMS. Only then can Kirti reduce its output tax by Rs. 21,600.</w:t>
            </w:r>
          </w:p>
        </w:tc>
      </w:tr>
    </w:tbl>
    <w:p>
      <w:pPr>
        <w:spacing w:after="60"/>
      </w:pPr>
    </w:p>
    <w:p>
      <w:pPr>
        <w:spacing w:after="120" w:line="276"/>
        <w:jc w:val="both"/>
      </w:pPr>
      <w:r>
        <w:rPr>
          <w:rFonts w:ascii="Verdana" w:cs="Verdana" w:eastAsia="Verdana" w:hAnsi="Verdana"/>
        </w:rPr>
        <w:t xml:space="preserve">A discount that does not meet these conditions, such as a scheme announced after the sale, is given through a "financial" credit note without GST, and the supplier's tax is not reduced. CBIC Circular 251/08/2025-GST dated 12 September 2025 clarified that the recipient then need not reverse ITC; that a post-sale discount from a manufacturer to a dealer is ordinarily a price reduction and not payment for a promotional service, unless the dealer undertakes specific promotional work under a contract for identified consideration; and that where the manufacturer agrees a lower price with the end customer and compensates the dealer, the compensation is third-party consideration added to the dealer's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The Finance Act, 2026 amends sections 15(3)(b) and 34 so that post-sale discounts can be excluded through credit notes wherever the recipient reverses ITC, without a prior agreement linked to invoices. As on 28 September 2026 this amendment </w:t>
            </w:r>
            <w:r>
              <w:rPr>
                <w:rFonts w:ascii="Verdana" w:cs="Verdana" w:eastAsia="Verdana" w:hAnsi="Verdana"/>
                <w:b/>
                <w:bCs/>
                <w:sz w:val="20"/>
                <w:szCs w:val="20"/>
              </w:rPr>
              <w:t xml:space="preserve">has not been notified</w:t>
            </w:r>
            <w:r>
              <w:rPr>
                <w:rFonts w:ascii="Verdana" w:cs="Verdana" w:eastAsia="Verdana" w:hAnsi="Verdana"/>
                <w:sz w:val="20"/>
                <w:szCs w:val="20"/>
              </w:rPr>
              <w:t xml:space="preserve">. Until it is, keep the pre-supply agreement and invoice linkage on file.</w:t>
            </w:r>
          </w:p>
        </w:tc>
      </w:tr>
    </w:tbl>
    <w:p>
      <w:pPr>
        <w:spacing w:after="60"/>
      </w:pPr>
    </w:p>
    <w:p>
      <w:pPr>
        <w:pStyle w:val="Heading2"/>
        <w:keepNext/>
        <w:spacing w:after="120" w:before="240"/>
      </w:pPr>
      <w:r>
        <w:rPr>
          <w:rFonts w:ascii="Verdana" w:cs="Verdana" w:eastAsia="Verdana" w:hAnsi="Verdana"/>
        </w:rPr>
        <w:t xml:space="preserve">11.3 Non-monetary consideration and related persons (Rules 27 and 28)</w:t>
      </w:r>
    </w:p>
    <w:p>
      <w:pPr>
        <w:spacing w:after="120" w:line="276"/>
        <w:jc w:val="both"/>
      </w:pPr>
      <w:r>
        <w:rPr>
          <w:rFonts w:ascii="Verdana" w:cs="Verdana" w:eastAsia="Verdana" w:hAnsi="Verdana"/>
        </w:rPr>
        <w:t xml:space="preserve">Where consideration is not wholly in money, rule 27 applies in order: (a) open market value; (b) money consideration plus the money value of the non-monetary part, if known at the time of supply; (c) value of a supply of like kind and quality; (d) rule 30 or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60: Exchange offer on a television</w:t>
            </w:r>
          </w:p>
          <w:p>
            <w:pPr>
              <w:spacing w:after="60" w:line="260"/>
            </w:pPr>
            <w:r>
              <w:rPr>
                <w:rFonts w:ascii="Verdana" w:cs="Verdana" w:eastAsia="Verdana" w:hAnsi="Verdana"/>
                <w:sz w:val="20"/>
                <w:szCs w:val="20"/>
              </w:rPr>
              <w:t xml:space="preserve">Vision Retail sells a television at Rs. 60,000 plus 18% GST and gives Ravi Rs. 8,000 off for his old set.</w:t>
            </w:r>
          </w:p>
          <w:p>
            <w:pPr>
              <w:spacing w:after="60" w:line="260"/>
            </w:pPr>
            <w:r>
              <w:rPr>
                <w:rFonts w:ascii="Verdana" w:cs="Verdana" w:eastAsia="Verdana" w:hAnsi="Verdana"/>
                <w:sz w:val="20"/>
                <w:szCs w:val="20"/>
              </w:rPr>
              <w:t xml:space="preserve">Value = open market value of the new set, Rs. 60,000 (rule 27(a)). GST = Rs. 10,800. Ravi pays Rs. 60,000 + Rs. 10,800 minus Rs. 8,000 = Rs. 62,800.</w:t>
            </w:r>
          </w:p>
        </w:tc>
      </w:tr>
    </w:tbl>
    <w:p>
      <w:pPr>
        <w:spacing w:after="60"/>
      </w:pPr>
    </w:p>
    <w:p>
      <w:pPr>
        <w:spacing w:after="120" w:line="276"/>
        <w:jc w:val="both"/>
      </w:pPr>
      <w:r>
        <w:rPr>
          <w:rFonts w:ascii="Verdana" w:cs="Verdana" w:eastAsia="Verdana" w:hAnsi="Verdana"/>
        </w:rPr>
        <w:t xml:space="preserve">Rule 28 applies to supplies between related persons and between distinct persons (other than through an agent). Value is (a) open market value, (b) value of like kind and quality, or (c) rule 30 or 31. The first proviso allows the supplier, where the recipient resells the goods as such, to take 90% of the price the recipient charges an unrelated customer. The second proviso deems the invoice value to be open market value where the recipient is eligible for full ITC, since any tax paid comes back as credit. Disputes therefore arise only where the recipient cannot take full credit: a branch with exempt supplies, a hospital, a bank using the 50% option under section 17(4), or a unit whose outputs are taxed at 5% without ITC.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61: Stock transfer to a branch</w:t>
            </w:r>
          </w:p>
          <w:p>
            <w:pPr>
              <w:spacing w:after="60" w:line="260"/>
            </w:pPr>
            <w:r>
              <w:rPr>
                <w:rFonts w:ascii="Verdana" w:cs="Verdana" w:eastAsia="Verdana" w:hAnsi="Verdana"/>
                <w:sz w:val="20"/>
                <w:szCs w:val="20"/>
              </w:rPr>
              <w:t xml:space="preserve">Kiran Foods Pvt. Ltd., Gujarat, transfers 5,000 cartons (18%) to its Maharashtra branch, which resells them at Rs. 1,000 per carton. Cost is Rs. 700 per carton.</w:t>
            </w:r>
          </w:p>
          <w:p>
            <w:pPr>
              <w:spacing w:after="60" w:line="260"/>
            </w:pPr>
            <w:r>
              <w:rPr>
                <w:rFonts w:ascii="Verdana" w:cs="Verdana" w:eastAsia="Verdana" w:hAnsi="Verdana"/>
                <w:sz w:val="20"/>
                <w:szCs w:val="20"/>
              </w:rPr>
              <w:t xml:space="preserve">Option 1 (90% proviso): 5,000 x Rs. 900 = Rs. 45,00,000. IGST = Rs. 8,10,000.</w:t>
            </w:r>
          </w:p>
          <w:p>
            <w:pPr>
              <w:spacing w:after="60" w:line="260"/>
            </w:pPr>
            <w:r>
              <w:rPr>
                <w:rFonts w:ascii="Verdana" w:cs="Verdana" w:eastAsia="Verdana" w:hAnsi="Verdana"/>
                <w:sz w:val="20"/>
                <w:szCs w:val="20"/>
              </w:rPr>
              <w:t xml:space="preserve">Option 2 (full ITC proviso): the branch makes only taxable supplies, so Kiran may invoice at Rs. 700, value Rs. 35,00,000, deemed to be open market value. IGST = Rs. 6,30,000, all available as credit to the branch.</w:t>
            </w:r>
          </w:p>
        </w:tc>
      </w:tr>
    </w:tbl>
    <w:p>
      <w:pPr>
        <w:spacing w:after="60"/>
      </w:pPr>
    </w:p>
    <w:p>
      <w:pPr>
        <w:pStyle w:val="Heading3"/>
        <w:keepNext/>
        <w:spacing w:after="80" w:before="160"/>
      </w:pPr>
      <w:r>
        <w:rPr>
          <w:rFonts w:ascii="Verdana" w:cs="Verdana" w:eastAsia="Verdana" w:hAnsi="Verdana"/>
        </w:rPr>
        <w:t xml:space="preserve">Corporate guarantees (Rule 28(2))</w:t>
      </w:r>
    </w:p>
    <w:p>
      <w:pPr>
        <w:spacing w:after="120" w:line="276"/>
        <w:jc w:val="both"/>
      </w:pPr>
      <w:r>
        <w:rPr>
          <w:rFonts w:ascii="Verdana" w:cs="Verdana" w:eastAsia="Verdana" w:hAnsi="Verdana"/>
        </w:rPr>
        <w:t xml:space="preserve">Rule 28(2), inserted from 26 October 2023 and amended by Notification 12/2024-Central Tax with effect from that date, values a guarantee given to a related person in India (or to a bank on its behalf) at 1% of the guaranteed amount per annum, or the actual consideration, whichever is higher. Where the recipient is eligible for full ITC, the value declared in the invoice is accepted. The rule does not apply to guarantees for recipients outside India.</w:t>
      </w:r>
    </w:p>
    <w:p>
      <w:pPr>
        <w:spacing w:after="120" w:line="276"/>
        <w:jc w:val="both"/>
      </w:pPr>
      <w:r>
        <w:rPr>
          <w:rFonts w:ascii="Verdana" w:cs="Verdana" w:eastAsia="Verdana" w:hAnsi="Verdana"/>
        </w:rPr>
        <w:t xml:space="preserve">Circular 204/16/2023-GST clarified that a director's personal guarantee to a bank without consideration is valued at nil, since the director's remuneration covers it, while a holding company's guarantee for a subsidiary is taxable. Circular 225/19/2024-GST added that the 1% applies for each year (proportionately for part of a year); tax is payable on the full guaranteed amount even before the loan is fully drawn; each co-guarantor pays on its share; every renewal is a fresh supply; and guarantees given before 26 October 2023 were also taxable but valued under the earlier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62: Corporate guarantee by a holding company</w:t>
            </w:r>
          </w:p>
          <w:p>
            <w:pPr>
              <w:spacing w:after="60" w:line="260"/>
            </w:pPr>
            <w:r>
              <w:rPr>
                <w:rFonts w:ascii="Verdana" w:cs="Verdana" w:eastAsia="Verdana" w:hAnsi="Verdana"/>
                <w:sz w:val="20"/>
                <w:szCs w:val="20"/>
              </w:rPr>
              <w:t xml:space="preserve">Vardhman Holdings Ltd. guarantees a three-year bank loan of Rs. 50 crore to its subsidiary, charging nothing.</w:t>
            </w:r>
          </w:p>
          <w:p>
            <w:pPr>
              <w:spacing w:after="60" w:line="260"/>
            </w:pPr>
            <w:r>
              <w:rPr>
                <w:rFonts w:ascii="Verdana" w:cs="Verdana" w:eastAsia="Verdana" w:hAnsi="Verdana"/>
                <w:sz w:val="20"/>
                <w:szCs w:val="20"/>
              </w:rPr>
              <w:t xml:space="preserve">Step 1: Value per year = 1% of Rs. 50,00,00,000 = Rs. 50,00,000. GST at 18% = Rs. 9,00,000 a year; Rs. 27,00,000 over three years.</w:t>
            </w:r>
          </w:p>
          <w:p>
            <w:pPr>
              <w:spacing w:after="60" w:line="260"/>
            </w:pPr>
            <w:r>
              <w:rPr>
                <w:rFonts w:ascii="Verdana" w:cs="Verdana" w:eastAsia="Verdana" w:hAnsi="Verdana"/>
                <w:sz w:val="20"/>
                <w:szCs w:val="20"/>
              </w:rPr>
              <w:t xml:space="preserve">Step 2: If the subsidiary is eligible for full ITC, the invoice value is accepted. If it runs a hospital or school with exempt outputs, the full 1% must be used.</w:t>
            </w:r>
          </w:p>
        </w:tc>
      </w:tr>
    </w:tbl>
    <w:p>
      <w:pPr>
        <w:spacing w:after="60"/>
      </w:pPr>
    </w:p>
    <w:p>
      <w:pPr>
        <w:pStyle w:val="Heading2"/>
        <w:keepNext/>
        <w:spacing w:after="120" w:before="240"/>
      </w:pPr>
      <w:r>
        <w:rPr>
          <w:rFonts w:ascii="Verdana" w:cs="Verdana" w:eastAsia="Verdana" w:hAnsi="Verdana"/>
        </w:rPr>
        <w:t xml:space="preserve">11.4 Agents, cost and residual method (Rules 29 to 31)</w:t>
      </w:r>
    </w:p>
    <w:p>
      <w:pPr>
        <w:spacing w:after="120" w:line="276"/>
        <w:jc w:val="both"/>
      </w:pPr>
      <w:r>
        <w:rPr>
          <w:rFonts w:ascii="Verdana" w:cs="Verdana" w:eastAsia="Verdana" w:hAnsi="Verdana"/>
        </w:rPr>
        <w:t xml:space="preserve">Rule 29 values supplies between principal and agent at open market value or, at the supplier's option, 90% of the agent's price to unrelated customers for goods of like kind and quality. Rule 30 takes 110% of the cost of production, acquisition or provision (a die costing Rs. 1,00,000 to make is valued at Rs. 1,10,000). Rule 31 is residual: reasonable means consistent with section 15. For services, the supplier may skip rule 30 and go straight to rule 31.</w:t>
      </w:r>
    </w:p>
    <w:p>
      <w:pPr>
        <w:spacing w:after="120" w:line="276"/>
        <w:jc w:val="both"/>
      </w:pPr>
      <w:r>
        <w:rPr>
          <w:rFonts w:ascii="Verdana" w:cs="Verdana" w:eastAsia="Verdana" w:hAnsi="Verdana"/>
        </w:rPr>
        <w:t xml:space="preserve">Rules 31A to 31C deal with activities now taxed at 40%. For lottery, value is 100/140 of the face value or the price notified by the organising State, whichever is higher (changed from 100/128 with effect from 22 September 2025). For betting, gambling and horse racing, value is the full face value of the bet or the amount paid into the totalisator. Rule 31B values online gaming on the amounts deposited by players (excluding amounts played from winnings); online money games are now prohibited by the Promotion and Regulation of Online Gaming Act, 2025. Rule 31C values casino supplies on the amount paid for tokens, chips, coins or tickets.</w:t>
      </w:r>
    </w:p>
    <w:p>
      <w:pPr>
        <w:pStyle w:val="Heading2"/>
        <w:keepNext/>
        <w:spacing w:after="120" w:before="240"/>
      </w:pPr>
      <w:r>
        <w:rPr>
          <w:rFonts w:ascii="Verdana" w:cs="Verdana" w:eastAsia="Verdana" w:hAnsi="Verdana"/>
        </w:rPr>
        <w:t xml:space="preserve">11.5 Specific supplies under Rule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5"/>
        <w:gridCol w:w="5623"/>
      </w:tblGrid>
      <w:tr>
        <w:trPr>
          <w:cantSplit/>
          <w:tblHeader/>
        </w:trPr>
        <w:tc>
          <w:tcPr>
            <w:tcW w:type="dxa" w:w="401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Supply</w:t>
            </w:r>
          </w:p>
        </w:tc>
        <w:tc>
          <w:tcPr>
            <w:tcW w:type="dxa" w:w="562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Value under rule 32</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Foreign currency, including money changing (32(2)(a))</w:t>
            </w:r>
          </w:p>
        </w:tc>
        <w:tc>
          <w:tcPr>
            <w:tcW w:type="dxa" w:w="56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(Buying or selling rate minus RBI reference rate) x units; if no reference rate, 1% of the gross rupee amount</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Money changing, optional (32(2)(b))</w:t>
            </w:r>
          </w:p>
        </w:tc>
        <w:tc>
          <w:tcPr>
            <w:tcW w:type="dxa" w:w="56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up to Rs. 1 lakh (minimum Rs. 250); Rs. 1,000 + 0.5% from Rs. 1 lakh to Rs. 10 lakh; Rs. 5,500 + 0.1% above (maximum Rs. 60,000)</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Air travel agent (32(3))</w:t>
            </w:r>
          </w:p>
        </w:tc>
        <w:tc>
          <w:tcPr>
            <w:tcW w:type="dxa" w:w="56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 of basic fare (domestic); 10% (international)</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Life insurance (32(4))</w:t>
            </w:r>
          </w:p>
        </w:tc>
        <w:tc>
          <w:tcPr>
            <w:tcW w:type="dxa" w:w="56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Premium less investment portion if intimated; single premium annuity 10%; otherwise 25% in first year, 12.5% later</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Second-hand goods, no ITC on purchase (32(5))</w:t>
            </w:r>
          </w:p>
        </w:tc>
        <w:tc>
          <w:tcPr>
            <w:tcW w:type="dxa" w:w="56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Selling price minus purchase price; negative margin ignored</w:t>
            </w:r>
          </w:p>
        </w:tc>
      </w:tr>
    </w:tbl>
    <w:p>
      <w:pPr>
        <w:spacing w:after="60"/>
      </w:pPr>
    </w:p>
    <w:p>
      <w:pPr>
        <w:spacing w:after="120" w:line="276"/>
        <w:jc w:val="both"/>
      </w:pPr>
      <w:r>
        <w:rPr>
          <w:rFonts w:ascii="Verdana" w:cs="Verdana" w:eastAsia="Verdana" w:hAnsi="Verdana"/>
        </w:rPr>
        <w:t xml:space="preserve">Individual life and health insurance policies are exempt from 22 September 2025, so rule 32(4) now matters mainly for group and other non-individual policies.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63: Money changer and air travel agent</w:t>
            </w:r>
          </w:p>
          <w:p>
            <w:pPr>
              <w:spacing w:after="60" w:line="260"/>
            </w:pPr>
            <w:r>
              <w:rPr>
                <w:rFonts w:ascii="Verdana" w:cs="Verdana" w:eastAsia="Verdana" w:hAnsi="Verdana"/>
                <w:sz w:val="20"/>
                <w:szCs w:val="20"/>
              </w:rPr>
              <w:t xml:space="preserve">Swastik Forex buys USD 1,000 at Rs. 86.50 when the RBI reference rate is Rs. 87.00. Value = Rs. 0.50 x 1,000 = Rs. 500; GST Rs. 90. Under the optional method, value = 1% of Rs. 86,500 = Rs. 865; GST Rs. 155.70. The option, once chosen, applies for the whole financial year.</w:t>
            </w:r>
          </w:p>
          <w:p>
            <w:pPr>
              <w:spacing w:after="60" w:line="260"/>
            </w:pPr>
            <w:r>
              <w:rPr>
                <w:rFonts w:ascii="Verdana" w:cs="Verdana" w:eastAsia="Verdana" w:hAnsi="Verdana"/>
                <w:sz w:val="20"/>
                <w:szCs w:val="20"/>
              </w:rPr>
              <w:t xml:space="preserve">Skyway Travels books a domestic ticket (basic fare Rs. 10,000) and an international ticket (basic fare Rs. 50,000). Values are Rs. 500 and Rs. 5,000; GST at 18% is Rs. 90 and Rs. 900.</w:t>
            </w:r>
          </w:p>
        </w:tc>
      </w:tr>
    </w:tbl>
    <w:p>
      <w:pPr>
        <w:spacing w:after="60"/>
      </w:pPr>
    </w:p>
    <w:p>
      <w:pPr>
        <w:pStyle w:val="Heading2"/>
        <w:keepNext/>
        <w:spacing w:after="120" w:before="240"/>
      </w:pPr>
      <w:r>
        <w:rPr>
          <w:rFonts w:ascii="Verdana" w:cs="Verdana" w:eastAsia="Verdana" w:hAnsi="Verdana"/>
        </w:rPr>
        <w:t xml:space="preserve">11.6 Pure agent (Rule 33)</w:t>
      </w:r>
    </w:p>
    <w:p>
      <w:pPr>
        <w:spacing w:after="120" w:line="276"/>
        <w:jc w:val="both"/>
      </w:pPr>
      <w:r>
        <w:rPr>
          <w:rFonts w:ascii="Verdana" w:cs="Verdana" w:eastAsia="Verdana" w:hAnsi="Verdana"/>
        </w:rPr>
        <w:t xml:space="preserve">Rule 33 excludes amounts paid to third parties on behalf of the client only if the supplier acts as a pure agent: he pays the third party on the recipient's authorisation, shows the payment separately in the invoice, and the goods or services so procured are in addition to his own services. The Explanation adds that the pure agent must have a contract with the recipient to incur the expenditure, must not hold or intend to hold title to what is procured, must not use it for his own interest, and must recover only the actual amount.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Reimbursable expenses</w:t>
            </w:r>
          </w:p>
          <w:p>
            <w:pPr>
              <w:spacing w:after="60" w:line="260"/>
            </w:pPr>
            <w:r>
              <w:rPr>
                <w:rFonts w:ascii="Verdana" w:cs="Verdana" w:eastAsia="Verdana" w:hAnsi="Verdana"/>
                <w:b/>
                <w:bCs/>
                <w:sz w:val="20"/>
                <w:szCs w:val="20"/>
              </w:rPr>
              <w:t xml:space="preserve">Union of India v. Intercontinental Consultants and Technocrats (P) Ltd. (Supreme Court, 2018):</w:t>
            </w:r>
            <w:r>
              <w:rPr>
                <w:rFonts w:ascii="Verdana" w:cs="Verdana" w:eastAsia="Verdana" w:hAnsi="Verdana"/>
                <w:sz w:val="20"/>
                <w:szCs w:val="20"/>
              </w:rPr>
              <w:t xml:space="preserve"> under service tax, rule 5(1) of the valuation rules was struck down for going beyond section 67 by including reimbursable expenses; only consideration for the service itself could be taxed. Under GST, section 15(2)(c) expressly includes incidental expenses, so the ruling does not exclude reimbursements generally. It still supports excluding genuine third-party costs that meet rule 33.</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64: Customs broker's invoice</w:t>
            </w:r>
          </w:p>
          <w:p>
            <w:pPr>
              <w:spacing w:after="60" w:line="260"/>
            </w:pPr>
            <w:r>
              <w:rPr>
                <w:rFonts w:ascii="Verdana" w:cs="Verdana" w:eastAsia="Verdana" w:hAnsi="Verdana"/>
                <w:sz w:val="20"/>
                <w:szCs w:val="20"/>
              </w:rPr>
              <w:t xml:space="preserve">Sagar Clearing Agency bills an importer: agency fee Rs. 15,000; documentation Rs. 2,000; transport by a trucker Sagar engaged in its own name Rs. 8,000; customs duty paid for the client Rs. 4,00,000; CFS charges billed to the client and paid by Sagar Rs. 12,000.</w:t>
            </w:r>
          </w:p>
          <w:p>
            <w:pPr>
              <w:spacing w:after="60" w:line="260"/>
            </w:pPr>
            <w:r>
              <w:rPr>
                <w:rFonts w:ascii="Verdana" w:cs="Verdana" w:eastAsia="Verdana" w:hAnsi="Verdana"/>
                <w:sz w:val="20"/>
                <w:szCs w:val="20"/>
              </w:rPr>
              <w:t xml:space="preserve">Step 1: Customs duty and CFS charges (client's liability, authorised, shown separately, at actual) are pure agent costs: Rs. 4,12,000 excluded.</w:t>
            </w:r>
          </w:p>
          <w:p>
            <w:pPr>
              <w:spacing w:after="60" w:line="260"/>
            </w:pPr>
            <w:r>
              <w:rPr>
                <w:rFonts w:ascii="Verdana" w:cs="Verdana" w:eastAsia="Verdana" w:hAnsi="Verdana"/>
                <w:sz w:val="20"/>
                <w:szCs w:val="20"/>
              </w:rPr>
              <w:t xml:space="preserve">Step 2: Transport is procured by Sagar for its own service and is included. Value = Rs. 15,000 + Rs. 2,000 + Rs. 8,000 = Rs. 25,000. GST = Rs. 4,500.</w:t>
            </w:r>
          </w:p>
          <w:p>
            <w:pPr>
              <w:spacing w:after="60" w:line="260"/>
            </w:pPr>
            <w:r>
              <w:rPr>
                <w:rFonts w:ascii="Verdana" w:cs="Verdana" w:eastAsia="Verdana" w:hAnsi="Verdana"/>
                <w:sz w:val="20"/>
                <w:szCs w:val="20"/>
              </w:rPr>
              <w:t xml:space="preserve">Step 3: Invoice total = Rs. 25,000 + Rs. 4,500 + Rs. 4,12,000 = Rs. 4,41,500.</w:t>
            </w:r>
          </w:p>
        </w:tc>
      </w:tr>
    </w:tbl>
    <w:p>
      <w:pPr>
        <w:spacing w:after="60"/>
      </w:pPr>
    </w:p>
    <w:p>
      <w:pPr>
        <w:pStyle w:val="Heading2"/>
        <w:keepNext/>
        <w:spacing w:after="120" w:before="240"/>
      </w:pPr>
      <w:r>
        <w:rPr>
          <w:rFonts w:ascii="Verdana" w:cs="Verdana" w:eastAsia="Verdana" w:hAnsi="Verdana"/>
        </w:rPr>
        <w:t xml:space="preserve">11.7 Exchange rate and tax-inclusive value (Rules 34 and 35)</w:t>
      </w:r>
    </w:p>
    <w:p>
      <w:pPr>
        <w:spacing w:after="120" w:line="276"/>
        <w:jc w:val="both"/>
      </w:pPr>
      <w:r>
        <w:rPr>
          <w:rFonts w:ascii="Verdana" w:cs="Verdana" w:eastAsia="Verdana" w:hAnsi="Verdana"/>
        </w:rPr>
        <w:t xml:space="preserve">Under rule 34, the exchange rate for goods is the rate notified by CBIC under section 14 of the Customs Act, 1962, and for services the rate determined under generally accepted accounting principles, in each case for the date of time of supply. Under rule 35, where value includes tax, tax = (tax-inclusive value x rate) / (100 + rate); on Rs. 1,180 at 18%, tax is Rs. 180.</w:t>
      </w:r>
    </w:p>
    <w:p>
      <w:pPr>
        <w:pStyle w:val="Heading2"/>
        <w:keepNext/>
        <w:spacing w:after="120" w:before="240"/>
      </w:pPr>
      <w:r>
        <w:rPr>
          <w:rFonts w:ascii="Verdana" w:cs="Verdana" w:eastAsia="Verdana" w:hAnsi="Verdana"/>
        </w:rPr>
        <w:t xml:space="preserve">11.8 Free supplies by the recipient</w:t>
      </w:r>
    </w:p>
    <w:p>
      <w:pPr>
        <w:spacing w:after="120" w:line="276"/>
        <w:jc w:val="both"/>
      </w:pPr>
      <w:r>
        <w:rPr>
          <w:rFonts w:ascii="Verdana" w:cs="Verdana" w:eastAsia="Verdana" w:hAnsi="Verdana"/>
        </w:rPr>
        <w:t xml:space="preserve">Customers often supply cement and steel to contractors, moulds to component makers or packing material to job workers free of cost. Under section 15(2)(b), such material is added to value only if the supplier was liable to pay for it. CBIC Circular 47/21/2018-GST dated 8 June 2018 applied this to moulds and dies supplied free by an OEM to a component maker: not added unless the contract makes the component maker bear their cost, and the OEM need not reverse ITC on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Free supplies and value</w:t>
            </w:r>
          </w:p>
          <w:p>
            <w:pPr>
              <w:spacing w:after="60" w:line="260"/>
            </w:pPr>
            <w:r>
              <w:rPr>
                <w:rFonts w:ascii="Verdana" w:cs="Verdana" w:eastAsia="Verdana" w:hAnsi="Verdana"/>
                <w:b/>
                <w:bCs/>
                <w:sz w:val="20"/>
                <w:szCs w:val="20"/>
              </w:rPr>
              <w:t xml:space="preserve">Commissioner of Service Tax v. Bhayana Builders (P) Ltd. (Supreme Court, 2018):</w:t>
            </w:r>
            <w:r>
              <w:rPr>
                <w:rFonts w:ascii="Verdana" w:cs="Verdana" w:eastAsia="Verdana" w:hAnsi="Verdana"/>
                <w:sz w:val="20"/>
                <w:szCs w:val="20"/>
              </w:rPr>
              <w:t xml:space="preserve"> materials supplied free by the service recipient to a construction service provider were not part of the "gross amount charged" for service tax, since nothing was charged for them. The principle that free supplies which are not consideration stay out of value carries over to GST, read with section 15(2)(b).</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65: Contract with client-supplied cement</w:t>
            </w:r>
          </w:p>
          <w:p>
            <w:pPr>
              <w:spacing w:after="60" w:line="260"/>
            </w:pPr>
            <w:r>
              <w:rPr>
                <w:rFonts w:ascii="Verdana" w:cs="Verdana" w:eastAsia="Verdana" w:hAnsi="Verdana"/>
                <w:sz w:val="20"/>
                <w:szCs w:val="20"/>
              </w:rPr>
              <w:t xml:space="preserve">Shah Constructions builds a warehouse for Agarwal Logistics for Rs. 1,00,00,000 plus 18% GST. The contract says Agarwal will procure and supply cement worth Rs. 30,00,000.</w:t>
            </w:r>
          </w:p>
          <w:p>
            <w:pPr>
              <w:spacing w:after="60" w:line="260"/>
            </w:pPr>
            <w:r>
              <w:rPr>
                <w:rFonts w:ascii="Verdana" w:cs="Verdana" w:eastAsia="Verdana" w:hAnsi="Verdana"/>
                <w:sz w:val="20"/>
                <w:szCs w:val="20"/>
              </w:rPr>
              <w:t xml:space="preserve">Value = Rs. 1,00,00,000; GST = Rs. 18,00,000 (CGST Rs. 9,00,000 + SGST Rs. 9,00,000). Had the contract made Shah responsible for cement, Rs. 30,00,000 would be added.</w:t>
            </w:r>
          </w:p>
        </w:tc>
      </w:tr>
    </w:tbl>
    <w:p>
      <w:pPr>
        <w:spacing w:after="60"/>
      </w:pPr>
    </w:p>
    <w:p>
      <w:pPr>
        <w:pStyle w:val="Heading2"/>
        <w:keepNext/>
        <w:spacing w:after="120" w:before="240"/>
      </w:pPr>
      <w:r>
        <w:rPr>
          <w:rFonts w:ascii="Verdana" w:cs="Verdana" w:eastAsia="Verdana" w:hAnsi="Verdana"/>
        </w:rPr>
        <w:t xml:space="preserve">11.9 Cross charge, employees and secondment</w:t>
      </w:r>
    </w:p>
    <w:p>
      <w:pPr>
        <w:spacing w:after="120" w:line="276"/>
        <w:jc w:val="both"/>
      </w:pPr>
      <w:r>
        <w:rPr>
          <w:rFonts w:ascii="Verdana" w:cs="Verdana" w:eastAsia="Verdana" w:hAnsi="Verdana"/>
        </w:rPr>
        <w:t xml:space="preserve">A head office providing internal services to branches in other States makes a supply to distinct persons (Schedule I, para 2). Circular 199/11/2023-GST dated 17 July 2023 clarified that where the recipient branch is eligible for full ITC, the invoice value is deemed open market value, and where no invoice is raised, the value may be treated as nil; salary cost of head office staff need not be included. If the branch is not fully taxable (say, a hospital branch), value is open market value or, failing that, 110% of cost under rule 30: for internal IT support costing Rs. 25,00,000, value would be Rs. 27,50,000 and IGST Rs. 4,95,000. From 1 April 2025, common input services bought from third parties must be distributed through ISD registration.</w:t>
      </w:r>
    </w:p>
    <w:p>
      <w:pPr>
        <w:spacing w:after="120" w:line="276"/>
        <w:jc w:val="both"/>
      </w:pPr>
      <w:r>
        <w:rPr>
          <w:rFonts w:ascii="Verdana" w:cs="Verdana" w:eastAsia="Verdana" w:hAnsi="Verdana"/>
        </w:rPr>
        <w:t xml:space="preserve">Perquisites given to employees under the contract of employment are not supplies (Circular 172/04/2022-GST), though ITC on canteen and similar facilities is blocked by section 17(5)(b) unless the employer is legally required to provide them. Gifts up to Rs. 50,000 per employee in a financial year are not supplies (proviso to Schedule I, para 2). Above that limit, in the commonly accepted view, the whole value is taxed at open market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Secondment is a supply of manpower</w:t>
            </w:r>
          </w:p>
          <w:p>
            <w:pPr>
              <w:spacing w:after="60" w:line="260"/>
            </w:pPr>
            <w:r>
              <w:rPr>
                <w:rFonts w:ascii="Verdana" w:cs="Verdana" w:eastAsia="Verdana" w:hAnsi="Verdana"/>
                <w:b/>
                <w:bCs/>
                <w:sz w:val="20"/>
                <w:szCs w:val="20"/>
              </w:rPr>
              <w:t xml:space="preserve">Commissioner of Customs, Central Excise and Service Tax v. Northern Operating Systems (P) Ltd. (Supreme Court, 2022):</w:t>
            </w:r>
            <w:r>
              <w:rPr>
                <w:rFonts w:ascii="Verdana" w:cs="Verdana" w:eastAsia="Verdana" w:hAnsi="Verdana"/>
                <w:sz w:val="20"/>
                <w:szCs w:val="20"/>
              </w:rPr>
              <w:t xml:space="preserve"> the overseas group company that seconded employees to the Indian entity supplied manpower services, taxable under reverse charge, even though the Indian entity directed their work and paid their salaries. The case arose under service tax; the reasoning is applied under GST to secondment by related foreign entities.</w:t>
            </w:r>
          </w:p>
        </w:tc>
      </w:tr>
    </w:tbl>
    <w:p>
      <w:pPr>
        <w:spacing w:after="60"/>
      </w:pPr>
    </w:p>
    <w:p>
      <w:pPr>
        <w:spacing w:after="120" w:line="276"/>
        <w:jc w:val="both"/>
      </w:pPr>
      <w:r>
        <w:rPr>
          <w:rFonts w:ascii="Verdana" w:cs="Verdana" w:eastAsia="Verdana" w:hAnsi="Verdana"/>
        </w:rPr>
        <w:t xml:space="preserve">Circular 210/4/2024-GST dated 26 June 2024 settled valuation: where the Indian recipient is eligible for full ITC, the invoice value of services from a related foreign entity is deemed open market value, and where no invoice is issued the value may be treated as nil.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66: Secondment to an Indian subsidiary</w:t>
            </w:r>
          </w:p>
          <w:p>
            <w:pPr>
              <w:spacing w:after="60" w:line="260"/>
            </w:pPr>
            <w:r>
              <w:rPr>
                <w:rFonts w:ascii="Verdana" w:cs="Verdana" w:eastAsia="Verdana" w:hAnsi="Verdana"/>
                <w:sz w:val="20"/>
                <w:szCs w:val="20"/>
              </w:rPr>
              <w:t xml:space="preserve">Delta India Pvt. Ltd. receives three employees from its German parent, which charges Rs. 1,20,00,000 for the year.</w:t>
            </w:r>
          </w:p>
          <w:p>
            <w:pPr>
              <w:spacing w:after="60" w:line="260"/>
            </w:pPr>
            <w:r>
              <w:rPr>
                <w:rFonts w:ascii="Verdana" w:cs="Verdana" w:eastAsia="Verdana" w:hAnsi="Verdana"/>
                <w:sz w:val="20"/>
                <w:szCs w:val="20"/>
              </w:rPr>
              <w:t xml:space="preserve">Case A: Delta makes only taxable supplies. The invoice value is accepted. IGST under reverse charge = Rs. 21,60,000, paid in cash and taken back as credit.</w:t>
            </w:r>
          </w:p>
          <w:p>
            <w:pPr>
              <w:spacing w:after="60" w:line="260"/>
            </w:pPr>
            <w:r>
              <w:rPr>
                <w:rFonts w:ascii="Verdana" w:cs="Verdana" w:eastAsia="Verdana" w:hAnsi="Verdana"/>
                <w:sz w:val="20"/>
                <w:szCs w:val="20"/>
              </w:rPr>
              <w:t xml:space="preserve">Case B: Delta is a bank using the 50% credit option under section 17(4). Open market value must be established, and only half of the Rs. 21,60,000 comes back as credit.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Transaction value applies where parties are unrelated and price is the sole consideration; section 15(2) adds other taxes, supplier liabilities borne by the buyer, incidental charges, interest for delay and non-Government subsidies.</w:t>
            </w:r>
          </w:p>
          <w:p>
            <w:pPr>
              <w:spacing w:after="60" w:line="260"/>
            </w:pPr>
            <w:r>
              <w:rPr>
                <w:rFonts w:ascii="Verdana" w:cs="Verdana" w:eastAsia="Verdana" w:hAnsi="Verdana"/>
                <w:sz w:val="20"/>
                <w:szCs w:val="20"/>
              </w:rPr>
              <w:t xml:space="preserve">•  Post-supply discounts need a prior agreement linked to invoices and ITC reversal by the recipient; the Finance Act, 2026 relaxation is not yet notified.</w:t>
            </w:r>
          </w:p>
          <w:p>
            <w:pPr>
              <w:spacing w:after="60" w:line="260"/>
            </w:pPr>
            <w:r>
              <w:rPr>
                <w:rFonts w:ascii="Verdana" w:cs="Verdana" w:eastAsia="Verdana" w:hAnsi="Verdana"/>
                <w:sz w:val="20"/>
                <w:szCs w:val="20"/>
              </w:rPr>
              <w:t xml:space="preserve">•  Rule 28: open market value, 90% of resale price, or invoice value where the recipient has full ITC; corporate guarantees at 1% per annum or actual consideration, whichever is higher.</w:t>
            </w:r>
          </w:p>
          <w:p>
            <w:pPr>
              <w:spacing w:after="60" w:line="260"/>
            </w:pPr>
            <w:r>
              <w:rPr>
                <w:rFonts w:ascii="Verdana" w:cs="Verdana" w:eastAsia="Verdana" w:hAnsi="Verdana"/>
                <w:sz w:val="20"/>
                <w:szCs w:val="20"/>
              </w:rPr>
              <w:t xml:space="preserve">•  Rules 29 to 32 cover agents, cost plus 10%, residual method, lottery and gaming at 40%, money changers, air travel agents, insurance and second-hand goods.</w:t>
            </w:r>
          </w:p>
          <w:p>
            <w:pPr>
              <w:spacing w:after="60" w:line="260"/>
            </w:pPr>
            <w:r>
              <w:rPr>
                <w:rFonts w:ascii="Verdana" w:cs="Verdana" w:eastAsia="Verdana" w:hAnsi="Verdana"/>
                <w:sz w:val="20"/>
                <w:szCs w:val="20"/>
              </w:rPr>
              <w:t xml:space="preserve">•  Pure agent costs are excluded only if every condition of rule 33 is met; free supplies are excluded where the supplier was not liable for them.</w:t>
            </w:r>
          </w:p>
          <w:p>
            <w:pPr>
              <w:spacing w:after="60" w:line="260"/>
            </w:pPr>
            <w:r>
              <w:rPr>
                <w:rFonts w:ascii="Verdana" w:cs="Verdana" w:eastAsia="Verdana" w:hAnsi="Verdana"/>
                <w:sz w:val="20"/>
                <w:szCs w:val="20"/>
              </w:rPr>
              <w:t xml:space="preserve">•  Cross charges and secondment charges to recipients with full ITC can be taken at invoice value, including nil (Circulars 199/11/2023-GST and 210/4/2024-GST).</w:t>
            </w:r>
          </w:p>
        </w:tc>
      </w:tr>
    </w:tbl>
    <w:p>
      <w:pPr>
        <w:pStyle w:val="Heading1"/>
        <w:pageBreakBefore/>
        <w:spacing w:after="200" w:before="0"/>
      </w:pPr>
      <w:r>
        <w:rPr>
          <w:rFonts w:ascii="Verdana" w:cs="Verdana" w:eastAsia="Verdana" w:hAnsi="Verdana"/>
        </w:rPr>
        <w:t xml:space="preserve">12. Place of Supply: Domestic Transactions (IGST Sections 7, 8, 10 and 12)</w:t>
      </w:r>
    </w:p>
    <w:p>
      <w:pPr>
        <w:spacing w:after="120" w:line="276"/>
        <w:jc w:val="both"/>
      </w:pPr>
      <w:r>
        <w:rPr>
          <w:rFonts w:ascii="Verdana" w:cs="Verdana" w:eastAsia="Verdana" w:hAnsi="Verdana"/>
        </w:rPr>
        <w:t xml:space="preserve">GST is a destination-based tax: the State where goods or services are consumed should get the tax. Once the location of the supplier and the place of supply are known, the supply is either intra-State (CGST plus SGST, or CGST plus UTGST) or inter-State (IGST). The rate is the same either way; what changes is the Government that collects the tax and whether the recipient can use the credit.</w:t>
      </w:r>
    </w:p>
    <w:p>
      <w:pPr>
        <w:spacing w:after="120" w:line="276"/>
        <w:jc w:val="both"/>
      </w:pPr>
      <w:r>
        <w:rPr>
          <w:rFonts w:ascii="Verdana" w:cs="Verdana" w:eastAsia="Verdana" w:hAnsi="Verdana"/>
        </w:rPr>
        <w:t xml:space="preserve">This chapter covers supplies where both the supplier and the recipient are in India. Chapter 4 deals with cross-border services.</w:t>
      </w:r>
    </w:p>
    <w:p>
      <w:pPr>
        <w:pStyle w:val="Heading2"/>
        <w:keepNext/>
        <w:spacing w:after="120" w:before="240"/>
      </w:pPr>
      <w:r>
        <w:rPr>
          <w:rFonts w:ascii="Verdana" w:cs="Verdana" w:eastAsia="Verdana" w:hAnsi="Verdana"/>
        </w:rPr>
        <w:t xml:space="preserve">12.1 Inter-State and intra-State supplies (Sections 7 and 8)</w:t>
      </w:r>
    </w:p>
    <w:p>
      <w:pPr>
        <w:spacing w:after="120" w:line="276"/>
        <w:jc w:val="both"/>
      </w:pPr>
      <w:r>
        <w:rPr>
          <w:rFonts w:ascii="Verdana" w:cs="Verdana" w:eastAsia="Verdana" w:hAnsi="Verdana"/>
        </w:rPr>
        <w:t xml:space="preserve">Section 7 of the IGST Act lists inter-State supplies and section 8 lists intra-State supplies. For goods, a supply is inter-State where the location of the supplier and the place of supply are in two different States, two different Union territories, or a State and a Union territory (section 7(1)). For services, section 7(3) applies the same test. Section 8(1) and 8(2) make a supply intra-State where both are in the same State or Union territory.</w:t>
      </w:r>
    </w:p>
    <w:p>
      <w:pPr>
        <w:spacing w:after="120" w:line="276"/>
        <w:jc w:val="both"/>
      </w:pPr>
      <w:r>
        <w:rPr>
          <w:rFonts w:ascii="Verdana" w:cs="Verdana" w:eastAsia="Verdana" w:hAnsi="Verdana"/>
        </w:rPr>
        <w:t xml:space="preserve">The IGST Act deems certain supplies to be inter-State whatever the locations:</w:t>
      </w:r>
    </w:p>
    <w:p>
      <w:pPr>
        <w:pStyle w:val="ListParagraph"/>
        <w:numPr>
          <w:ilvl w:val="0"/>
          <w:numId w:val="2"/>
        </w:numPr>
        <w:spacing w:after="60" w:line="264"/>
      </w:pPr>
      <w:r>
        <w:rPr>
          <w:rFonts w:ascii="Verdana" w:cs="Verdana" w:eastAsia="Verdana" w:hAnsi="Verdana"/>
          <w:b/>
          <w:bCs/>
        </w:rPr>
        <w:t xml:space="preserve">Imports:</w:t>
      </w:r>
      <w:r>
        <w:rPr>
          <w:rFonts w:ascii="Verdana" w:cs="Verdana" w:eastAsia="Verdana" w:hAnsi="Verdana"/>
        </w:rPr>
        <w:t xml:space="preserve"> goods imported into India are inter-State supplies until they cross the customs frontiers of India (section 7(2)); import of services is inter-State (section 7(4)).</w:t>
      </w:r>
    </w:p>
    <w:p>
      <w:pPr>
        <w:pStyle w:val="ListParagraph"/>
        <w:numPr>
          <w:ilvl w:val="0"/>
          <w:numId w:val="2"/>
        </w:numPr>
        <w:spacing w:after="60" w:line="264"/>
      </w:pPr>
      <w:r>
        <w:rPr>
          <w:rFonts w:ascii="Verdana" w:cs="Verdana" w:eastAsia="Verdana" w:hAnsi="Verdana"/>
          <w:b/>
          <w:bCs/>
        </w:rPr>
        <w:t xml:space="preserve">Exports and supplies with place of supply outside India:</w:t>
      </w:r>
      <w:r>
        <w:rPr>
          <w:rFonts w:ascii="Verdana" w:cs="Verdana" w:eastAsia="Verdana" w:hAnsi="Verdana"/>
        </w:rPr>
        <w:t xml:space="preserve"> where the supplier is in India and the place of supply is outside India (section 7(5)(a)).</w:t>
      </w:r>
    </w:p>
    <w:p>
      <w:pPr>
        <w:pStyle w:val="ListParagraph"/>
        <w:numPr>
          <w:ilvl w:val="0"/>
          <w:numId w:val="2"/>
        </w:numPr>
        <w:spacing w:after="60" w:line="264"/>
      </w:pPr>
      <w:r>
        <w:rPr>
          <w:rFonts w:ascii="Verdana" w:cs="Verdana" w:eastAsia="Verdana" w:hAnsi="Verdana"/>
          <w:b/>
          <w:bCs/>
        </w:rPr>
        <w:t xml:space="preserve">SEZ:</w:t>
      </w:r>
      <w:r>
        <w:rPr>
          <w:rFonts w:ascii="Verdana" w:cs="Verdana" w:eastAsia="Verdana" w:hAnsi="Verdana"/>
        </w:rPr>
        <w:t xml:space="preserve"> a supply to or by a Special Economic Zone developer or unit is always inter-State (section 7(5)(b)), even if the supplier sits next door in the same city.</w:t>
      </w:r>
    </w:p>
    <w:p>
      <w:pPr>
        <w:pStyle w:val="ListParagraph"/>
        <w:numPr>
          <w:ilvl w:val="0"/>
          <w:numId w:val="2"/>
        </w:numPr>
        <w:spacing w:after="60" w:line="264"/>
      </w:pPr>
      <w:r>
        <w:rPr>
          <w:rFonts w:ascii="Verdana" w:cs="Verdana" w:eastAsia="Verdana" w:hAnsi="Verdana"/>
          <w:b/>
          <w:bCs/>
        </w:rPr>
        <w:t xml:space="preserve">Residual:</w:t>
      </w:r>
      <w:r>
        <w:rPr>
          <w:rFonts w:ascii="Verdana" w:cs="Verdana" w:eastAsia="Verdana" w:hAnsi="Verdana"/>
        </w:rPr>
        <w:t xml:space="preserve"> any supply in the taxable territory which is not intra-State and not covered elsewhere (section 7(5)(c)).</w:t>
      </w:r>
    </w:p>
    <w:p>
      <w:pPr>
        <w:pStyle w:val="ListParagraph"/>
        <w:numPr>
          <w:ilvl w:val="0"/>
          <w:numId w:val="2"/>
        </w:numPr>
        <w:spacing w:after="60" w:line="264"/>
      </w:pPr>
      <w:r>
        <w:rPr>
          <w:rFonts w:ascii="Verdana" w:cs="Verdana" w:eastAsia="Verdana" w:hAnsi="Verdana"/>
          <w:b/>
          <w:bCs/>
        </w:rPr>
        <w:t xml:space="preserve">Tourists:</w:t>
      </w:r>
      <w:r>
        <w:rPr>
          <w:rFonts w:ascii="Verdana" w:cs="Verdana" w:eastAsia="Verdana" w:hAnsi="Verdana"/>
        </w:rPr>
        <w:t xml:space="preserve"> a supply of goods to a tourist leaving India is not intra-State (proviso to section 8(1)), so IGST is charged. Section 15 of the IGST Act provides for refund of that IGST to the tourist, but the refund scheme has not been put into operation; check the current position before advising a retailer.</w:t>
      </w:r>
    </w:p>
    <w:p>
      <w:pPr>
        <w:spacing w:after="120" w:line="276"/>
        <w:jc w:val="both"/>
      </w:pPr>
      <w:r>
        <w:rPr>
          <w:rFonts w:ascii="Verdana" w:cs="Verdana" w:eastAsia="Verdana" w:hAnsi="Verdana"/>
        </w:rPr>
        <w:t xml:space="preserve">The Explanation to section 8 treats establishments of the same person in different States as establishments of distinct persons. A company registered in Gujarat and Maharashtra is two taxable persons for GST, and goods sent from one to the other are inter-State supplies (Schedule I, para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A supply to an SEZ unit is inter-State even where the SEZ is in the supplier's own State. Charging CGST plus SGST to an SEZ unit is one of the commonest errors seen in audit. The same rule applies to hotel rooms, conferencing and banqueting supplied to an SEZ unit: CBIC Circular 48/22/2018-GST treats them as inter-State supplies, although section 12(3) would otherwise fix the place of supply at the hotel.</w:t>
            </w:r>
          </w:p>
        </w:tc>
      </w:tr>
    </w:tbl>
    <w:p>
      <w:pPr>
        <w:spacing w:after="60"/>
      </w:pPr>
    </w:p>
    <w:p>
      <w:pPr>
        <w:pStyle w:val="Heading2"/>
        <w:keepNext/>
        <w:spacing w:after="120" w:before="240"/>
      </w:pPr>
      <w:r>
        <w:rPr>
          <w:rFonts w:ascii="Verdana" w:cs="Verdana" w:eastAsia="Verdana" w:hAnsi="Verdana"/>
        </w:rPr>
        <w:t xml:space="preserve">12.2 Place of supply of goods (Section 10)</w:t>
      </w:r>
    </w:p>
    <w:p>
      <w:pPr>
        <w:spacing w:after="120" w:line="276"/>
        <w:jc w:val="both"/>
      </w:pPr>
      <w:r>
        <w:rPr>
          <w:rFonts w:ascii="Verdana" w:cs="Verdana" w:eastAsia="Verdana" w:hAnsi="Verdana"/>
        </w:rPr>
        <w:t xml:space="preserve">Section 10 applies where both parties are in India. Section 11 covers goods imported into or exported from India (place of supply is the location of the importer, and the location outside India, respectively). The rules in section 10(1)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4618"/>
        <w:gridCol w:w="3816"/>
      </w:tblGrid>
      <w:tr>
        <w:trPr>
          <w:cantSplit/>
          <w:tblHeader/>
        </w:trPr>
        <w:tc>
          <w:tcPr>
            <w:tcW w:type="dxa" w:w="1204"/>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Clause</w:t>
            </w:r>
          </w:p>
        </w:tc>
        <w:tc>
          <w:tcPr>
            <w:tcW w:type="dxa" w:w="461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Situation</w:t>
            </w:r>
          </w:p>
        </w:tc>
        <w:tc>
          <w:tcPr>
            <w:tcW w:type="dxa" w:w="381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Place of supply</w:t>
            </w:r>
          </w:p>
        </w:tc>
      </w:tr>
      <w:tr>
        <w:trPr>
          <w:cantSplit/>
        </w:trPr>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10(1)(a)</w:t>
            </w:r>
          </w:p>
        </w:tc>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involves movement of goods, by the supplier, the recipient or any other person</w:t>
            </w:r>
          </w:p>
        </w:tc>
        <w:tc>
          <w:tcPr>
            <w:tcW w:type="dxa" w:w="38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Location where movement terminates for delivery to the recipient</w:t>
            </w:r>
          </w:p>
        </w:tc>
      </w:tr>
      <w:tr>
        <w:trPr>
          <w:cantSplit/>
        </w:trPr>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10(1)(b)</w:t>
            </w:r>
          </w:p>
        </w:tc>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delivered to the recipient or any other person on the direction of a third person (bill-to-ship-to)</w:t>
            </w:r>
          </w:p>
        </w:tc>
        <w:tc>
          <w:tcPr>
            <w:tcW w:type="dxa" w:w="38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Principal place of business of the third person</w:t>
            </w:r>
          </w:p>
        </w:tc>
      </w:tr>
      <w:tr>
        <w:trPr>
          <w:cantSplit/>
        </w:trPr>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10(1)(c)</w:t>
            </w:r>
          </w:p>
        </w:tc>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movement of goods</w:t>
            </w:r>
          </w:p>
        </w:tc>
        <w:tc>
          <w:tcPr>
            <w:tcW w:type="dxa" w:w="38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Location of the goods at the time of delivery to the recipient</w:t>
            </w:r>
          </w:p>
        </w:tc>
      </w:tr>
      <w:tr>
        <w:trPr>
          <w:cantSplit/>
        </w:trPr>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10(1)(ca)</w:t>
            </w:r>
          </w:p>
        </w:tc>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to an unregistered person (from 1 October 2023)</w:t>
            </w:r>
          </w:p>
        </w:tc>
        <w:tc>
          <w:tcPr>
            <w:tcW w:type="dxa" w:w="38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Address of the recipient recorded in the invoice; location of the supplier if no address is recorded</w:t>
            </w:r>
          </w:p>
        </w:tc>
      </w:tr>
      <w:tr>
        <w:trPr>
          <w:cantSplit/>
        </w:trPr>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10(1)(d)</w:t>
            </w:r>
          </w:p>
        </w:tc>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assembled or installed at site</w:t>
            </w:r>
          </w:p>
        </w:tc>
        <w:tc>
          <w:tcPr>
            <w:tcW w:type="dxa" w:w="38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Place of installation or assembly</w:t>
            </w:r>
          </w:p>
        </w:tc>
      </w:tr>
      <w:tr>
        <w:trPr>
          <w:cantSplit/>
        </w:trPr>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10(1)(e)</w:t>
            </w:r>
          </w:p>
        </w:tc>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supplied on board a conveyance (vessel, aircraft, train, motor vehicle)</w:t>
            </w:r>
          </w:p>
        </w:tc>
        <w:tc>
          <w:tcPr>
            <w:tcW w:type="dxa" w:w="38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Location where the goods are taken on board</w:t>
            </w:r>
          </w:p>
        </w:tc>
      </w:tr>
    </w:tbl>
    <w:p>
      <w:pPr>
        <w:spacing w:after="60"/>
      </w:pPr>
    </w:p>
    <w:p>
      <w:pPr>
        <w:spacing w:after="120" w:line="276"/>
        <w:jc w:val="both"/>
      </w:pPr>
      <w:r>
        <w:rPr>
          <w:rFonts w:ascii="Verdana" w:cs="Verdana" w:eastAsia="Verdana" w:hAnsi="Verdana"/>
        </w:rPr>
        <w:t xml:space="preserve">Clause (ca) was inserted by the IGST (Amendment) Act, 2023 to protect consuming States on sales to individual buyers, including online sales. CBIC Circular 209/3/2024-GST dated 26 June 2024 clarified that where the billing address and the delivery address of an unregistered buyer differ, the delivery address recorded on the invoice is to be taken as the address of the recipient.</w:t>
      </w:r>
    </w:p>
    <w:p>
      <w:pPr>
        <w:pStyle w:val="Heading3"/>
        <w:keepNext/>
        <w:spacing w:after="80" w:before="160"/>
      </w:pPr>
      <w:r>
        <w:rPr>
          <w:rFonts w:ascii="Verdana" w:cs="Verdana" w:eastAsia="Verdana" w:hAnsi="Verdana"/>
        </w:rPr>
        <w:t xml:space="preserve">Bill-to-ship-to transactions (Section 10(1)(b))</w:t>
      </w:r>
    </w:p>
    <w:p>
      <w:pPr>
        <w:spacing w:after="120" w:line="276"/>
        <w:jc w:val="both"/>
      </w:pPr>
      <w:r>
        <w:rPr>
          <w:rFonts w:ascii="Verdana" w:cs="Verdana" w:eastAsia="Verdana" w:hAnsi="Verdana"/>
        </w:rPr>
        <w:t xml:space="preserve">In a bill-to-ship-to deal, there are two sales but only one physical movement. The first seller delivers directly to the ultimate buyer on the instructions of the middle party. Section 10(1)(b) deems the middle party to have received the goods, so the first sale takes its place of supply from the middle party's principal place of business, wherever the goods actually go. The second sale follows the normal rule in section 10(1)(a). One e-way bill with the bill-to and ship-to details is enough for the single movement.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67: Three-party bill-to-ship-to sale</w:t>
            </w:r>
          </w:p>
          <w:p>
            <w:pPr>
              <w:spacing w:after="60" w:line="260"/>
            </w:pPr>
            <w:r>
              <w:rPr>
                <w:rFonts w:ascii="Verdana" w:cs="Verdana" w:eastAsia="Verdana" w:hAnsi="Verdana"/>
                <w:sz w:val="20"/>
                <w:szCs w:val="20"/>
              </w:rPr>
              <w:t xml:space="preserve">Kalyan Steel Pvt. Ltd., Mumbai (Maharashtra), sells steel coils to Bharat Traders, Ahmedabad (Gujarat), for Rs. 10,00,000. Bharat has resold the coils to Pune Fabricators, Pune (Maharashtra), for Rs. 11,50,000 and asks Kalyan to deliver them from Mumbai straight to Pune. GST is 18%.</w:t>
            </w:r>
          </w:p>
          <w:p>
            <w:pPr>
              <w:spacing w:after="60" w:line="260"/>
            </w:pPr>
            <w:r>
              <w:rPr>
                <w:rFonts w:ascii="Verdana" w:cs="Verdana" w:eastAsia="Verdana" w:hAnsi="Verdana"/>
                <w:sz w:val="20"/>
                <w:szCs w:val="20"/>
              </w:rPr>
              <w:t xml:space="preserve">Step 1 (Kalyan to Bharat): section 10(1)(b) applies. Place of supply is Gujarat, Bharat's principal place of business. Kalyan is in Maharashtra, so the supply is inter-State. IGST = 18% of Rs. 10,00,000 = Rs. 1,80,000, even though the goods never leave Maharashtra.</w:t>
            </w:r>
          </w:p>
          <w:p>
            <w:pPr>
              <w:spacing w:after="60" w:line="260"/>
            </w:pPr>
            <w:r>
              <w:rPr>
                <w:rFonts w:ascii="Verdana" w:cs="Verdana" w:eastAsia="Verdana" w:hAnsi="Verdana"/>
                <w:sz w:val="20"/>
                <w:szCs w:val="20"/>
              </w:rPr>
              <w:t xml:space="preserve">Step 2 (Bharat to Pune Fabricators): movement ends at Pune, so place of supply is Maharashtra (section 10(1)(a)). Bharat is in Gujarat, so IGST = 18% of Rs. 11,50,000 = Rs. 2,07,000.</w:t>
            </w:r>
          </w:p>
          <w:p>
            <w:pPr>
              <w:spacing w:after="60" w:line="260"/>
            </w:pPr>
            <w:r>
              <w:rPr>
                <w:rFonts w:ascii="Verdana" w:cs="Verdana" w:eastAsia="Verdana" w:hAnsi="Verdana"/>
                <w:sz w:val="20"/>
                <w:szCs w:val="20"/>
              </w:rPr>
              <w:t xml:space="preserve">Step 3: Bharat takes credit of Rs. 1,80,000 and pays Rs. 27,000 net. Bharat does not need registration in Maharashtra, and Pune Fabricators takes IGST credit of Rs. 2,07,000.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68: Machine installed at site</w:t>
            </w:r>
          </w:p>
          <w:p>
            <w:pPr>
              <w:spacing w:after="60" w:line="260"/>
            </w:pPr>
            <w:r>
              <w:rPr>
                <w:rFonts w:ascii="Verdana" w:cs="Verdana" w:eastAsia="Verdana" w:hAnsi="Verdana"/>
                <w:sz w:val="20"/>
                <w:szCs w:val="20"/>
              </w:rPr>
              <w:t xml:space="preserve">Coimbatore Machine Tools, registered in Tamil Nadu, supplies and installs a CNC machine at a factory in Bengaluru for Rs. 25,00,000 plus 18% GST. The machine is bolted to the floor but can be removed and sold, so it remains goods.</w:t>
            </w:r>
          </w:p>
          <w:p>
            <w:pPr>
              <w:spacing w:after="60" w:line="260"/>
            </w:pPr>
            <w:r>
              <w:rPr>
                <w:rFonts w:ascii="Verdana" w:cs="Verdana" w:eastAsia="Verdana" w:hAnsi="Verdana"/>
                <w:sz w:val="20"/>
                <w:szCs w:val="20"/>
              </w:rPr>
              <w:t xml:space="preserve">Place of supply is Karnataka, where the machine is installed (section 10(1)(d)). The supplier is in Tamil Nadu. IGST = Rs. 4,50,000.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69: Goods sold on board a train</w:t>
            </w:r>
          </w:p>
          <w:p>
            <w:pPr>
              <w:spacing w:after="60" w:line="260"/>
            </w:pPr>
            <w:r>
              <w:rPr>
                <w:rFonts w:ascii="Verdana" w:cs="Verdana" w:eastAsia="Verdana" w:hAnsi="Verdana"/>
                <w:sz w:val="20"/>
                <w:szCs w:val="20"/>
              </w:rPr>
              <w:t xml:space="preserve">Annapurna Caterers, registered in Gujarat, loads packaged namkeen at Ahmedabad on an Ahmedabad to Mumbai train and sells packets worth Rs. 50,000 during the journey, mostly after the train enters Maharashtra. Namkeen is at 5%.</w:t>
            </w:r>
          </w:p>
          <w:p>
            <w:pPr>
              <w:spacing w:after="60" w:line="260"/>
            </w:pPr>
            <w:r>
              <w:rPr>
                <w:rFonts w:ascii="Verdana" w:cs="Verdana" w:eastAsia="Verdana" w:hAnsi="Verdana"/>
                <w:sz w:val="20"/>
                <w:szCs w:val="20"/>
              </w:rPr>
              <w:t xml:space="preserve">Place of supply is Gujarat, where the goods were taken on board (section 10(1)(e)). The supply is intra-State: CGST Rs. 1,250 + SGST Rs. 1,250 = Rs. 2,500.</w:t>
            </w:r>
          </w:p>
        </w:tc>
      </w:tr>
    </w:tbl>
    <w:p>
      <w:pPr>
        <w:spacing w:after="60"/>
      </w:pPr>
    </w:p>
    <w:p>
      <w:pPr>
        <w:pStyle w:val="Heading2"/>
        <w:keepNext/>
        <w:spacing w:after="120" w:before="240"/>
      </w:pPr>
      <w:r>
        <w:rPr>
          <w:rFonts w:ascii="Verdana" w:cs="Verdana" w:eastAsia="Verdana" w:hAnsi="Verdana"/>
        </w:rPr>
        <w:t xml:space="preserve">12.3 Place of supply of services (Section 12)</w:t>
      </w:r>
    </w:p>
    <w:p>
      <w:pPr>
        <w:spacing w:after="120" w:line="276"/>
        <w:jc w:val="both"/>
      </w:pPr>
      <w:r>
        <w:rPr>
          <w:rFonts w:ascii="Verdana" w:cs="Verdana" w:eastAsia="Verdana" w:hAnsi="Verdana"/>
        </w:rPr>
        <w:t xml:space="preserve">Section 12 applies where both the supplier and the recipient are in India. It has a general rule in section 12(2) and twelve specific rules in section 12(3) to (14). A specific rule always overrides the general rule. Where a service is tied to a place (a building, a restaurant, an event), tax goes to that place; where it is tied to a person, it goes to where that person is.</w:t>
      </w:r>
    </w:p>
    <w:p>
      <w:pPr>
        <w:spacing w:after="120" w:line="276"/>
        <w:jc w:val="both"/>
      </w:pPr>
      <w:r>
        <w:rPr>
          <w:rFonts w:ascii="Verdana" w:cs="Verdana" w:eastAsia="Verdana" w:hAnsi="Verdana"/>
        </w:rPr>
        <w:t xml:space="preserve">Under the general rule, a supply to a registered person has its place of supply at the location of that person. For an unregistered recipient, place of supply is the location of the recipient where the address is on record, and the location of the supplier in other cases. "Address on record" means an address obtained in the normal course of business (for example, from the customer's KYC or the contract), not one written in to change the tax.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4317"/>
        <w:gridCol w:w="4016"/>
      </w:tblGrid>
      <w:tr>
        <w:trPr>
          <w:cantSplit/>
          <w:tblHeader/>
        </w:trPr>
        <w:tc>
          <w:tcPr>
            <w:tcW w:type="dxa" w:w="130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Sub-section</w:t>
            </w:r>
          </w:p>
        </w:tc>
        <w:tc>
          <w:tcPr>
            <w:tcW w:type="dxa" w:w="431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Service</w:t>
            </w:r>
          </w:p>
        </w:tc>
        <w:tc>
          <w:tcPr>
            <w:tcW w:type="dxa" w:w="401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Place of supply</w:t>
            </w:r>
          </w:p>
        </w:tc>
      </w:tr>
      <w:tr>
        <w:trPr>
          <w:cantSplit/>
        </w:trPr>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12(2)</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General rule</w:t>
            </w:r>
          </w:p>
        </w:tc>
        <w:tc>
          <w:tcPr>
            <w:tcW w:type="dxa" w:w="40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Registered recipient: its location. Unregistered: address on record, else location of supplier</w:t>
            </w:r>
          </w:p>
        </w:tc>
      </w:tr>
      <w:tr>
        <w:trPr>
          <w:cantSplit/>
        </w:trPr>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12(3)</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Immovable property (architects, surveyors, estate agents, construction, renting); hotel and guest house accommodation; accommodation for functions and banquets</w:t>
            </w:r>
          </w:p>
        </w:tc>
        <w:tc>
          <w:tcPr>
            <w:tcW w:type="dxa" w:w="40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Location of the immovable property, boat or vessel; if outside India, location of the recipient</w:t>
            </w:r>
          </w:p>
        </w:tc>
      </w:tr>
      <w:tr>
        <w:trPr>
          <w:cantSplit/>
        </w:trPr>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12(4)</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Restaurant and catering, personal grooming, fitness, beauty treatment, health services including cosmetic surgery</w:t>
            </w:r>
          </w:p>
        </w:tc>
        <w:tc>
          <w:tcPr>
            <w:tcW w:type="dxa" w:w="40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Location where services are actually performed</w:t>
            </w:r>
          </w:p>
        </w:tc>
      </w:tr>
      <w:tr>
        <w:trPr>
          <w:cantSplit/>
        </w:trPr>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12(5)</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Training and performance appraisal</w:t>
            </w:r>
          </w:p>
        </w:tc>
        <w:tc>
          <w:tcPr>
            <w:tcW w:type="dxa" w:w="40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Registered: location of recipient. Unregistered: where performed</w:t>
            </w:r>
          </w:p>
        </w:tc>
      </w:tr>
      <w:tr>
        <w:trPr>
          <w:cantSplit/>
        </w:trPr>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12(6)</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Admission to cultural, sporting, educational, entertainment events or amusement parks</w:t>
            </w:r>
          </w:p>
        </w:tc>
        <w:tc>
          <w:tcPr>
            <w:tcW w:type="dxa" w:w="40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Place where the event is held or the park is located</w:t>
            </w:r>
          </w:p>
        </w:tc>
      </w:tr>
      <w:tr>
        <w:trPr>
          <w:cantSplit/>
        </w:trPr>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12(7)</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Organising an event, including sponsorship and ancillary services</w:t>
            </w:r>
          </w:p>
        </w:tc>
        <w:tc>
          <w:tcPr>
            <w:tcW w:type="dxa" w:w="40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Registered: location of recipient. Unregistered: where event held (outside India: location of recipient)</w:t>
            </w:r>
          </w:p>
        </w:tc>
      </w:tr>
      <w:tr>
        <w:trPr>
          <w:cantSplit/>
        </w:trPr>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12(8)</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Transport of goods, including mail and courier</w:t>
            </w:r>
          </w:p>
        </w:tc>
        <w:tc>
          <w:tcPr>
            <w:tcW w:type="dxa" w:w="40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Registered: location of recipient. Unregistered: where goods are handed over for transport</w:t>
            </w:r>
          </w:p>
        </w:tc>
      </w:tr>
      <w:tr>
        <w:trPr>
          <w:cantSplit/>
        </w:trPr>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12(9)</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Passenger transport</w:t>
            </w:r>
          </w:p>
        </w:tc>
        <w:tc>
          <w:tcPr>
            <w:tcW w:type="dxa" w:w="40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Registered: location of recipient. Unregistered: where the passenger embarks for a continuous journey</w:t>
            </w:r>
          </w:p>
        </w:tc>
      </w:tr>
      <w:tr>
        <w:trPr>
          <w:cantSplit/>
        </w:trPr>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12(10)</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Services on board a conveyance</w:t>
            </w:r>
          </w:p>
        </w:tc>
        <w:tc>
          <w:tcPr>
            <w:tcW w:type="dxa" w:w="40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First scheduled point of departure</w:t>
            </w:r>
          </w:p>
        </w:tc>
      </w:tr>
      <w:tr>
        <w:trPr>
          <w:cantSplit/>
        </w:trPr>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12(11)</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Telecom, including DTH and internet</w:t>
            </w:r>
          </w:p>
        </w:tc>
        <w:tc>
          <w:tcPr>
            <w:tcW w:type="dxa" w:w="40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Fixed line and leased circuit: place of installation. Postpaid: billing address. Prepaid: where the voucher is sold or recharge made. Others: address on record</w:t>
            </w:r>
          </w:p>
        </w:tc>
      </w:tr>
      <w:tr>
        <w:trPr>
          <w:cantSplit/>
        </w:trPr>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12(12)</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Banking and financial services, including stock broking</w:t>
            </w:r>
          </w:p>
        </w:tc>
        <w:tc>
          <w:tcPr>
            <w:tcW w:type="dxa" w:w="40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Location of recipient on the supplier's records; else location of supplier</w:t>
            </w:r>
          </w:p>
        </w:tc>
      </w:tr>
      <w:tr>
        <w:trPr>
          <w:cantSplit/>
        </w:trPr>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12(13)</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Insurance</w:t>
            </w:r>
          </w:p>
        </w:tc>
        <w:tc>
          <w:tcPr>
            <w:tcW w:type="dxa" w:w="40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Registered: location of recipient. Unregistered: location of recipient on the insurer's records</w:t>
            </w:r>
          </w:p>
        </w:tc>
      </w:tr>
      <w:tr>
        <w:trPr>
          <w:cantSplit/>
        </w:trPr>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12(14)</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Advertising to the Central or a State Government, a statutory body or local authority, meant for identifiable States</w:t>
            </w:r>
          </w:p>
        </w:tc>
        <w:tc>
          <w:tcPr>
            <w:tcW w:type="dxa" w:w="40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Each State where the advertisement is broadcast or published, in proportion to value</w:t>
            </w:r>
          </w:p>
        </w:tc>
      </w:tr>
    </w:tbl>
    <w:p>
      <w:pPr>
        <w:spacing w:after="60"/>
      </w:pPr>
    </w:p>
    <w:p>
      <w:pPr>
        <w:spacing w:after="120" w:line="276"/>
        <w:jc w:val="both"/>
      </w:pPr>
      <w:r>
        <w:rPr>
          <w:rFonts w:ascii="Verdana" w:cs="Verdana" w:eastAsia="Verdana" w:hAnsi="Verdana"/>
        </w:rPr>
        <w:t xml:space="preserve">Where immovable property, an event or a leased circuit falls in more than one State, the value is split between the States in proportion to the contract, or on a reasonable basis where the contract is silent (Explanations to section 12(3), 12(7) and 12(11)). The proviso to section 12(8), which fixed the destination of goods as the place of supply for transport of goods to a place outside India, was omitted from 1 October 2023; the general rule for transport of goods now applies to such transport as well.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70: General rule for a professional firm</w:t>
            </w:r>
          </w:p>
          <w:p>
            <w:pPr>
              <w:spacing w:after="60" w:line="260"/>
            </w:pPr>
            <w:r>
              <w:rPr>
                <w:rFonts w:ascii="Verdana" w:cs="Verdana" w:eastAsia="Verdana" w:hAnsi="Verdana"/>
                <w:sz w:val="20"/>
                <w:szCs w:val="20"/>
              </w:rPr>
              <w:t xml:space="preserve">Desai and Co., Chartered Accountants, Ahmedabad (Gujarat), raises three bills at 18%:</w:t>
            </w:r>
          </w:p>
          <w:p>
            <w:pPr>
              <w:spacing w:after="60" w:line="260"/>
            </w:pPr>
            <w:r>
              <w:rPr>
                <w:rFonts w:ascii="Verdana" w:cs="Verdana" w:eastAsia="Verdana" w:hAnsi="Verdana"/>
                <w:sz w:val="20"/>
                <w:szCs w:val="20"/>
              </w:rPr>
              <w:t xml:space="preserve">Bill 1: Rs. 2,00,000 to a company registered in Delhi. Place of supply is Delhi (location of registered recipient). IGST = Rs. 36,000.</w:t>
            </w:r>
          </w:p>
          <w:p>
            <w:pPr>
              <w:spacing w:after="60" w:line="260"/>
            </w:pPr>
            <w:r>
              <w:rPr>
                <w:rFonts w:ascii="Verdana" w:cs="Verdana" w:eastAsia="Verdana" w:hAnsi="Verdana"/>
                <w:sz w:val="20"/>
                <w:szCs w:val="20"/>
              </w:rPr>
              <w:t xml:space="preserve">Bill 2: Rs. 50,000 to an unregistered individual in Jaipur whose address is on record. Place of supply is Rajasthan. IGST = Rs. 9,000.</w:t>
            </w:r>
          </w:p>
          <w:p>
            <w:pPr>
              <w:spacing w:after="60" w:line="260"/>
            </w:pPr>
            <w:r>
              <w:rPr>
                <w:rFonts w:ascii="Verdana" w:cs="Verdana" w:eastAsia="Verdana" w:hAnsi="Verdana"/>
                <w:sz w:val="20"/>
                <w:szCs w:val="20"/>
              </w:rPr>
              <w:t xml:space="preserve">Bill 3: Rs. 10,000 to a walk-in client for a one-time certificate, with no address on record. Place of supply is Gujarat (location of supplier). CGST Rs. 900 + SGST Rs. 900.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71: Hotel stay and banquet for a sales conference</w:t>
            </w:r>
          </w:p>
          <w:p>
            <w:pPr>
              <w:spacing w:after="60" w:line="260"/>
            </w:pPr>
            <w:r>
              <w:rPr>
                <w:rFonts w:ascii="Verdana" w:cs="Verdana" w:eastAsia="Verdana" w:hAnsi="Verdana"/>
                <w:sz w:val="20"/>
                <w:szCs w:val="20"/>
              </w:rPr>
              <w:t xml:space="preserve">Sunrise Pharma Ltd., registered only in Gujarat, books 10 room-nights at a hotel in Goa at Rs. 9,000 per night for its sales team. As the tariff is above Rs. 7,500, the rate is 18%.</w:t>
            </w:r>
          </w:p>
          <w:p>
            <w:pPr>
              <w:spacing w:after="60" w:line="260"/>
            </w:pPr>
            <w:r>
              <w:rPr>
                <w:rFonts w:ascii="Verdana" w:cs="Verdana" w:eastAsia="Verdana" w:hAnsi="Verdana"/>
                <w:sz w:val="20"/>
                <w:szCs w:val="20"/>
              </w:rPr>
              <w:t xml:space="preserve">Step 1: Value = 10 x Rs. 9,000 = Rs. 90,000. Place of supply is Goa, where the hotel is (section 12(3)).</w:t>
            </w:r>
          </w:p>
          <w:p>
            <w:pPr>
              <w:spacing w:after="60" w:line="260"/>
            </w:pPr>
            <w:r>
              <w:rPr>
                <w:rFonts w:ascii="Verdana" w:cs="Verdana" w:eastAsia="Verdana" w:hAnsi="Verdana"/>
                <w:sz w:val="20"/>
                <w:szCs w:val="20"/>
              </w:rPr>
              <w:t xml:space="preserve">Step 2: The hotel charges CGST Rs. 8,100 + SGST (Goa) Rs. 8,100 = Rs. 16,200.</w:t>
            </w:r>
          </w:p>
          <w:p>
            <w:pPr>
              <w:spacing w:after="60" w:line="260"/>
            </w:pPr>
            <w:r>
              <w:rPr>
                <w:rFonts w:ascii="Verdana" w:cs="Verdana" w:eastAsia="Verdana" w:hAnsi="Verdana"/>
                <w:sz w:val="20"/>
                <w:szCs w:val="20"/>
              </w:rPr>
              <w:t xml:space="preserve">Step 3: Sunrise cannot use this credit against its Gujarat liability. GSTR-2B will show it as ineligible because the supplier and place of supply are in Goa while Sunrise is registered in Gujarat. The banquet hall for the conference follows the same rule. The tax is a cost unless Sunrise has a Goa registration.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72: Organising a dealer conference</w:t>
            </w:r>
          </w:p>
          <w:p>
            <w:pPr>
              <w:spacing w:after="60" w:line="260"/>
            </w:pPr>
            <w:r>
              <w:rPr>
                <w:rFonts w:ascii="Verdana" w:cs="Verdana" w:eastAsia="Verdana" w:hAnsi="Verdana"/>
                <w:sz w:val="20"/>
                <w:szCs w:val="20"/>
              </w:rPr>
              <w:t xml:space="preserve">Utsav Events, Mumbai (Maharashtra), organises a dealer conference at Udaipur (Rajasthan) for a fee of Rs. 8,00,000 plus 18% GST.</w:t>
            </w:r>
          </w:p>
          <w:p>
            <w:pPr>
              <w:spacing w:after="60" w:line="260"/>
            </w:pPr>
            <w:r>
              <w:rPr>
                <w:rFonts w:ascii="Verdana" w:cs="Verdana" w:eastAsia="Verdana" w:hAnsi="Verdana"/>
                <w:sz w:val="20"/>
                <w:szCs w:val="20"/>
              </w:rPr>
              <w:t xml:space="preserve">Case A: the client is a company registered in Telangana. Place of supply is Telangana (section 12(7)(a)). IGST = Rs. 1,44,000; the client takes full credit.</w:t>
            </w:r>
          </w:p>
          <w:p>
            <w:pPr>
              <w:spacing w:after="60" w:line="260"/>
            </w:pPr>
            <w:r>
              <w:rPr>
                <w:rFonts w:ascii="Verdana" w:cs="Verdana" w:eastAsia="Verdana" w:hAnsi="Verdana"/>
                <w:sz w:val="20"/>
                <w:szCs w:val="20"/>
              </w:rPr>
              <w:t xml:space="preserve">Case B: the client is an unregistered trust in Mumbai. Place of supply is Rajasthan, where the event is held (section 12(7)(b)). IGST = Rs. 1,44,000, and the tax goes to Rajasthan.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73: Transport of goods and of passengers</w:t>
            </w:r>
          </w:p>
          <w:p>
            <w:pPr>
              <w:spacing w:after="60" w:line="260"/>
            </w:pPr>
            <w:r>
              <w:rPr>
                <w:rFonts w:ascii="Verdana" w:cs="Verdana" w:eastAsia="Verdana" w:hAnsi="Verdana"/>
                <w:sz w:val="20"/>
                <w:szCs w:val="20"/>
              </w:rPr>
              <w:t xml:space="preserve">Goods: Speedway Roadlines, a GTA in Delhi that has not opted to pay tax itself, carries goods from Delhi to Jaipur for Haryana Auto Parts Pvt. Ltd., registered in Haryana. Freight is Rs. 40,000. The recipient is registered, so place of supply is Haryana (section 12(8)). Under reverse charge at 5%, Haryana Auto Parts pays IGST of Rs. 2,000.</w:t>
            </w:r>
          </w:p>
          <w:p>
            <w:pPr>
              <w:spacing w:after="60" w:line="260"/>
            </w:pPr>
            <w:r>
              <w:rPr>
                <w:rFonts w:ascii="Verdana" w:cs="Verdana" w:eastAsia="Verdana" w:hAnsi="Verdana"/>
                <w:sz w:val="20"/>
                <w:szCs w:val="20"/>
              </w:rPr>
              <w:t xml:space="preserve">Passengers: Kumar buys a Mumbai to Delhi economy ticket for Rs. 6,000 without giving a GSTIN. Place of supply is Maharashtra, where he embarks (section 12(9)). GST at 5% = Rs. 300 (CGST Rs. 150 + SGST Rs. 150). If he books the same ticket with his Karnataka employer's GSTIN, place of supply is Karnataka and the airline charges IGST of Rs. 300.</w:t>
            </w:r>
          </w:p>
        </w:tc>
      </w:tr>
    </w:tbl>
    <w:p>
      <w:pPr>
        <w:spacing w:after="60"/>
      </w:pPr>
    </w:p>
    <w:p>
      <w:pPr>
        <w:pStyle w:val="Heading2"/>
        <w:keepNext/>
        <w:spacing w:after="120" w:before="240"/>
      </w:pPr>
      <w:r>
        <w:rPr>
          <w:rFonts w:ascii="Verdana" w:cs="Verdana" w:eastAsia="Verdana" w:hAnsi="Verdana"/>
        </w:rPr>
        <w:t xml:space="preserve">12.4 Tax paid under the wrong head (Section 77 of the CGST Act and Section 19 of the IGST Act)</w:t>
      </w:r>
    </w:p>
    <w:p>
      <w:pPr>
        <w:spacing w:after="120" w:line="276"/>
        <w:jc w:val="both"/>
      </w:pPr>
      <w:r>
        <w:rPr>
          <w:rFonts w:ascii="Verdana" w:cs="Verdana" w:eastAsia="Verdana" w:hAnsi="Verdana"/>
        </w:rPr>
        <w:t xml:space="preserve">If a supply is treated as intra-State but is really inter-State, the supplier has paid CGST and SGST where IGST was due. The law does not allow the wrong tax to be adjusted against the right one. The supplier must pay the correct tax and claim a refund of the tax wrongly paid. The four provisions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2007"/>
        <w:gridCol w:w="5624"/>
      </w:tblGrid>
      <w:tr>
        <w:trPr>
          <w:cantSplit/>
          <w:tblHeader/>
        </w:trPr>
        <w:tc>
          <w:tcPr>
            <w:tcW w:type="dxa" w:w="200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 paid</w:t>
            </w:r>
          </w:p>
        </w:tc>
        <w:tc>
          <w:tcPr>
            <w:tcW w:type="dxa" w:w="200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 actually due</w:t>
            </w:r>
          </w:p>
        </w:tc>
        <w:tc>
          <w:tcPr>
            <w:tcW w:type="dxa" w:w="5624"/>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Relief</w:t>
            </w:r>
          </w:p>
        </w:tc>
      </w:tr>
      <w:tr>
        <w:trPr>
          <w:cantSplit/>
        </w:trPr>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CGST + SGST</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IGST</w:t>
            </w:r>
          </w:p>
        </w:tc>
        <w:tc>
          <w:tcPr>
            <w:tcW w:type="dxa" w:w="56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Refund of CGST and SGST (section 77(1) of the CGST Act); no interest on the IGST paid late (section 19(2) of the IGST Act)</w:t>
            </w:r>
          </w:p>
        </w:tc>
      </w:tr>
      <w:tr>
        <w:trPr>
          <w:cantSplit/>
        </w:trPr>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IGST</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CGST + SGST</w:t>
            </w:r>
          </w:p>
        </w:tc>
        <w:tc>
          <w:tcPr>
            <w:tcW w:type="dxa" w:w="56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Refund of IGST (section 19(1) of the IGST Act); no interest on the CGST and SGST paid late (section 77(2) of the CGST Act)</w:t>
            </w:r>
          </w:p>
        </w:tc>
      </w:tr>
    </w:tbl>
    <w:p>
      <w:pPr>
        <w:spacing w:after="60"/>
      </w:pPr>
    </w:p>
    <w:p>
      <w:pPr>
        <w:spacing w:after="120" w:line="276"/>
        <w:jc w:val="both"/>
      </w:pPr>
      <w:r>
        <w:rPr>
          <w:rFonts w:ascii="Verdana" w:cs="Verdana" w:eastAsia="Verdana" w:hAnsi="Verdana"/>
        </w:rPr>
        <w:t xml:space="preserve">Rule 89(1A) of the CGST Rules, inserted in September 2021, requires the refund claim within two years from the date of payment of the correct tax. CBIC Circular 162/18/2021-GST clarified that the relief applies whether the supplier finds the mistake himself or an officer points it out, and that the refund does not depend on the supply being "held" inter-State by an order. The claim is filed in RFD-01.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74: CGST and SGST charged in place of IGST</w:t>
            </w:r>
          </w:p>
          <w:p>
            <w:pPr>
              <w:spacing w:after="60" w:line="260"/>
            </w:pPr>
            <w:r>
              <w:rPr>
                <w:rFonts w:ascii="Verdana" w:cs="Verdana" w:eastAsia="Verdana" w:hAnsi="Verdana"/>
                <w:sz w:val="20"/>
                <w:szCs w:val="20"/>
              </w:rPr>
              <w:t xml:space="preserve">Nirmal Chemicals, Vadodara (Gujarat), supplied goods worth Rs. 10,00,000 (18%) in July 2025 to a buyer registered in Maharashtra, with delivery at Nashik. Because the order came through the buyer's Vadodara purchase office, Nirmal charged CGST Rs. 90,000 + SGST Rs. 90,000. The buyer's GSTR-2B showed the credit as unavailable.</w:t>
            </w:r>
          </w:p>
          <w:p>
            <w:pPr>
              <w:spacing w:after="60" w:line="260"/>
            </w:pPr>
            <w:r>
              <w:rPr>
                <w:rFonts w:ascii="Verdana" w:cs="Verdana" w:eastAsia="Verdana" w:hAnsi="Verdana"/>
                <w:sz w:val="20"/>
                <w:szCs w:val="20"/>
              </w:rPr>
              <w:t xml:space="preserve">Step 1: Nirmal amends the invoice in GSTR-1 to show Maharashtra as place of supply and pays IGST of Rs. 1,80,000. No interest is payable on this IGST (section 19(2) of the IGST Act).</w:t>
            </w:r>
          </w:p>
          <w:p>
            <w:pPr>
              <w:spacing w:after="60" w:line="260"/>
            </w:pPr>
            <w:r>
              <w:rPr>
                <w:rFonts w:ascii="Verdana" w:cs="Verdana" w:eastAsia="Verdana" w:hAnsi="Verdana"/>
                <w:sz w:val="20"/>
                <w:szCs w:val="20"/>
              </w:rPr>
              <w:t xml:space="preserve">Step 2: Nirmal files RFD-01 for the refund of CGST and SGST of Rs. 1,80,000 within two years from the date the IGST was paid.</w:t>
            </w:r>
          </w:p>
          <w:p>
            <w:pPr>
              <w:spacing w:after="60" w:line="260"/>
            </w:pPr>
            <w:r>
              <w:rPr>
                <w:rFonts w:ascii="Verdana" w:cs="Verdana" w:eastAsia="Verdana" w:hAnsi="Verdana"/>
                <w:sz w:val="20"/>
                <w:szCs w:val="20"/>
              </w:rPr>
              <w:t xml:space="preserve">Step 3: The buyer takes IGST credit of Rs. 1,80,000 on the amended invoice. Nirmal's Rs. 1,80,000 stays blocked until the refund arrives.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Build place of supply checks into the billing system: the ship-to State for goods, the GSTIN State of a registered recipient for most services, and fixed overrides for hotel, event, SEZ and bill-to-ship-to cases. Errors caught before GSTR-3B is filed cost nothing to fix; caught later, they lock up cash for months.</w:t>
            </w:r>
          </w:p>
        </w:tc>
      </w:tr>
    </w:tbl>
    <w:p>
      <w:pPr>
        <w:spacing w:after="60"/>
      </w:pPr>
    </w:p>
    <w:p>
      <w:pPr>
        <w:pStyle w:val="Heading2"/>
        <w:keepNext/>
        <w:spacing w:after="120" w:before="240"/>
      </w:pPr>
      <w:r>
        <w:rPr>
          <w:rFonts w:ascii="Verdana" w:cs="Verdana" w:eastAsia="Verdana" w:hAnsi="Verdana"/>
        </w:rPr>
        <w:t xml:space="preserve">12.5 Place of supply in invoices and returns</w:t>
      </w:r>
    </w:p>
    <w:p>
      <w:pPr>
        <w:spacing w:after="120" w:line="276"/>
        <w:jc w:val="both"/>
      </w:pPr>
      <w:r>
        <w:rPr>
          <w:rFonts w:ascii="Verdana" w:cs="Verdana" w:eastAsia="Verdana" w:hAnsi="Verdana"/>
        </w:rPr>
        <w:t xml:space="preserve">Rule 46 of the CGST Rules requires every tax invoice for an inter-State supply to show the place of supply with the name of the State, and the delivery address where it differs from the place of supply. In GSTR-1, place of supply is reported invoice-wise for B2B supplies and for inter-State B2C invoices above Rs. 1,00,000, and State-wise for other B2C supplies.</w:t>
      </w:r>
    </w:p>
    <w:p>
      <w:pPr>
        <w:spacing w:after="120" w:line="276"/>
        <w:jc w:val="both"/>
      </w:pPr>
      <w:r>
        <w:rPr>
          <w:rFonts w:ascii="Verdana" w:cs="Verdana" w:eastAsia="Verdana" w:hAnsi="Verdana"/>
        </w:rPr>
        <w:t xml:space="preserve">Table 3.2 of GSTR-3B reports inter-State supplies made to unregistered persons, composition taxpayers and UIN holders, State by State. Table 3.2 is auto-populated from GSTR-1, GSTR-1A and IFF. After a plan to lock it from April 2025 was deferred, GSTN made these values non-editable from the November 2025 tax period; corrections must now be made through GSTR-1A before filing GSTR-3B, or in the next GSTR-1. Scrutiny notices now compare Table 3.2 with the State-wise B2C figures in GSTR-1, so the two must agree.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Place of supply, read with the location of the supplier, decides whether IGST or CGST plus SGST is payable; rate is not affected but the collecting Government and the recipient's credit are.</w:t>
            </w:r>
          </w:p>
          <w:p>
            <w:pPr>
              <w:spacing w:after="60" w:line="260"/>
            </w:pPr>
            <w:r>
              <w:rPr>
                <w:rFonts w:ascii="Verdana" w:cs="Verdana" w:eastAsia="Verdana" w:hAnsi="Verdana"/>
                <w:sz w:val="20"/>
                <w:szCs w:val="20"/>
              </w:rPr>
              <w:t xml:space="preserve">•  Imports, exports, supplies to or by SEZ developers and units, and supplies to tourists are inter-State by law.</w:t>
            </w:r>
          </w:p>
          <w:p>
            <w:pPr>
              <w:spacing w:after="60" w:line="260"/>
            </w:pPr>
            <w:r>
              <w:rPr>
                <w:rFonts w:ascii="Verdana" w:cs="Verdana" w:eastAsia="Verdana" w:hAnsi="Verdana"/>
                <w:sz w:val="20"/>
                <w:szCs w:val="20"/>
              </w:rPr>
              <w:t xml:space="preserve">•  Goods: where movement ends; bill-to-ship-to follows the third person's principal place of business; no movement, installation and on-board supplies have their own rules; supplies to unregistered persons follow the address in the invoice.</w:t>
            </w:r>
          </w:p>
          <w:p>
            <w:pPr>
              <w:spacing w:after="60" w:line="260"/>
            </w:pPr>
            <w:r>
              <w:rPr>
                <w:rFonts w:ascii="Verdana" w:cs="Verdana" w:eastAsia="Verdana" w:hAnsi="Verdana"/>
                <w:sz w:val="20"/>
                <w:szCs w:val="20"/>
              </w:rPr>
              <w:t xml:space="preserve">•  Services between Indian parties: location of registered recipient under the general rule, with specific rules for immovable property, restaurants, training, events, transport, telecom, banking, insurance and Government advertising.</w:t>
            </w:r>
          </w:p>
          <w:p>
            <w:pPr>
              <w:spacing w:after="60" w:line="260"/>
            </w:pPr>
            <w:r>
              <w:rPr>
                <w:rFonts w:ascii="Verdana" w:cs="Verdana" w:eastAsia="Verdana" w:hAnsi="Verdana"/>
                <w:sz w:val="20"/>
                <w:szCs w:val="20"/>
              </w:rPr>
              <w:t xml:space="preserve">•  Hotel, banquet and construction services in another State carry that State's CGST and SGST, which the recipient cannot use unless registered there.</w:t>
            </w:r>
          </w:p>
          <w:p>
            <w:pPr>
              <w:spacing w:after="60" w:line="260"/>
            </w:pPr>
            <w:r>
              <w:rPr>
                <w:rFonts w:ascii="Verdana" w:cs="Verdana" w:eastAsia="Verdana" w:hAnsi="Verdana"/>
                <w:sz w:val="20"/>
                <w:szCs w:val="20"/>
              </w:rPr>
              <w:t xml:space="preserve">•  Tax paid under the wrong head is not adjusted: pay the correct tax without interest and claim a refund within two years (section 77 of the CGST Act, section 19 of the IGST Act, rule 89(1A)).</w:t>
            </w:r>
          </w:p>
          <w:p>
            <w:pPr>
              <w:spacing w:after="60" w:line="260"/>
            </w:pPr>
            <w:r>
              <w:rPr>
                <w:rFonts w:ascii="Verdana" w:cs="Verdana" w:eastAsia="Verdana" w:hAnsi="Verdana"/>
                <w:sz w:val="20"/>
                <w:szCs w:val="20"/>
              </w:rPr>
              <w:t xml:space="preserve">•  Invoices must show place of supply; GSTR-1 and Table 3.2 of GSTR-3B carry it to the settlement between Governments.</w:t>
            </w:r>
          </w:p>
        </w:tc>
      </w:tr>
    </w:tbl>
    <w:p>
      <w:pPr>
        <w:pStyle w:val="Heading1"/>
        <w:pageBreakBefore/>
        <w:spacing w:after="200" w:before="0"/>
      </w:pPr>
      <w:r>
        <w:rPr>
          <w:rFonts w:ascii="Verdana" w:cs="Verdana" w:eastAsia="Verdana" w:hAnsi="Verdana"/>
        </w:rPr>
        <w:t xml:space="preserve">13. Place of Supply: Cross-Border Services (IGST Section 13) and OIDAR</w:t>
      </w:r>
    </w:p>
    <w:p>
      <w:pPr>
        <w:spacing w:after="120" w:line="276"/>
        <w:jc w:val="both"/>
      </w:pPr>
      <w:r>
        <w:rPr>
          <w:rFonts w:ascii="Verdana" w:cs="Verdana" w:eastAsia="Verdana" w:hAnsi="Verdana"/>
        </w:rPr>
        <w:t xml:space="preserve">Section 13 of the IGST Act applies where the location of the supplier or the location of the recipient is outside India. For an Indian supplier, it decides whether the service can be an export, which needs a place of supply outside India. For an Indian recipient, it decides whether a service from abroad is an import taxable under reverse charge. A service with its place of supply in India remains taxable in India even though the customer is abroad and pays in foreign currency.</w:t>
      </w:r>
    </w:p>
    <w:p>
      <w:pPr>
        <w:pStyle w:val="Heading2"/>
        <w:keepNext/>
        <w:spacing w:after="120" w:before="240"/>
      </w:pPr>
      <w:r>
        <w:rPr>
          <w:rFonts w:ascii="Verdana" w:cs="Verdana" w:eastAsia="Verdana" w:hAnsi="Verdana"/>
        </w:rPr>
        <w:t xml:space="preserve">13.1 General rule and performance-based services</w:t>
      </w:r>
    </w:p>
    <w:p>
      <w:pPr>
        <w:spacing w:after="120" w:line="276"/>
        <w:jc w:val="both"/>
      </w:pPr>
      <w:r>
        <w:rPr>
          <w:rFonts w:ascii="Verdana" w:cs="Verdana" w:eastAsia="Verdana" w:hAnsi="Verdana"/>
        </w:rPr>
        <w:t xml:space="preserve">The general rule in section 13(2) is the location of the recipient; if that is not available in the ordinary course of business, the location of the supplier. Advisory, software development, design, marketing support and back-office services to foreign clients usually fall here.</w:t>
      </w:r>
    </w:p>
    <w:p>
      <w:pPr>
        <w:spacing w:after="120" w:line="276"/>
        <w:jc w:val="both"/>
      </w:pPr>
      <w:r>
        <w:rPr>
          <w:rFonts w:ascii="Verdana" w:cs="Verdana" w:eastAsia="Verdana" w:hAnsi="Verdana"/>
        </w:rPr>
        <w:t xml:space="preserve">Section 13(3) overrides the general rule for two kinds of services where the place of performance is what matters:</w:t>
      </w:r>
    </w:p>
    <w:p>
      <w:pPr>
        <w:pStyle w:val="ListParagraph"/>
        <w:numPr>
          <w:ilvl w:val="0"/>
          <w:numId w:val="2"/>
        </w:numPr>
        <w:spacing w:after="60" w:line="264"/>
      </w:pPr>
      <w:r>
        <w:rPr>
          <w:rFonts w:ascii="Verdana" w:cs="Verdana" w:eastAsia="Verdana" w:hAnsi="Verdana"/>
          <w:b/>
          <w:bCs/>
        </w:rPr>
        <w:t xml:space="preserve">Services on goods (section 13(3)(a)):</w:t>
      </w:r>
      <w:r>
        <w:rPr>
          <w:rFonts w:ascii="Verdana" w:cs="Verdana" w:eastAsia="Verdana" w:hAnsi="Verdana"/>
        </w:rPr>
        <w:t xml:space="preserve"> services in respect of goods that the recipient must make physically available to the supplier, such as repair, testing, inspection, packing and job work. Place of supply is where the services are actually performed. Where such services are provided from a remote location by electronic means, place of supply is where the goods are situated at the time of supply. The clause does not apply to goods temporarily imported into India for repairs or any other treatment or process and exported after that without being put to any other use in India; for these the general rule applies.</w:t>
      </w:r>
    </w:p>
    <w:p>
      <w:pPr>
        <w:pStyle w:val="ListParagraph"/>
        <w:numPr>
          <w:ilvl w:val="0"/>
          <w:numId w:val="2"/>
        </w:numPr>
        <w:spacing w:after="60" w:line="264"/>
      </w:pPr>
      <w:r>
        <w:rPr>
          <w:rFonts w:ascii="Verdana" w:cs="Verdana" w:eastAsia="Verdana" w:hAnsi="Verdana"/>
          <w:b/>
          <w:bCs/>
        </w:rPr>
        <w:t xml:space="preserve">Services needing physical presence (section 13(3)(b)):</w:t>
      </w:r>
      <w:r>
        <w:rPr>
          <w:rFonts w:ascii="Verdana" w:cs="Verdana" w:eastAsia="Verdana" w:hAnsi="Verdana"/>
        </w:rPr>
        <w:t xml:space="preserve"> services to an individual that require the physical presence of the recipient, or a person acting on his behalf, with the supplier, such as in-person training, coaching or cosmetic treatment. Place of supply is where performed.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75: Testing, remote repair and temporary import</w:t>
            </w:r>
          </w:p>
          <w:p>
            <w:pPr>
              <w:spacing w:after="60" w:line="260"/>
            </w:pPr>
            <w:r>
              <w:rPr>
                <w:rFonts w:ascii="Verdana" w:cs="Verdana" w:eastAsia="Verdana" w:hAnsi="Verdana"/>
                <w:sz w:val="20"/>
                <w:szCs w:val="20"/>
              </w:rPr>
              <w:t xml:space="preserve">Case A: a US drug company sends samples to a Hyderabad laboratory for stability testing. Fee Rs. 5,00,000. The samples are made physically available, so place of supply is India, where the tests are done (section 13(3)(a)). The lab is in Telangana, so the supply is intra-State: CGST Rs. 45,000 + SGST Rs. 45,000. It is not an export though the client is abroad.</w:t>
            </w:r>
          </w:p>
          <w:p>
            <w:pPr>
              <w:spacing w:after="60" w:line="260"/>
            </w:pPr>
            <w:r>
              <w:rPr>
                <w:rFonts w:ascii="Verdana" w:cs="Verdana" w:eastAsia="Verdana" w:hAnsi="Verdana"/>
                <w:sz w:val="20"/>
                <w:szCs w:val="20"/>
              </w:rPr>
              <w:t xml:space="preserve">Case B: a Pune firm fixes the control software of a packaging line installed in Germany by logging in remotely. Place of supply is Germany, where the goods are (first proviso). Export if other conditions are met.</w:t>
            </w:r>
          </w:p>
          <w:p>
            <w:pPr>
              <w:spacing w:after="60" w:line="260"/>
            </w:pPr>
            <w:r>
              <w:rPr>
                <w:rFonts w:ascii="Verdana" w:cs="Verdana" w:eastAsia="Verdana" w:hAnsi="Verdana"/>
                <w:sz w:val="20"/>
                <w:szCs w:val="20"/>
              </w:rPr>
              <w:t xml:space="preserve">Case C: a Kenyan company ships a turbine to a Vadodara workshop for overhaul; it is re-exported after repair and not used in India. The second proviso takes the service out of section 13(3)(a). Under section 13(2), place of supply is Kenya, so the service can be an export.</w:t>
            </w:r>
          </w:p>
        </w:tc>
      </w:tr>
    </w:tbl>
    <w:p>
      <w:pPr>
        <w:spacing w:after="60"/>
      </w:pPr>
    </w:p>
    <w:p>
      <w:pPr>
        <w:pStyle w:val="Heading2"/>
        <w:keepNext/>
        <w:spacing w:after="120" w:before="240"/>
      </w:pPr>
      <w:r>
        <w:rPr>
          <w:rFonts w:ascii="Verdana" w:cs="Verdana" w:eastAsia="Verdana" w:hAnsi="Verdana"/>
        </w:rPr>
        <w:t xml:space="preserve">13.2 Immovable property, events and multiple locations</w:t>
      </w:r>
    </w:p>
    <w:p>
      <w:pPr>
        <w:spacing w:after="120" w:line="276"/>
        <w:jc w:val="both"/>
      </w:pPr>
      <w:r>
        <w:rPr>
          <w:rFonts w:ascii="Verdana" w:cs="Verdana" w:eastAsia="Verdana" w:hAnsi="Verdana"/>
        </w:rPr>
        <w:t xml:space="preserve">For services directly in relation to immovable property, including hotel accommodation and the services of architects, engineers and estate agents, the place of supply is where the property is located or intended to be located (section 13(4)). For admission to or organisation of an event, including ancillary services, it is where the event is actually held (section 13(5)). If a service under section 13(3), (4) or (5) is supplied at more than one location including a location in India, the place of supply is the location in India (section 13(6)). If it covers more than one State in India, the value is split among them in proportion to the contract or on a reasonable basis (section 13(7)).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76: Architectural services across the border</w:t>
            </w:r>
          </w:p>
          <w:p>
            <w:pPr>
              <w:spacing w:after="60" w:line="260"/>
            </w:pPr>
            <w:r>
              <w:rPr>
                <w:rFonts w:ascii="Verdana" w:cs="Verdana" w:eastAsia="Verdana" w:hAnsi="Verdana"/>
                <w:sz w:val="20"/>
                <w:szCs w:val="20"/>
              </w:rPr>
              <w:t xml:space="preserve">Case A: Shah Design Studio, Ahmedabad, designs a hotel in Dubai for a Dubai developer. Place of supply is Dubai, where the property is (section 13(4)): export.</w:t>
            </w:r>
          </w:p>
          <w:p>
            <w:pPr>
              <w:spacing w:after="60" w:line="260"/>
            </w:pPr>
            <w:r>
              <w:rPr>
                <w:rFonts w:ascii="Verdana" w:cs="Verdana" w:eastAsia="Verdana" w:hAnsi="Verdana"/>
                <w:sz w:val="20"/>
                <w:szCs w:val="20"/>
              </w:rPr>
              <w:t xml:space="preserve">Case B: a Singapore architect designs a factory in Sanand for Patel Auto Components Pvt. Ltd. Fee USD 30,000 at Rs. 86 = Rs. 25,80,000. Place of supply is India, so this is an import of services. Patel pays IGST under reverse charge = Rs. 4,64,400 in cash and takes credit of the same amount.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77: Event held partly in India</w:t>
            </w:r>
          </w:p>
          <w:p>
            <w:pPr>
              <w:spacing w:after="60" w:line="260"/>
            </w:pPr>
            <w:r>
              <w:rPr>
                <w:rFonts w:ascii="Verdana" w:cs="Verdana" w:eastAsia="Verdana" w:hAnsi="Verdana"/>
                <w:sz w:val="20"/>
                <w:szCs w:val="20"/>
              </w:rPr>
              <w:t xml:space="preserve">Utsav Events, Mumbai, organises product launches in Mumbai and Singapore for a German company for a single fee of Rs. 60,00,000.</w:t>
            </w:r>
          </w:p>
          <w:p>
            <w:pPr>
              <w:spacing w:after="60" w:line="260"/>
            </w:pPr>
            <w:r>
              <w:rPr>
                <w:rFonts w:ascii="Verdana" w:cs="Verdana" w:eastAsia="Verdana" w:hAnsi="Verdana"/>
                <w:sz w:val="20"/>
                <w:szCs w:val="20"/>
              </w:rPr>
              <w:t xml:space="preserve">Because one location is in India, section 13(6) fixes the place of supply for the whole fee in India, here Maharashtra. Tax = CGST Rs. 5,40,000 + SGST Rs. 5,40,000.</w:t>
            </w:r>
          </w:p>
        </w:tc>
      </w:tr>
    </w:tbl>
    <w:p>
      <w:pPr>
        <w:spacing w:after="60"/>
      </w:pPr>
    </w:p>
    <w:p>
      <w:pPr>
        <w:pStyle w:val="Heading2"/>
        <w:keepNext/>
        <w:spacing w:after="120" w:before="240"/>
      </w:pPr>
      <w:r>
        <w:rPr>
          <w:rFonts w:ascii="Verdana" w:cs="Verdana" w:eastAsia="Verdana" w:hAnsi="Verdana"/>
        </w:rPr>
        <w:t xml:space="preserve">13.3 Location of supplier cases (Section 13(8))</w:t>
      </w:r>
    </w:p>
    <w:p>
      <w:pPr>
        <w:spacing w:after="120" w:line="276"/>
        <w:jc w:val="both"/>
      </w:pPr>
      <w:r>
        <w:rPr>
          <w:rFonts w:ascii="Verdana" w:cs="Verdana" w:eastAsia="Verdana" w:hAnsi="Verdana"/>
        </w:rPr>
        <w:t xml:space="preserve">Section 13(8) keeps the place of supply at the location of the supplier for: (a) services supplied by a banking company, financial institution or NBFC to account holders; and (c) hiring of means of transport, including yachts but excluding aircraft and vessels, for a period up to one month. "Account" in clause (a) means an account bearing interest to the depositor, including NRE and NRO accounts. Account charges collected by an Indian bank from an NRI customer are therefore taxable in India.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78: Self-drive car for a foreign tourist</w:t>
            </w:r>
          </w:p>
          <w:p>
            <w:pPr>
              <w:spacing w:after="60" w:line="260"/>
            </w:pPr>
            <w:r>
              <w:rPr>
                <w:rFonts w:ascii="Verdana" w:cs="Verdana" w:eastAsia="Verdana" w:hAnsi="Verdana"/>
                <w:sz w:val="20"/>
                <w:szCs w:val="20"/>
              </w:rPr>
              <w:t xml:space="preserve">Coastal Rentals, Goa, hires a small petrol car without driver to a British tourist for 12 days for Rs. 36,000. Renting without operator follows the rate of the goods, here 18%.</w:t>
            </w:r>
          </w:p>
          <w:p>
            <w:pPr>
              <w:spacing w:after="60" w:line="260"/>
            </w:pPr>
            <w:r>
              <w:rPr>
                <w:rFonts w:ascii="Verdana" w:cs="Verdana" w:eastAsia="Verdana" w:hAnsi="Verdana"/>
                <w:sz w:val="20"/>
                <w:szCs w:val="20"/>
              </w:rPr>
              <w:t xml:space="preserve">Place of supply is Goa, the location of the supplier (section 13(8)(c)). CGST Rs. 3,240 + SGST Rs. 3,240 = Rs. 6,480. For a hire of more than one month to a foreign company, the general rule in section 13(2) would apply instead.</w:t>
            </w:r>
          </w:p>
        </w:tc>
      </w:tr>
    </w:tbl>
    <w:p>
      <w:pPr>
        <w:spacing w:after="60"/>
      </w:pPr>
    </w:p>
    <w:p>
      <w:pPr>
        <w:pStyle w:val="Heading2"/>
        <w:keepNext/>
        <w:spacing w:after="120" w:before="240"/>
      </w:pPr>
      <w:r>
        <w:rPr>
          <w:rFonts w:ascii="Verdana" w:cs="Verdana" w:eastAsia="Verdana" w:hAnsi="Verdana"/>
        </w:rPr>
        <w:t xml:space="preserve">13.4 Intermediary services after the Finance Act, 2026</w:t>
      </w:r>
    </w:p>
    <w:p>
      <w:pPr>
        <w:spacing w:after="120" w:line="276"/>
        <w:jc w:val="both"/>
      </w:pPr>
      <w:r>
        <w:rPr>
          <w:rFonts w:ascii="Verdana" w:cs="Verdana" w:eastAsia="Verdana" w:hAnsi="Verdana"/>
        </w:rPr>
        <w:t xml:space="preserve">An intermediary is a broker, agent or any other person who arranges or facilitates a supply of goods, services or securities between two or more persons, but not a person who supplies them on his own account (section 2(13)). CBIC Circular 159/15/2021-GST explained that there must be at least three parties and two distinct supplies (the main supply and the facilitation), and that a person who sub-contracts the main supply is not an intermediary.</w:t>
      </w:r>
    </w:p>
    <w:p>
      <w:pPr>
        <w:spacing w:after="120" w:line="276"/>
        <w:jc w:val="both"/>
      </w:pPr>
      <w:r>
        <w:rPr>
          <w:rFonts w:ascii="Verdana" w:cs="Verdana" w:eastAsia="Verdana" w:hAnsi="Verdana"/>
        </w:rPr>
        <w:t xml:space="preserve">Until 29 March 2026, section 13(8)(b) fixed the place of supply of intermediary services at the location of the supplier. An Indian agent earning commission in foreign currency from a foreign principal therefore could not export: he paid CGST and SGST on it, and his foreign client could not use that tax. The Finance Act, 2026 omitted clause (b) with effect from 30 March 2026. The general rule in section 13(2) now applies: place of supply is the location of the recipient.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3"/>
        <w:gridCol w:w="3011"/>
        <w:gridCol w:w="3214"/>
      </w:tblGrid>
      <w:tr>
        <w:trPr>
          <w:cantSplit/>
          <w:tblHeader/>
        </w:trPr>
        <w:tc>
          <w:tcPr>
            <w:tcW w:type="dxa" w:w="341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Situation</w:t>
            </w:r>
          </w:p>
        </w:tc>
        <w:tc>
          <w:tcPr>
            <w:tcW w:type="dxa" w:w="301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Up to 29 March 2026</w:t>
            </w:r>
          </w:p>
        </w:tc>
        <w:tc>
          <w:tcPr>
            <w:tcW w:type="dxa" w:w="3214"/>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From 30 March 2026</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Indian agent, foreign principal</w:t>
            </w:r>
          </w:p>
        </w:tc>
        <w:tc>
          <w:tcPr>
            <w:tcW w:type="dxa" w:w="30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Place of supply India; CGST + SGST</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Place of supply outside India; export if section 2(6) conditions met</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Foreign agent, Indian principal (for example, overseas sales agent of an Indian exporter)</w:t>
            </w:r>
          </w:p>
        </w:tc>
        <w:tc>
          <w:tcPr>
            <w:tcW w:type="dxa" w:w="30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Place of supply outside India; not taxable in India</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Place of supply India; import of services, IGST under reverse charge</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Indian agent, Indian principal</w:t>
            </w:r>
          </w:p>
        </w:tc>
        <w:tc>
          <w:tcPr>
            <w:tcW w:type="dxa" w:w="30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12(2)</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12(2) (no change)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79: Commission agent before and after 30 March 2026</w:t>
            </w:r>
          </w:p>
          <w:p>
            <w:pPr>
              <w:spacing w:after="60" w:line="260"/>
            </w:pPr>
            <w:r>
              <w:rPr>
                <w:rFonts w:ascii="Verdana" w:cs="Verdana" w:eastAsia="Verdana" w:hAnsi="Verdana"/>
                <w:sz w:val="20"/>
                <w:szCs w:val="20"/>
              </w:rPr>
              <w:t xml:space="preserve">Mehta Trade Links, Surat, earns commission of USD 10,000 (Rs. 8,60,000 at Rs. 86) from a Chinese fabric mill for arranging sales to Indian buyers.</w:t>
            </w:r>
          </w:p>
          <w:p>
            <w:pPr>
              <w:spacing w:after="60" w:line="260"/>
            </w:pPr>
            <w:r>
              <w:rPr>
                <w:rFonts w:ascii="Verdana" w:cs="Verdana" w:eastAsia="Verdana" w:hAnsi="Verdana"/>
                <w:sz w:val="20"/>
                <w:szCs w:val="20"/>
              </w:rPr>
              <w:t xml:space="preserve">Step 1 (time of supply up to 29 March 2026): place of supply Gujarat. CGST Rs. 77,400 + SGST Rs. 77,400 = Rs. 1,54,800 payable.</w:t>
            </w:r>
          </w:p>
          <w:p>
            <w:pPr>
              <w:spacing w:after="60" w:line="260"/>
            </w:pPr>
            <w:r>
              <w:rPr>
                <w:rFonts w:ascii="Verdana" w:cs="Verdana" w:eastAsia="Verdana" w:hAnsi="Verdana"/>
                <w:sz w:val="20"/>
                <w:szCs w:val="20"/>
              </w:rPr>
              <w:t xml:space="preserve">Step 2 (time of supply on or after 30 March 2026): place of supply China. The commission is received in USD and Mehta is not an establishment of the mill, so it is an export under LUT; ITC on Mehta's costs becomes refundable under rule 89(4).</w:t>
            </w:r>
          </w:p>
          <w:p>
            <w:pPr>
              <w:spacing w:after="60" w:line="260"/>
            </w:pPr>
            <w:r>
              <w:rPr>
                <w:rFonts w:ascii="Verdana" w:cs="Verdana" w:eastAsia="Verdana" w:hAnsi="Verdana"/>
                <w:sz w:val="20"/>
                <w:szCs w:val="20"/>
              </w:rPr>
              <w:t xml:space="preserve">Step 3 (the reverse case): Sagar Exports, Rajkot, pays Rs. 5,00,000 commission to a Dubai agent after 30 March 2026. Place of supply is India, so Sagar pays IGST of Rs. 90,000 under reverse charge and takes credit of it. Exporters with foreign agents must add this to their monthly reverse charge list.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Validity of the old intermediary rule</w:t>
            </w:r>
          </w:p>
          <w:p>
            <w:pPr>
              <w:spacing w:after="60" w:line="260"/>
            </w:pPr>
            <w:r>
              <w:rPr>
                <w:rFonts w:ascii="Verdana" w:cs="Verdana" w:eastAsia="Verdana" w:hAnsi="Verdana"/>
                <w:b/>
                <w:bCs/>
                <w:sz w:val="20"/>
                <w:szCs w:val="20"/>
              </w:rPr>
              <w:t xml:space="preserve">Material Recycling Association of India v. Union of India (Gujarat High Court, 2020):</w:t>
            </w:r>
            <w:r>
              <w:rPr>
                <w:rFonts w:ascii="Verdana" w:cs="Verdana" w:eastAsia="Verdana" w:hAnsi="Verdana"/>
                <w:sz w:val="20"/>
                <w:szCs w:val="20"/>
              </w:rPr>
              <w:t xml:space="preserve"> upheld section 13(8)(b) of the IGST Act, holding that Parliament could fix the place of supply of intermediary services at the location of the supplier.</w:t>
            </w:r>
          </w:p>
          <w:p>
            <w:pPr>
              <w:spacing w:after="60" w:line="260"/>
            </w:pPr>
            <w:r>
              <w:rPr>
                <w:rFonts w:ascii="Verdana" w:cs="Verdana" w:eastAsia="Verdana" w:hAnsi="Verdana"/>
                <w:b/>
                <w:bCs/>
                <w:sz w:val="20"/>
                <w:szCs w:val="20"/>
              </w:rPr>
              <w:t xml:space="preserve">Dharmendra M. Jani v. Union of India (Bombay High Court, 2023):</w:t>
            </w:r>
            <w:r>
              <w:rPr>
                <w:rFonts w:ascii="Verdana" w:cs="Verdana" w:eastAsia="Verdana" w:hAnsi="Verdana"/>
                <w:sz w:val="20"/>
                <w:szCs w:val="20"/>
              </w:rPr>
              <w:t xml:space="preserve"> after a split verdict in 2021, the third judge and then the Division Bench upheld section 13(8)(b) and section 8(2) of the IGST Act. These rulings now matter only for periods up to 29 March 2026; the Finance Act, 2026 has removed the provision prospectively.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Who is an intermediary</w:t>
            </w:r>
          </w:p>
          <w:p>
            <w:pPr>
              <w:spacing w:after="60" w:line="260"/>
            </w:pPr>
            <w:r>
              <w:rPr>
                <w:rFonts w:ascii="Verdana" w:cs="Verdana" w:eastAsia="Verdana" w:hAnsi="Verdana"/>
                <w:b/>
                <w:bCs/>
                <w:sz w:val="20"/>
                <w:szCs w:val="20"/>
              </w:rPr>
              <w:t xml:space="preserve">Ernst and Young Ltd. v. Additional Commissioner, CGST Appeals-II, Delhi (Delhi High Court, 2023):</w:t>
            </w:r>
            <w:r>
              <w:rPr>
                <w:rFonts w:ascii="Verdana" w:cs="Verdana" w:eastAsia="Verdana" w:hAnsi="Verdana"/>
                <w:sz w:val="20"/>
                <w:szCs w:val="20"/>
              </w:rPr>
              <w:t xml:space="preserve"> the Indian branch of a UK company that supplied professional services on its own account to overseas EY member firms was not an intermediary, and those member firms, being separate legal entities, were not establishments of the same person. The services were exports and refund of ITC was allowed. The ruling remains useful for identifying intermediaries and on the "same person" condition in section 2(6).</w:t>
            </w:r>
          </w:p>
        </w:tc>
      </w:tr>
    </w:tbl>
    <w:p>
      <w:pPr>
        <w:spacing w:after="60"/>
      </w:pPr>
    </w:p>
    <w:p>
      <w:pPr>
        <w:pStyle w:val="Heading2"/>
        <w:keepNext/>
        <w:spacing w:after="120" w:before="240"/>
      </w:pPr>
      <w:r>
        <w:rPr>
          <w:rFonts w:ascii="Verdana" w:cs="Verdana" w:eastAsia="Verdana" w:hAnsi="Verdana"/>
        </w:rPr>
        <w:t xml:space="preserve">13.5 Transport services</w:t>
      </w:r>
    </w:p>
    <w:p>
      <w:pPr>
        <w:spacing w:after="120" w:line="276"/>
        <w:jc w:val="both"/>
      </w:pPr>
      <w:r>
        <w:rPr>
          <w:rFonts w:ascii="Verdana" w:cs="Verdana" w:eastAsia="Verdana" w:hAnsi="Verdana"/>
        </w:rPr>
        <w:t xml:space="preserve">Section 13(9), which made the destination of the goods the place of supply for transport of goods other than by mail or courier, was omitted by the Finance Act, 2023 from 1 October 2023. Transport of goods, like mail and courier, now follows the general rule in section 13(2): the location of the recipient. An Indian transporter carrying goods for a foreign customer can therefore export the service if the other conditions are met. For passenger transport, it is the place where the passenger embarks on the conveyance for a continuous journey (section 13(10)), and for services on board a conveyance, the first scheduled point of departure (section 13(11)). A Delhi to London ticket sold by a foreign airline therefore has its place of supply in India.</w:t>
      </w:r>
    </w:p>
    <w:p>
      <w:pPr>
        <w:pStyle w:val="Heading2"/>
        <w:keepNext/>
        <w:spacing w:after="120" w:before="240"/>
      </w:pPr>
      <w:r>
        <w:rPr>
          <w:rFonts w:ascii="Verdana" w:cs="Verdana" w:eastAsia="Verdana" w:hAnsi="Verdana"/>
        </w:rPr>
        <w:t xml:space="preserve">13.6 Online information and database access or retrieval (OIDAR) services</w:t>
      </w:r>
    </w:p>
    <w:p>
      <w:pPr>
        <w:spacing w:after="120" w:line="276"/>
        <w:jc w:val="both"/>
      </w:pPr>
      <w:r>
        <w:rPr>
          <w:rFonts w:ascii="Verdana" w:cs="Verdana" w:eastAsia="Verdana" w:hAnsi="Verdana"/>
        </w:rPr>
        <w:t xml:space="preserve">OIDAR services are defined in section 2(17) of the IGST Act. After the Finance Act, 2023 amendment (effective 1 October 2023), they are services whose delivery is mediated by information technology over the internet or an electronic network and whose nature makes supply impossible without information technology. The earlier requirement that the service be "essentially automated and involving minimal human intervention" was dropped. Examples: cloud services, software and app subscriptions, e-books, music and video streaming, online advertising, digital data storage and online gaming.</w:t>
      </w:r>
    </w:p>
    <w:p>
      <w:pPr>
        <w:spacing w:after="120" w:line="276"/>
        <w:jc w:val="both"/>
      </w:pPr>
      <w:r>
        <w:rPr>
          <w:rFonts w:ascii="Verdana" w:cs="Verdana" w:eastAsia="Verdana" w:hAnsi="Verdana"/>
        </w:rPr>
        <w:t xml:space="preserve">Place of supply of OIDAR services is the location of the recipient (section 13(12)). Who pays the tax depends on the recipient: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16"/>
        <w:gridCol w:w="1807"/>
        <w:gridCol w:w="3615"/>
      </w:tblGrid>
      <w:tr>
        <w:trPr>
          <w:cantSplit/>
          <w:tblHeader/>
        </w:trPr>
        <w:tc>
          <w:tcPr>
            <w:tcW w:type="dxa" w:w="421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Recipient in India</w:t>
            </w:r>
          </w:p>
        </w:tc>
        <w:tc>
          <w:tcPr>
            <w:tcW w:type="dxa" w:w="180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Who pays</w:t>
            </w:r>
          </w:p>
        </w:tc>
        <w:tc>
          <w:tcPr>
            <w:tcW w:type="dxa" w:w="361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How</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Non-taxable online recipient (any unregistered person, including a person registered only as a TDS deductor)</w:t>
            </w:r>
          </w:p>
        </w:tc>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Foreign supplier</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Registers under the simplified scheme (rule 14, REG-10), pays IGST, files GSTR-5A monthly</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Registered person</w:t>
            </w:r>
          </w:p>
        </w:tc>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Recipient</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IGST under reverse charge, paid in cash, credit as per section 16</w:t>
            </w:r>
          </w:p>
        </w:tc>
      </w:tr>
    </w:tbl>
    <w:p>
      <w:pPr>
        <w:spacing w:after="60"/>
      </w:pPr>
    </w:p>
    <w:p>
      <w:pPr>
        <w:spacing w:after="120" w:line="276"/>
        <w:jc w:val="both"/>
      </w:pPr>
      <w:r>
        <w:rPr>
          <w:rFonts w:ascii="Verdana" w:cs="Verdana" w:eastAsia="Verdana" w:hAnsi="Verdana"/>
        </w:rPr>
        <w:t xml:space="preserve">Before 1 October 2023 an unregistered person was a non-taxable online recipient only if the service was not for business. The Finance Act, 2023 removed that test, so every unregistered recipient in India is covered. Under section 14, the foreign supplier treats a recipient as located in India if any two non-contradictory facts point there, such as the billing address, the card or bank account used, the IP address of the device, or the SIM country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80: Foreign software subscription</w:t>
            </w:r>
          </w:p>
          <w:p>
            <w:pPr>
              <w:spacing w:after="60" w:line="260"/>
            </w:pPr>
            <w:r>
              <w:rPr>
                <w:rFonts w:ascii="Verdana" w:cs="Verdana" w:eastAsia="Verdana" w:hAnsi="Verdana"/>
                <w:sz w:val="20"/>
                <w:szCs w:val="20"/>
              </w:rPr>
              <w:t xml:space="preserve">A Singapore company sells a design software subscription at Rs. 12,000 a year plus 18% IGST.</w:t>
            </w:r>
          </w:p>
          <w:p>
            <w:pPr>
              <w:spacing w:after="60" w:line="260"/>
            </w:pPr>
            <w:r>
              <w:rPr>
                <w:rFonts w:ascii="Verdana" w:cs="Verdana" w:eastAsia="Verdana" w:hAnsi="Verdana"/>
                <w:sz w:val="20"/>
                <w:szCs w:val="20"/>
              </w:rPr>
              <w:t xml:space="preserve">Case A: Priya, a freelance designer who is not registered, buys it. She is a non-taxable online recipient. The Singapore company must be registered in India and pays IGST of Rs. 2,160 through GSTR-5A.</w:t>
            </w:r>
          </w:p>
          <w:p>
            <w:pPr>
              <w:spacing w:after="60" w:line="260"/>
            </w:pPr>
            <w:r>
              <w:rPr>
                <w:rFonts w:ascii="Verdana" w:cs="Verdana" w:eastAsia="Verdana" w:hAnsi="Verdana"/>
                <w:sz w:val="20"/>
                <w:szCs w:val="20"/>
              </w:rPr>
              <w:t xml:space="preserve">Case B: Sharma Textiles Pvt. Ltd. (registered) buys it. The supplier charges no tax. Sharma pays IGST of Rs. 2,160 under reverse charge in cash and takes credit of Rs. 2,160 in the same return.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Section 13 applies where the supplier or the recipient is outside India and decides whether a service is an export or an import.</w:t>
            </w:r>
          </w:p>
          <w:p>
            <w:pPr>
              <w:spacing w:after="60" w:line="260"/>
            </w:pPr>
            <w:r>
              <w:rPr>
                <w:rFonts w:ascii="Verdana" w:cs="Verdana" w:eastAsia="Verdana" w:hAnsi="Verdana"/>
                <w:sz w:val="20"/>
                <w:szCs w:val="20"/>
              </w:rPr>
              <w:t xml:space="preserve">•  General rule: location of recipient. Services on goods physically made available and services needing physical presence: where performed, with a remote-location rule and a carve-out for goods temporarily imported for repair or other treatment.</w:t>
            </w:r>
          </w:p>
          <w:p>
            <w:pPr>
              <w:spacing w:after="60" w:line="260"/>
            </w:pPr>
            <w:r>
              <w:rPr>
                <w:rFonts w:ascii="Verdana" w:cs="Verdana" w:eastAsia="Verdana" w:hAnsi="Verdana"/>
                <w:sz w:val="20"/>
                <w:szCs w:val="20"/>
              </w:rPr>
              <w:t xml:space="preserve">•  Immovable property: where the property is; events: where held; if one location is in India, the whole place of supply is in India.</w:t>
            </w:r>
          </w:p>
          <w:p>
            <w:pPr>
              <w:spacing w:after="60" w:line="260"/>
            </w:pPr>
            <w:r>
              <w:rPr>
                <w:rFonts w:ascii="Verdana" w:cs="Verdana" w:eastAsia="Verdana" w:hAnsi="Verdana"/>
                <w:sz w:val="20"/>
                <w:szCs w:val="20"/>
              </w:rPr>
              <w:t xml:space="preserve">•  Location of the supplier applies to bank services to account holders and to hiring of means of transport for up to one month.</w:t>
            </w:r>
          </w:p>
          <w:p>
            <w:pPr>
              <w:spacing w:after="60" w:line="260"/>
            </w:pPr>
            <w:r>
              <w:rPr>
                <w:rFonts w:ascii="Verdana" w:cs="Verdana" w:eastAsia="Verdana" w:hAnsi="Verdana"/>
                <w:sz w:val="20"/>
                <w:szCs w:val="20"/>
              </w:rPr>
              <w:t xml:space="preserve">•  From 30 March 2026 intermediary services follow the location of the recipient: Indian agents of foreign principals can export, and commission paid to foreign agents is an import under reverse charge.</w:t>
            </w:r>
          </w:p>
          <w:p>
            <w:pPr>
              <w:spacing w:after="60" w:line="260"/>
            </w:pPr>
            <w:r>
              <w:rPr>
                <w:rFonts w:ascii="Verdana" w:cs="Verdana" w:eastAsia="Verdana" w:hAnsi="Verdana"/>
                <w:sz w:val="20"/>
                <w:szCs w:val="20"/>
              </w:rPr>
              <w:t xml:space="preserve">•  Goods transport: location of the recipient, since section 13(9) was omitted from 1 October 2023; passenger transport: place of embarkation.</w:t>
            </w:r>
          </w:p>
          <w:p>
            <w:pPr>
              <w:spacing w:after="60" w:line="260"/>
            </w:pPr>
            <w:r>
              <w:rPr>
                <w:rFonts w:ascii="Verdana" w:cs="Verdana" w:eastAsia="Verdana" w:hAnsi="Verdana"/>
                <w:sz w:val="20"/>
                <w:szCs w:val="20"/>
              </w:rPr>
              <w:t xml:space="preserve">•  OIDAR: location of recipient; foreign suppliers pay IGST on supplies to any unregistered recipient in India, while registered recipients pay under reverse charge.</w:t>
            </w:r>
          </w:p>
        </w:tc>
      </w:tr>
    </w:tbl>
    <w:p>
      <w:pPr>
        <w:pStyle w:val="Heading1"/>
        <w:pageBreakBefore/>
        <w:spacing w:after="200" w:before="0"/>
      </w:pPr>
      <w:r>
        <w:rPr>
          <w:rFonts w:ascii="Verdana" w:cs="Verdana" w:eastAsia="Verdana" w:hAnsi="Verdana"/>
        </w:rPr>
        <w:t xml:space="preserve">14. Imports, Exports, SEZ and Deemed Exports</w:t>
      </w:r>
    </w:p>
    <w:p>
      <w:pPr>
        <w:spacing w:after="120" w:line="276"/>
        <w:jc w:val="both"/>
      </w:pPr>
      <w:r>
        <w:rPr>
          <w:rFonts w:ascii="Verdana" w:cs="Verdana" w:eastAsia="Verdana" w:hAnsi="Verdana"/>
        </w:rPr>
        <w:t xml:space="preserve">GST taxes goods and services where they are consumed. Imports are taxed like domestic supplies, and exports leave India free of tax through zero-rating. Refund procedure is covered in the chapter on refunds.</w:t>
      </w:r>
    </w:p>
    <w:p>
      <w:pPr>
        <w:pStyle w:val="Heading2"/>
        <w:keepNext/>
        <w:spacing w:after="120" w:before="240"/>
      </w:pPr>
      <w:r>
        <w:rPr>
          <w:rFonts w:ascii="Verdana" w:cs="Verdana" w:eastAsia="Verdana" w:hAnsi="Verdana"/>
        </w:rPr>
        <w:t xml:space="preserve">14.1 Import of goods</w:t>
      </w:r>
    </w:p>
    <w:p>
      <w:pPr>
        <w:spacing w:after="120" w:line="276"/>
        <w:jc w:val="both"/>
      </w:pPr>
      <w:r>
        <w:rPr>
          <w:rFonts w:ascii="Verdana" w:cs="Verdana" w:eastAsia="Verdana" w:hAnsi="Verdana"/>
        </w:rPr>
        <w:t xml:space="preserve">Import of goods means bringing goods into India from a place outside India (section 2(10) of the IGST Act). IGST on imported goods is levied under section 3(7) of the Customs Tariff Act, 1975, not under the IGST Act, and is collected with customs duty on the bill of entry. It is charged on the assessable value plus basic customs duty (BCD) plus the Social Welfare Surcharge (SWS, 10% of BCD) and any other customs duties. Compensation cess, once also collected on imports, no longer applies after its abolition was completed on 1 February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81: Customs duty and IGST on imported machinery</w:t>
            </w:r>
          </w:p>
          <w:p>
            <w:pPr>
              <w:spacing w:after="60" w:line="260"/>
            </w:pPr>
            <w:r>
              <w:rPr>
                <w:rFonts w:ascii="Verdana" w:cs="Verdana" w:eastAsia="Verdana" w:hAnsi="Verdana"/>
                <w:sz w:val="20"/>
                <w:szCs w:val="20"/>
              </w:rPr>
              <w:t xml:space="preserve">Joshi Engineering Pvt. Ltd. imports a machine at CIF USD 20,000. The customs exchange rate is Rs. 86.50; BCD 10%; IGST 18%.</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Assessable value (USD 20,000 x Rs. 86.50)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17,30,000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BCD at 10%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1,73,000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SWS at 10% of BCD</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17,300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Value for IGST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19,20,300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IGST at 18%</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3,45,654</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duty paid (BCD + SWS + IGST)</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Rs. 5,35,954</w:t>
            </w:r>
          </w:p>
        </w:tc>
      </w:tr>
    </w:tbl>
    <w:p>
      <w:pPr>
        <w:spacing w:after="60"/>
      </w:pPr>
    </w:p>
    <w:p>
      <w:pPr>
        <w:spacing w:after="120" w:line="276"/>
        <w:jc w:val="both"/>
      </w:pPr>
      <w:r>
        <w:rPr>
          <w:rFonts w:ascii="Verdana" w:cs="Verdana" w:eastAsia="Verdana" w:hAnsi="Verdana"/>
        </w:rPr>
        <w:t xml:space="preserve">Only the IGST of Rs. 3,45,654 is available as credit; BCD and SWS are costs and form part of the machine's cost in the books. The bill of entry is the document for credit (rule 36(1)(d)), and ICEGATE data flows into GSTR-2B, where the credit is claimed in Table 4(A)(1) of GSTR-3B. The importer's GSTIN must appear on the bill of entry.</w:t>
      </w:r>
    </w:p>
    <w:p>
      <w:pPr>
        <w:pStyle w:val="Heading3"/>
        <w:keepNext/>
        <w:spacing w:after="80" w:before="160"/>
      </w:pPr>
      <w:r>
        <w:rPr>
          <w:rFonts w:ascii="Verdana" w:cs="Verdana" w:eastAsia="Verdana" w:hAnsi="Verdana"/>
        </w:rPr>
        <w:t xml:space="preserve">High-sea sales and bonded warehouses</w:t>
      </w:r>
    </w:p>
    <w:p>
      <w:pPr>
        <w:spacing w:after="120" w:line="276"/>
        <w:jc w:val="both"/>
      </w:pPr>
      <w:r>
        <w:rPr>
          <w:rFonts w:ascii="Verdana" w:cs="Verdana" w:eastAsia="Verdana" w:hAnsi="Verdana"/>
        </w:rPr>
        <w:t xml:space="preserve">In a high-sea sale, the original importer sells goods by transferring the documents of title before they are cleared. Under Schedule III, para 8(b) of the CGST Act (from 1 February 2019), such a sale is neither a supply of goods nor of services, so no GST is charged on it. The last buyer files the bill of entry and pays IGST at customs on a value that includes the high-sea sale premium. Similarly, a sale of warehoused goods before clearance for home consumption is covered by para 8(a); the Finance Act, 2025 amended it retrospectively from 1 July 2017 to include goods warehoused in an SEZ or FTWZ. The buyer pays IGST on the ex-bond bill of entry.</w:t>
      </w:r>
    </w:p>
    <w:p>
      <w:pPr>
        <w:pStyle w:val="Heading2"/>
        <w:keepNext/>
        <w:spacing w:after="120" w:before="240"/>
      </w:pPr>
      <w:r>
        <w:rPr>
          <w:rFonts w:ascii="Verdana" w:cs="Verdana" w:eastAsia="Verdana" w:hAnsi="Verdana"/>
        </w:rPr>
        <w:t xml:space="preserve">14.2 Import of services</w:t>
      </w:r>
    </w:p>
    <w:p>
      <w:pPr>
        <w:spacing w:after="120" w:line="276"/>
        <w:jc w:val="both"/>
      </w:pPr>
      <w:r>
        <w:rPr>
          <w:rFonts w:ascii="Verdana" w:cs="Verdana" w:eastAsia="Verdana" w:hAnsi="Verdana"/>
        </w:rPr>
        <w:t xml:space="preserve">Import of services is supply of a service where the supplier is outside India, the recipient is in India and the place of supply is in India (section 2(11)). Imports from a related person abroad are supplies even without consideration (Schedule I, para 4). The recipient pays IGST under reverse charge (section 5(3) of the IGST Act). Services imported by an individual, the Government or a local authority for a purpose other than business are exempt, except OIDAR services, which are taxed as explained in Chapter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82: Personal and business imports</w:t>
            </w:r>
          </w:p>
          <w:p>
            <w:pPr>
              <w:spacing w:after="60" w:line="260"/>
            </w:pPr>
            <w:r>
              <w:rPr>
                <w:rFonts w:ascii="Verdana" w:cs="Verdana" w:eastAsia="Verdana" w:hAnsi="Verdana"/>
                <w:sz w:val="20"/>
                <w:szCs w:val="20"/>
              </w:rPr>
              <w:t xml:space="preserve">Anjali, a salaried employee, pays a London solicitor GBP 2,000 for advice on her late father's UK flat. The service is for a non-business purpose: exempt.</w:t>
            </w:r>
          </w:p>
          <w:p>
            <w:pPr>
              <w:spacing w:after="60" w:line="260"/>
            </w:pPr>
            <w:r>
              <w:rPr>
                <w:rFonts w:ascii="Verdana" w:cs="Verdana" w:eastAsia="Verdana" w:hAnsi="Verdana"/>
                <w:sz w:val="20"/>
                <w:szCs w:val="20"/>
              </w:rPr>
              <w:t xml:space="preserve">Mehta Exports pays the same solicitor Rs. 2,20,000 for advice on a UK distribution contract. It pays IGST of Rs. 39,600 under reverse charge in cash and takes credit of Rs. 39,600 in the same month.</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Ocean freight on CIF imports</w:t>
            </w:r>
          </w:p>
          <w:p>
            <w:pPr>
              <w:spacing w:after="60" w:line="260"/>
            </w:pPr>
            <w:r>
              <w:rPr>
                <w:rFonts w:ascii="Verdana" w:cs="Verdana" w:eastAsia="Verdana" w:hAnsi="Verdana"/>
                <w:b/>
                <w:bCs/>
                <w:sz w:val="20"/>
                <w:szCs w:val="20"/>
              </w:rPr>
              <w:t xml:space="preserve">Union of India v. Mohit Minerals (P) Ltd. (Supreme Court, 2022):</w:t>
            </w:r>
            <w:r>
              <w:rPr>
                <w:rFonts w:ascii="Verdana" w:cs="Verdana" w:eastAsia="Verdana" w:hAnsi="Verdana"/>
                <w:sz w:val="20"/>
                <w:szCs w:val="20"/>
              </w:rPr>
              <w:t xml:space="preserve"> IGST under reverse charge on ocean freight paid by the Indian importer on CIF imports was struck down. The freight is part of a composite supply of goods on which the importer already pays IGST at customs on the CIF value; taxing it again as a separate service was bad in law. The Court also held that GST Council recommendations are persuasive, not binding. The reverse charge entry for such freight was later removed from 1 October 2023.</w:t>
            </w:r>
          </w:p>
        </w:tc>
      </w:tr>
    </w:tbl>
    <w:p>
      <w:pPr>
        <w:spacing w:after="60"/>
      </w:pPr>
    </w:p>
    <w:p>
      <w:pPr>
        <w:pStyle w:val="Heading2"/>
        <w:keepNext/>
        <w:spacing w:after="120" w:before="240"/>
      </w:pPr>
      <w:r>
        <w:rPr>
          <w:rFonts w:ascii="Verdana" w:cs="Verdana" w:eastAsia="Verdana" w:hAnsi="Verdana"/>
        </w:rPr>
        <w:t xml:space="preserve">14.3 Export of goods and services</w:t>
      </w:r>
    </w:p>
    <w:p>
      <w:pPr>
        <w:spacing w:after="120" w:line="276"/>
        <w:jc w:val="both"/>
      </w:pPr>
      <w:r>
        <w:rPr>
          <w:rFonts w:ascii="Verdana" w:cs="Verdana" w:eastAsia="Verdana" w:hAnsi="Verdana"/>
        </w:rPr>
        <w:t xml:space="preserve">Export of goods means taking goods out of India to a place outside India (section 2(5) of the IGST Act). Export of services, under section 2(6), needs all five conditions:</w:t>
      </w:r>
    </w:p>
    <w:p>
      <w:pPr>
        <w:pStyle w:val="ListParagraph"/>
        <w:numPr>
          <w:ilvl w:val="0"/>
          <w:numId w:val="2"/>
        </w:numPr>
        <w:spacing w:after="60" w:line="264"/>
      </w:pPr>
      <w:r>
        <w:rPr>
          <w:rFonts w:ascii="Verdana" w:cs="Verdana" w:eastAsia="Verdana" w:hAnsi="Verdana"/>
        </w:rPr>
        <w:t xml:space="preserve">the supplier is located in India;</w:t>
      </w:r>
    </w:p>
    <w:p>
      <w:pPr>
        <w:pStyle w:val="ListParagraph"/>
        <w:numPr>
          <w:ilvl w:val="0"/>
          <w:numId w:val="2"/>
        </w:numPr>
        <w:spacing w:after="60" w:line="264"/>
      </w:pPr>
      <w:r>
        <w:rPr>
          <w:rFonts w:ascii="Verdana" w:cs="Verdana" w:eastAsia="Verdana" w:hAnsi="Verdana"/>
        </w:rPr>
        <w:t xml:space="preserve">the recipient is located outside India;</w:t>
      </w:r>
    </w:p>
    <w:p>
      <w:pPr>
        <w:pStyle w:val="ListParagraph"/>
        <w:numPr>
          <w:ilvl w:val="0"/>
          <w:numId w:val="2"/>
        </w:numPr>
        <w:spacing w:after="60" w:line="264"/>
      </w:pPr>
      <w:r>
        <w:rPr>
          <w:rFonts w:ascii="Verdana" w:cs="Verdana" w:eastAsia="Verdana" w:hAnsi="Verdana"/>
        </w:rPr>
        <w:t xml:space="preserve">the place of supply is outside India;</w:t>
      </w:r>
    </w:p>
    <w:p>
      <w:pPr>
        <w:pStyle w:val="ListParagraph"/>
        <w:numPr>
          <w:ilvl w:val="0"/>
          <w:numId w:val="2"/>
        </w:numPr>
        <w:spacing w:after="60" w:line="264"/>
      </w:pPr>
      <w:r>
        <w:rPr>
          <w:rFonts w:ascii="Verdana" w:cs="Verdana" w:eastAsia="Verdana" w:hAnsi="Verdana"/>
        </w:rPr>
        <w:t xml:space="preserve">payment is received in convertible foreign exchange, or in Indian rupees wherever permitted by the RBI (such as through a Special Rupee Vostro Account); and</w:t>
      </w:r>
    </w:p>
    <w:p>
      <w:pPr>
        <w:pStyle w:val="ListParagraph"/>
        <w:numPr>
          <w:ilvl w:val="0"/>
          <w:numId w:val="2"/>
        </w:numPr>
        <w:spacing w:after="60" w:line="264"/>
      </w:pPr>
      <w:r>
        <w:rPr>
          <w:rFonts w:ascii="Verdana" w:cs="Verdana" w:eastAsia="Verdana" w:hAnsi="Verdana"/>
        </w:rPr>
        <w:t xml:space="preserve">the supplier and recipient are not merely establishments of a distinct person under Explanation 1 to section 8.</w:t>
      </w:r>
    </w:p>
    <w:p>
      <w:pPr>
        <w:spacing w:after="120" w:line="276"/>
        <w:jc w:val="both"/>
      </w:pPr>
      <w:r>
        <w:rPr>
          <w:rFonts w:ascii="Verdana" w:cs="Verdana" w:eastAsia="Verdana" w:hAnsi="Verdana"/>
        </w:rPr>
        <w:t xml:space="preserve">The last condition means that services by an Indian branch to its own foreign head office are not exports. CBIC Circular 161/17/2021-GST clarified that a foreign subsidiary or sister company is a separate legal person, so services to it can qualify as exports.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83: Which services qualify as exports</w:t>
            </w:r>
          </w:p>
          <w:p>
            <w:pPr>
              <w:spacing w:after="60" w:line="260"/>
            </w:pPr>
            <w:r>
              <w:rPr>
                <w:rFonts w:ascii="Verdana" w:cs="Verdana" w:eastAsia="Verdana" w:hAnsi="Verdana"/>
                <w:sz w:val="20"/>
                <w:szCs w:val="20"/>
              </w:rPr>
              <w:t xml:space="preserve">Nexus Software Pvt. Ltd., Pune, bills Rs. 10,00,000 for each of five contracts:</w:t>
            </w:r>
          </w:p>
          <w:p>
            <w:pPr>
              <w:spacing w:after="60" w:line="260"/>
            </w:pPr>
            <w:r>
              <w:rPr>
                <w:rFonts w:ascii="Verdana" w:cs="Verdana" w:eastAsia="Verdana" w:hAnsi="Verdana"/>
                <w:sz w:val="20"/>
                <w:szCs w:val="20"/>
              </w:rPr>
              <w:t xml:space="preserve">Contract 1: software development for a US client, paid in USD. All five conditions met: export.</w:t>
            </w:r>
          </w:p>
          <w:p>
            <w:pPr>
              <w:spacing w:after="60" w:line="260"/>
            </w:pPr>
            <w:r>
              <w:rPr>
                <w:rFonts w:ascii="Verdana" w:cs="Verdana" w:eastAsia="Verdana" w:hAnsi="Verdana"/>
                <w:sz w:val="20"/>
                <w:szCs w:val="20"/>
              </w:rPr>
              <w:t xml:space="preserve">Contract 2: development for its own US parent company, paid in USD. Separate legal entity (Circular 161/17/2021-GST): export.</w:t>
            </w:r>
          </w:p>
          <w:p>
            <w:pPr>
              <w:spacing w:after="60" w:line="260"/>
            </w:pPr>
            <w:r>
              <w:rPr>
                <w:rFonts w:ascii="Verdana" w:cs="Verdana" w:eastAsia="Verdana" w:hAnsi="Verdana"/>
                <w:sz w:val="20"/>
                <w:szCs w:val="20"/>
              </w:rPr>
              <w:t xml:space="preserve">Contract 3: services by the Indian branch of a UK company to its UK head office. Establishments of one person: not an export. IGST of Rs. 1,80,000 is payable, as the place of supply is outside India (section 7(5)(a)).</w:t>
            </w:r>
          </w:p>
          <w:p>
            <w:pPr>
              <w:spacing w:after="60" w:line="260"/>
            </w:pPr>
            <w:r>
              <w:rPr>
                <w:rFonts w:ascii="Verdana" w:cs="Verdana" w:eastAsia="Verdana" w:hAnsi="Verdana"/>
                <w:sz w:val="20"/>
                <w:szCs w:val="20"/>
              </w:rPr>
              <w:t xml:space="preserve">Contract 4: services to a US client, but paid in rupees by the client's Indian distributor. Condition (iv) fails: not an export.</w:t>
            </w:r>
          </w:p>
          <w:p>
            <w:pPr>
              <w:spacing w:after="60" w:line="260"/>
            </w:pPr>
            <w:r>
              <w:rPr>
                <w:rFonts w:ascii="Verdana" w:cs="Verdana" w:eastAsia="Verdana" w:hAnsi="Verdana"/>
                <w:sz w:val="20"/>
                <w:szCs w:val="20"/>
              </w:rPr>
              <w:t xml:space="preserve">Contract 5: repair of the US client's equipment located in Pune. Place of supply is India (section 13(3)(a)): not an export; CGST Rs. 90,000 + SGST Rs. 90,000.</w:t>
            </w:r>
          </w:p>
        </w:tc>
      </w:tr>
    </w:tbl>
    <w:p>
      <w:pPr>
        <w:spacing w:after="60"/>
      </w:pPr>
    </w:p>
    <w:p>
      <w:pPr>
        <w:pStyle w:val="Heading2"/>
        <w:keepNext/>
        <w:spacing w:after="120" w:before="240"/>
      </w:pPr>
      <w:r>
        <w:rPr>
          <w:rFonts w:ascii="Verdana" w:cs="Verdana" w:eastAsia="Verdana" w:hAnsi="Verdana"/>
        </w:rPr>
        <w:t xml:space="preserve">14.4 Zero-rated supplies (Section 16 of the IGST Act)</w:t>
      </w:r>
    </w:p>
    <w:p>
      <w:pPr>
        <w:spacing w:after="120" w:line="276"/>
        <w:jc w:val="both"/>
      </w:pPr>
      <w:r>
        <w:rPr>
          <w:rFonts w:ascii="Verdana" w:cs="Verdana" w:eastAsia="Verdana" w:hAnsi="Verdana"/>
        </w:rPr>
        <w:t xml:space="preserve">Section 16 treats exports and supplies to an SEZ developer or unit for authorised operations as zero-rated. ITC on inputs used for them is allowed even though the output bears no tax. There are two routes (section 16(3)):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3614"/>
        <w:gridCol w:w="4017"/>
      </w:tblGrid>
      <w:tr>
        <w:trPr>
          <w:cantSplit/>
          <w:tblHeader/>
        </w:trPr>
        <w:tc>
          <w:tcPr>
            <w:tcW w:type="dxa" w:w="200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Feature</w:t>
            </w:r>
          </w:p>
        </w:tc>
        <w:tc>
          <w:tcPr>
            <w:tcW w:type="dxa" w:w="3614"/>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LUT route</w:t>
            </w:r>
          </w:p>
        </w:tc>
        <w:tc>
          <w:tcPr>
            <w:tcW w:type="dxa" w:w="401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IGST payment route</w:t>
            </w:r>
          </w:p>
        </w:tc>
      </w:tr>
      <w:tr>
        <w:trPr>
          <w:cantSplit/>
        </w:trPr>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on export</w:t>
            </w:r>
          </w:p>
        </w:tc>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None; supply under Letter of Undertaking (RFD-11, each year)</w:t>
            </w:r>
          </w:p>
        </w:tc>
        <w:tc>
          <w:tcPr>
            <w:tcW w:type="dxa" w:w="40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IGST paid, using ITC or cash</w:t>
            </w:r>
          </w:p>
        </w:tc>
      </w:tr>
      <w:tr>
        <w:trPr>
          <w:cantSplit/>
        </w:trPr>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Refund of</w:t>
            </w:r>
          </w:p>
        </w:tc>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Unutilised ITC (rule 89(4) formula)</w:t>
            </w:r>
          </w:p>
        </w:tc>
        <w:tc>
          <w:tcPr>
            <w:tcW w:type="dxa" w:w="40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IGST paid</w:t>
            </w:r>
          </w:p>
        </w:tc>
      </w:tr>
      <w:tr>
        <w:trPr>
          <w:cantSplit/>
        </w:trPr>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Refund process</w:t>
            </w:r>
          </w:p>
        </w:tc>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RFD-01 on the portal</w:t>
            </w:r>
          </w:p>
        </w:tc>
        <w:tc>
          <w:tcPr>
            <w:tcW w:type="dxa" w:w="40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shipping bill is the refund claim (rule 96), processed through ICEGATE. Services: RFD-01</w:t>
            </w:r>
          </w:p>
        </w:tc>
      </w:tr>
      <w:tr>
        <w:trPr>
          <w:cantSplit/>
        </w:trPr>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Restrictions</w:t>
            </w:r>
          </w:p>
        </w:tc>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Must export or realise payment in time (rule 96A)</w:t>
            </w:r>
          </w:p>
        </w:tc>
        <w:tc>
          <w:tcPr>
            <w:tcW w:type="dxa" w:w="40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Government can limit the route by notification (section 16(4)); from 1 October 2023 pan masala, tobacco products and certain mint oils cannot be exported on payment of IGST</w:t>
            </w:r>
          </w:p>
        </w:tc>
      </w:tr>
    </w:tbl>
    <w:p>
      <w:pPr>
        <w:spacing w:after="60"/>
      </w:pPr>
    </w:p>
    <w:p>
      <w:pPr>
        <w:spacing w:after="120" w:line="276"/>
        <w:jc w:val="both"/>
      </w:pPr>
      <w:r>
        <w:rPr>
          <w:rFonts w:ascii="Verdana" w:cs="Verdana" w:eastAsia="Verdana" w:hAnsi="Verdana"/>
        </w:rPr>
        <w:t xml:space="preserve">Rule 96(10) barred the IGST route for exporters who imported inputs duty-free under advance authorisation, EPCG or EOU schemes. It was omitted from 8 October 2024. Whether the omission helps refunds for earlier periods is being litigated; check the latest rulings before advising on past claims.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84: LUT or IGST payment for a goods exporter</w:t>
            </w:r>
          </w:p>
          <w:p>
            <w:pPr>
              <w:spacing w:after="60" w:line="260"/>
            </w:pPr>
            <w:r>
              <w:rPr>
                <w:rFonts w:ascii="Verdana" w:cs="Verdana" w:eastAsia="Verdana" w:hAnsi="Verdana"/>
                <w:sz w:val="20"/>
                <w:szCs w:val="20"/>
              </w:rPr>
              <w:t xml:space="preserve">Vardhan Exports ships goods of FOB Rs. 50,00,000 in June 2026. ITC on inputs is Rs. 6,00,000; it has no domestic sales.</w:t>
            </w:r>
          </w:p>
          <w:p>
            <w:pPr>
              <w:spacing w:after="60" w:line="260"/>
            </w:pPr>
            <w:r>
              <w:rPr>
                <w:rFonts w:ascii="Verdana" w:cs="Verdana" w:eastAsia="Verdana" w:hAnsi="Verdana"/>
                <w:sz w:val="20"/>
                <w:szCs w:val="20"/>
              </w:rPr>
              <w:t xml:space="preserve">LUT route: no IGST. Unutilised ITC of Rs. 6,00,000 is claimed in RFD-01.</w:t>
            </w:r>
          </w:p>
          <w:p>
            <w:pPr>
              <w:spacing w:after="60" w:line="260"/>
            </w:pPr>
            <w:r>
              <w:rPr>
                <w:rFonts w:ascii="Verdana" w:cs="Verdana" w:eastAsia="Verdana" w:hAnsi="Verdana"/>
                <w:sz w:val="20"/>
                <w:szCs w:val="20"/>
              </w:rPr>
              <w:t xml:space="preserve">IGST route: IGST = 18% of Rs. 50,00,000 = Rs. 9,00,000, paid by ITC of Rs. 6,00,000 and cash of Rs. 3,00,000. The shipping bill is the refund claim and Rs. 9,00,000 comes back through ICEGATE, usually faster.</w:t>
            </w:r>
          </w:p>
        </w:tc>
      </w:tr>
    </w:tbl>
    <w:p>
      <w:pPr>
        <w:spacing w:after="60"/>
      </w:pPr>
    </w:p>
    <w:p>
      <w:pPr>
        <w:spacing w:after="120" w:line="276"/>
        <w:jc w:val="both"/>
      </w:pPr>
      <w:r>
        <w:rPr>
          <w:rFonts w:ascii="Verdana" w:cs="Verdana" w:eastAsia="Verdana" w:hAnsi="Verdana"/>
        </w:rPr>
        <w:t xml:space="preserve">Under rule 96A, an exporter under LUT must export the goods within three months of the invoice, or receive payment for services within one year of the invoice, or such longer period as the Commissioner allows. Otherwise, tax must be paid with interest within 15 days after that period. The tax is refunded when the goods are exported or the payment arrives.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85: Late realisation of export proceeds</w:t>
            </w:r>
          </w:p>
          <w:p>
            <w:pPr>
              <w:spacing w:after="60" w:line="260"/>
            </w:pPr>
            <w:r>
              <w:rPr>
                <w:rFonts w:ascii="Verdana" w:cs="Verdana" w:eastAsia="Verdana" w:hAnsi="Verdana"/>
                <w:sz w:val="20"/>
                <w:szCs w:val="20"/>
              </w:rPr>
              <w:t xml:space="preserve">Kavya Infotech issues an export invoice under LUT on 15 September 2025 for USD 12,000 (Rs. 10,56,000 at Rs. 88). No payment is received by 15 September 2026.</w:t>
            </w:r>
          </w:p>
          <w:p>
            <w:pPr>
              <w:spacing w:after="60" w:line="260"/>
            </w:pPr>
            <w:r>
              <w:rPr>
                <w:rFonts w:ascii="Verdana" w:cs="Verdana" w:eastAsia="Verdana" w:hAnsi="Verdana"/>
                <w:sz w:val="20"/>
                <w:szCs w:val="20"/>
              </w:rPr>
              <w:t xml:space="preserve">Step 1: IGST = 18% of Rs. 10,56,000 = Rs. 1,90,080, payable by 30 September 2026.</w:t>
            </w:r>
          </w:p>
          <w:p>
            <w:pPr>
              <w:spacing w:after="60" w:line="260"/>
            </w:pPr>
            <w:r>
              <w:rPr>
                <w:rFonts w:ascii="Verdana" w:cs="Verdana" w:eastAsia="Verdana" w:hAnsi="Verdana"/>
                <w:sz w:val="20"/>
                <w:szCs w:val="20"/>
              </w:rPr>
              <w:t xml:space="preserve">Step 2: Interest at 18% from 21 October 2025 (the day after the due date of the September 2025 return) to 30 September 2026 = 345 days. Interest = Rs. 1,90,080 x 18% x 345/365 = Rs. 32,340. The LUT wording is often read as running interest from the invoice date (15 September 2025), which adds 35 days; the view taken here follows section 50, which runs interest from the due date of the return. Check the stand of the jurisdictional office.</w:t>
            </w:r>
          </w:p>
          <w:p>
            <w:pPr>
              <w:spacing w:after="60" w:line="260"/>
            </w:pPr>
            <w:r>
              <w:rPr>
                <w:rFonts w:ascii="Verdana" w:cs="Verdana" w:eastAsia="Verdana" w:hAnsi="Verdana"/>
                <w:sz w:val="20"/>
                <w:szCs w:val="20"/>
              </w:rPr>
              <w:t xml:space="preserve">Step 3: When the USD 12,000 is received, Kavya can claim refund of the IGST.</w:t>
            </w:r>
          </w:p>
        </w:tc>
      </w:tr>
    </w:tbl>
    <w:p>
      <w:pPr>
        <w:spacing w:after="60"/>
      </w:pPr>
    </w:p>
    <w:p>
      <w:pPr>
        <w:pStyle w:val="Heading2"/>
        <w:keepNext/>
        <w:spacing w:after="120" w:before="240"/>
      </w:pPr>
      <w:r>
        <w:rPr>
          <w:rFonts w:ascii="Verdana" w:cs="Verdana" w:eastAsia="Verdana" w:hAnsi="Verdana"/>
        </w:rPr>
        <w:t xml:space="preserve">14.5 Supplies to and from an SEZ</w:t>
      </w:r>
    </w:p>
    <w:p>
      <w:pPr>
        <w:spacing w:after="120" w:line="276"/>
        <w:jc w:val="both"/>
      </w:pPr>
      <w:r>
        <w:rPr>
          <w:rFonts w:ascii="Verdana" w:cs="Verdana" w:eastAsia="Verdana" w:hAnsi="Verdana"/>
        </w:rPr>
        <w:t xml:space="preserve">A supply to an SEZ developer or unit is zero-rated only if it is for authorised operations approved under the SEZ Act. The DTA supplier supplies under LUT or with IGST, and its refund claim needs the specified officer's endorsement that the goods were admitted in full for authorised operations, or, for services, a similar endorsement (second proviso to rule 89(1)). Goods cleared from an SEZ into the DTA are treated as imports: the DTA buyer files a bill of entry and pays BCD and IGST at customs.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86: Components to an SEZ unit</w:t>
            </w:r>
          </w:p>
          <w:p>
            <w:pPr>
              <w:spacing w:after="60" w:line="260"/>
            </w:pPr>
            <w:r>
              <w:rPr>
                <w:rFonts w:ascii="Verdana" w:cs="Verdana" w:eastAsia="Verdana" w:hAnsi="Verdana"/>
                <w:sz w:val="20"/>
                <w:szCs w:val="20"/>
              </w:rPr>
              <w:t xml:space="preserve">Precision Components, Chennai, supplies parts worth Rs. 20,00,000 to an SEZ unit at Sriperumbudur for authorised operations. Under LUT it charges no tax and claims refund of related ITC after endorsement. On the IGST route it would charge Rs. 3,60,000 and claim that as a refund.</w:t>
            </w:r>
          </w:p>
          <w:p>
            <w:pPr>
              <w:spacing w:after="60" w:line="260"/>
            </w:pPr>
            <w:r>
              <w:rPr>
                <w:rFonts w:ascii="Verdana" w:cs="Verdana" w:eastAsia="Verdana" w:hAnsi="Verdana"/>
                <w:sz w:val="20"/>
                <w:szCs w:val="20"/>
              </w:rPr>
              <w:t xml:space="preserve">Goods worth Rs. 2,00,000 supplied to the same unit for a use not covered by its authorised operations are not zero-rated: IGST of Rs. 36,000 is payable and not refundable, though the supply remains inter-State.</w:t>
            </w:r>
          </w:p>
        </w:tc>
      </w:tr>
    </w:tbl>
    <w:p>
      <w:pPr>
        <w:spacing w:after="60"/>
      </w:pPr>
    </w:p>
    <w:p>
      <w:pPr>
        <w:pStyle w:val="Heading2"/>
        <w:keepNext/>
        <w:spacing w:after="120" w:before="240"/>
      </w:pPr>
      <w:r>
        <w:rPr>
          <w:rFonts w:ascii="Verdana" w:cs="Verdana" w:eastAsia="Verdana" w:hAnsi="Verdana"/>
        </w:rPr>
        <w:t xml:space="preserve">14.6 Deemed exports, merchant exports, EOUs and advance authorisation</w:t>
      </w:r>
    </w:p>
    <w:p>
      <w:pPr>
        <w:spacing w:after="120" w:line="276"/>
        <w:jc w:val="both"/>
      </w:pPr>
      <w:r>
        <w:rPr>
          <w:rFonts w:ascii="Verdana" w:cs="Verdana" w:eastAsia="Verdana" w:hAnsi="Verdana"/>
        </w:rPr>
        <w:t xml:space="preserve">Deemed exports are notified supplies where the goods do not leave India but the supply is treated as an export (section 147 of the CGST Act). Notification 48/2017-Central Tax lists them: supplies against advance authorisation; capital goods against an EPCG authorisation; supplies to an EOU, EHTP, STP or BTP unit; and gold supplied by a bank or public sector undertaking against advance authorisation. Deemed exports are not zero-rated. The supplier charges tax, and a refund can be claimed either by the recipient or by the supplier (rule 89(1)), with a declaration from the other side that it has not taken or will not take the benefit.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87: Supply to an advance authorisation holder</w:t>
            </w:r>
          </w:p>
          <w:p>
            <w:pPr>
              <w:spacing w:after="60" w:line="260"/>
            </w:pPr>
            <w:r>
              <w:rPr>
                <w:rFonts w:ascii="Verdana" w:cs="Verdana" w:eastAsia="Verdana" w:hAnsi="Verdana"/>
                <w:sz w:val="20"/>
                <w:szCs w:val="20"/>
              </w:rPr>
              <w:t xml:space="preserve">Om Polymers supplies granules worth Rs. 30,00,000 at 18% to an exporter holding an advance authorisation, and charges GST of Rs. 5,40,000.</w:t>
            </w:r>
          </w:p>
          <w:p>
            <w:pPr>
              <w:spacing w:after="60" w:line="260"/>
            </w:pPr>
            <w:r>
              <w:rPr>
                <w:rFonts w:ascii="Verdana" w:cs="Verdana" w:eastAsia="Verdana" w:hAnsi="Verdana"/>
                <w:sz w:val="20"/>
                <w:szCs w:val="20"/>
              </w:rPr>
              <w:t xml:space="preserve">Option A: the exporter pays Rs. 5,40,000, does not take ITC, and claims refund of Rs. 5,40,000; Om Polymers gives an undertaking not to claim it.</w:t>
            </w:r>
          </w:p>
          <w:p>
            <w:pPr>
              <w:spacing w:after="60" w:line="260"/>
            </w:pPr>
            <w:r>
              <w:rPr>
                <w:rFonts w:ascii="Verdana" w:cs="Verdana" w:eastAsia="Verdana" w:hAnsi="Verdana"/>
                <w:sz w:val="20"/>
                <w:szCs w:val="20"/>
              </w:rPr>
              <w:t xml:space="preserve">Option B: Om Polymers claims the refund, backed by the exporter's declaration that it has not availed ITC.</w:t>
            </w:r>
          </w:p>
        </w:tc>
      </w:tr>
    </w:tbl>
    <w:p>
      <w:pPr>
        <w:spacing w:after="60"/>
      </w:pPr>
    </w:p>
    <w:p>
      <w:pPr>
        <w:spacing w:after="120" w:line="276"/>
        <w:jc w:val="both"/>
      </w:pPr>
      <w:r>
        <w:rPr>
          <w:rFonts w:ascii="Verdana" w:cs="Verdana" w:eastAsia="Verdana" w:hAnsi="Verdana"/>
        </w:rPr>
        <w:t xml:space="preserve">Merchant exporters can buy goods for export at 0.1% (0.05% CGST + 0.05% SGST, or 0.1% IGST) under Notification 40/2017-Central Tax (Rate) and the matching IGST notification. Conditions include export within 90 days of the supplier's invoice, registration of the merchant exporter with an Export Promotion Council or Commodity Board, direct movement of goods to the port or a registered warehouse, and quoting the supplier's GSTIN and invoice in the shipping bill. If any condition fails, the concession is lost and tax at the normal rate becomes payable.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88: Merchant export at 0.1%</w:t>
            </w:r>
          </w:p>
          <w:p>
            <w:pPr>
              <w:spacing w:after="60" w:line="260"/>
            </w:pPr>
            <w:r>
              <w:rPr>
                <w:rFonts w:ascii="Verdana" w:cs="Verdana" w:eastAsia="Verdana" w:hAnsi="Verdana"/>
                <w:sz w:val="20"/>
                <w:szCs w:val="20"/>
              </w:rPr>
              <w:t xml:space="preserve">Global Handlooms, a merchant exporter, buys man-made fabric (5%) worth Rs. 40,00,000 from a Surat mill.</w:t>
            </w:r>
          </w:p>
          <w:p>
            <w:pPr>
              <w:spacing w:after="60" w:line="260"/>
            </w:pPr>
            <w:r>
              <w:rPr>
                <w:rFonts w:ascii="Verdana" w:cs="Verdana" w:eastAsia="Verdana" w:hAnsi="Verdana"/>
                <w:sz w:val="20"/>
                <w:szCs w:val="20"/>
              </w:rPr>
              <w:t xml:space="preserve">Tax at 0.1% = CGST Rs. 2,000 + SGST Rs. 2,000 = Rs. 4,000, instead of Rs. 2,00,000 at 5%. Global Handlooms exports under LUT and claims refund of the Rs. 4,000 as unutilised ITC.</w:t>
            </w:r>
          </w:p>
        </w:tc>
      </w:tr>
    </w:tbl>
    <w:p>
      <w:pPr>
        <w:spacing w:after="60"/>
      </w:pPr>
    </w:p>
    <w:p>
      <w:pPr>
        <w:spacing w:after="120" w:line="276"/>
        <w:jc w:val="both"/>
      </w:pPr>
      <w:r>
        <w:rPr>
          <w:rFonts w:ascii="Verdana" w:cs="Verdana" w:eastAsia="Verdana" w:hAnsi="Verdana"/>
        </w:rPr>
        <w:t xml:space="preserve">EOUs and advance authorisation holders import inputs without customs duties, subject to export obligations and the conditions of the customs notifications. The IGST exemption on imports under advance authorisation carried a "pre-import" condition from 13 October 2017 to 9 January 2019.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Pre-import condition for advance authorisation</w:t>
            </w:r>
          </w:p>
          <w:p>
            <w:pPr>
              <w:spacing w:after="60" w:line="260"/>
            </w:pPr>
            <w:r>
              <w:rPr>
                <w:rFonts w:ascii="Verdana" w:cs="Verdana" w:eastAsia="Verdana" w:hAnsi="Verdana"/>
                <w:b/>
                <w:bCs/>
                <w:sz w:val="20"/>
                <w:szCs w:val="20"/>
              </w:rPr>
              <w:t xml:space="preserve">Union of India v. Cosmo Films Ltd. (Supreme Court, 2023):</w:t>
            </w:r>
            <w:r>
              <w:rPr>
                <w:rFonts w:ascii="Verdana" w:cs="Verdana" w:eastAsia="Verdana" w:hAnsi="Verdana"/>
                <w:sz w:val="20"/>
                <w:szCs w:val="20"/>
              </w:rPr>
              <w:t xml:space="preserve"> upheld the pre-import condition for IGST exemption on imports under advance authorisation for the period from 13 October 2017 to 9 January 2019. The Court allowed affected exporters to pay the IGST with interest and claim refund or credit through reassessment, and CBIC issued a customs circular in June 2023 on the procedure.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IGST on imported goods is levied under the Customs Tariff Act on assessable value plus BCD and SWS; only the IGST is available as credit through the bill of entry in GSTR-2B.</w:t>
            </w:r>
          </w:p>
          <w:p>
            <w:pPr>
              <w:spacing w:after="60" w:line="260"/>
            </w:pPr>
            <w:r>
              <w:rPr>
                <w:rFonts w:ascii="Verdana" w:cs="Verdana" w:eastAsia="Verdana" w:hAnsi="Verdana"/>
                <w:sz w:val="20"/>
                <w:szCs w:val="20"/>
              </w:rPr>
              <w:t xml:space="preserve">•  High-sea sales and sales of warehoused goods before clearance are outside GST; IGST is paid once at customs by the final buyer.</w:t>
            </w:r>
          </w:p>
          <w:p>
            <w:pPr>
              <w:spacing w:after="60" w:line="260"/>
            </w:pPr>
            <w:r>
              <w:rPr>
                <w:rFonts w:ascii="Verdana" w:cs="Verdana" w:eastAsia="Verdana" w:hAnsi="Verdana"/>
                <w:sz w:val="20"/>
                <w:szCs w:val="20"/>
              </w:rPr>
              <w:t xml:space="preserve">•  Import of services is taxed under reverse charge; non-business imports by individuals are exempt except OIDAR; IGST on ocean freight for CIF imports is not payable after Mohit Minerals.</w:t>
            </w:r>
          </w:p>
          <w:p>
            <w:pPr>
              <w:spacing w:after="60" w:line="260"/>
            </w:pPr>
            <w:r>
              <w:rPr>
                <w:rFonts w:ascii="Verdana" w:cs="Verdana" w:eastAsia="Verdana" w:hAnsi="Verdana"/>
                <w:sz w:val="20"/>
                <w:szCs w:val="20"/>
              </w:rPr>
              <w:t xml:space="preserve">•  Export of services needs all five conditions of section 2(6); services to a foreign subsidiary can be exports, services to one's own foreign head office cannot.</w:t>
            </w:r>
          </w:p>
          <w:p>
            <w:pPr>
              <w:spacing w:after="60" w:line="260"/>
            </w:pPr>
            <w:r>
              <w:rPr>
                <w:rFonts w:ascii="Verdana" w:cs="Verdana" w:eastAsia="Verdana" w:hAnsi="Verdana"/>
                <w:sz w:val="20"/>
                <w:szCs w:val="20"/>
              </w:rPr>
              <w:t xml:space="preserve">•  Zero-rated supplies go under LUT with refund of ITC or with IGST and its refund; rule 96A requires export within three months (goods) or payment within one year (services).</w:t>
            </w:r>
          </w:p>
          <w:p>
            <w:pPr>
              <w:spacing w:after="60" w:line="260"/>
            </w:pPr>
            <w:r>
              <w:rPr>
                <w:rFonts w:ascii="Verdana" w:cs="Verdana" w:eastAsia="Verdana" w:hAnsi="Verdana"/>
                <w:sz w:val="20"/>
                <w:szCs w:val="20"/>
              </w:rPr>
              <w:t xml:space="preserve">•  SEZ supplies are zero-rated only for authorised operations; goods from an SEZ to the DTA are imports.</w:t>
            </w:r>
          </w:p>
          <w:p>
            <w:pPr>
              <w:spacing w:after="60" w:line="260"/>
            </w:pPr>
            <w:r>
              <w:rPr>
                <w:rFonts w:ascii="Verdana" w:cs="Verdana" w:eastAsia="Verdana" w:hAnsi="Verdana"/>
                <w:sz w:val="20"/>
                <w:szCs w:val="20"/>
              </w:rPr>
              <w:t xml:space="preserve">•  Deemed exports carry tax refundable to the supplier or recipient; merchant exports carry 0.1% tax subject to strict conditions.</w:t>
            </w:r>
          </w:p>
        </w:tc>
      </w:tr>
    </w:tbl>
    <w:p>
      <w:pPr>
        <w:pStyle w:val="TocPart"/>
        <w:pageBreakBefore/>
        <w:shd w:fill="92400E" w:color="auto" w:val="clear"/>
        <w:spacing w:after="0" w:before="0"/>
        <w:ind w:left="0"/>
      </w:pPr>
      <w:r>
        <w:rPr>
          <w:rFonts w:ascii="Verdana" w:cs="Verdana" w:eastAsia="Verdana" w:hAnsi="Verdana"/>
          <w:b/>
          <w:bCs/>
          <w:color w:val="FFFFFF"/>
          <w:sz w:val="26"/>
          <w:szCs w:val="26"/>
        </w:rPr>
        <w:t xml:space="preserve">  PART D: INPUT TAX CREDIT</w:t>
      </w:r>
    </w:p>
    <w:p>
      <w:pPr>
        <w:shd w:fill="F6E8D2" w:color="auto" w:val="clear"/>
        <w:spacing w:after="200"/>
      </w:pPr>
      <w:r>
        <w:rPr>
          <w:rFonts w:ascii="Verdana" w:cs="Verdana" w:eastAsia="Verdana" w:hAnsi="Verdana"/>
          <w:i/>
          <w:iCs/>
          <w:color w:val="92400E"/>
          <w:sz w:val="20"/>
          <w:szCs w:val="20"/>
        </w:rPr>
        <w:t xml:space="preserve">  Sections 16 to 21 of the CGST Act and rules 36 to 45 and 86A to 88D of the CGST Rules</w:t>
      </w:r>
    </w:p>
    <w:p>
      <w:pPr>
        <w:spacing w:after="240" w:line="276"/>
        <w:jc w:val="both"/>
      </w:pPr>
      <w:r>
        <w:rPr>
          <w:rFonts w:ascii="Verdana" w:cs="Verdana" w:eastAsia="Verdana" w:hAnsi="Verdana"/>
          <w:i/>
          <w:iCs/>
          <w:color w:val="404040"/>
          <w:sz w:val="21"/>
          <w:szCs w:val="21"/>
        </w:rPr>
        <w:t xml:space="preserve">Input tax credit is what makes GST a tax on value addition rather than a tax on turnover. It is also where most disputes, notices and reversals arise. This Part explains when credit can be taken, which credits are blocked, how common credit is split, how credit moves in special situations, and how the portal now controls credit through GSTR-2B and the Invoice Management System.</w:t>
      </w:r>
    </w:p>
    <w:p>
      <w:pPr>
        <w:pStyle w:val="Heading1"/>
        <w:spacing w:after="200" w:before="120"/>
      </w:pPr>
      <w:r>
        <w:rPr>
          <w:rFonts w:ascii="Verdana" w:cs="Verdana" w:eastAsia="Verdana" w:hAnsi="Verdana"/>
        </w:rPr>
        <w:t xml:space="preserve">15. Input Tax Credit: Concept and Conditions (Section 16)</w:t>
      </w:r>
    </w:p>
    <w:p>
      <w:pPr>
        <w:spacing w:after="120" w:line="276"/>
        <w:jc w:val="both"/>
      </w:pPr>
      <w:r>
        <w:rPr>
          <w:rFonts w:ascii="Verdana" w:cs="Verdana" w:eastAsia="Verdana" w:hAnsi="Verdana"/>
        </w:rPr>
        <w:t xml:space="preserve">Input tax credit (ITC) is the tax a registered person has paid on his purchases which he may set off against the tax payable on his sales. Without it, tax would be charged at every stage on a value that already includes earlier tax. With it, each person pays tax only on the value he adds, and the full tax is borne by the final consumer. This chapter covers the entitlement under section 16 of the CGST Act, the conditions in section 16(2), the 180-day payment rule, the time limit, and the question of whether an honest buyer should lose credit when his supplier does not pay.</w:t>
      </w:r>
    </w:p>
    <w:p>
      <w:pPr>
        <w:pStyle w:val="Heading2"/>
        <w:keepNext/>
        <w:spacing w:after="120" w:before="240"/>
      </w:pPr>
      <w:r>
        <w:rPr>
          <w:rFonts w:ascii="Verdana" w:cs="Verdana" w:eastAsia="Verdana" w:hAnsi="Verdana"/>
        </w:rPr>
        <w:t xml:space="preserve">15.1 What qualifies for credit</w:t>
      </w:r>
    </w:p>
    <w:p>
      <w:pPr>
        <w:spacing w:after="120" w:line="276"/>
        <w:jc w:val="both"/>
      </w:pPr>
      <w:r>
        <w:rPr>
          <w:rFonts w:ascii="Verdana" w:cs="Verdana" w:eastAsia="Verdana" w:hAnsi="Verdana"/>
        </w:rPr>
        <w:t xml:space="preserve">Section 16(1) allows every registered person to take credit of input tax charged on supplies to him which are </w:t>
      </w:r>
      <w:r>
        <w:rPr>
          <w:rFonts w:ascii="Verdana" w:cs="Verdana" w:eastAsia="Verdana" w:hAnsi="Verdana"/>
          <w:b/>
          <w:bCs/>
        </w:rPr>
        <w:t xml:space="preserve">used or intended to be used in the course or furtherance of his business</w:t>
      </w:r>
      <w:r>
        <w:rPr>
          <w:rFonts w:ascii="Verdana" w:cs="Verdana" w:eastAsia="Verdana" w:hAnsi="Verdana"/>
        </w:rPr>
        <w:t xml:space="preserve">. Three categories qualify: </w:t>
      </w:r>
      <w:r>
        <w:rPr>
          <w:rFonts w:ascii="Verdana" w:cs="Verdana" w:eastAsia="Verdana" w:hAnsi="Verdana"/>
          <w:b/>
          <w:bCs/>
        </w:rPr>
        <w:t xml:space="preserve">inputs</w:t>
      </w:r>
      <w:r>
        <w:rPr>
          <w:rFonts w:ascii="Verdana" w:cs="Verdana" w:eastAsia="Verdana" w:hAnsi="Verdana"/>
        </w:rPr>
        <w:t xml:space="preserve"> (goods other than capital goods, section 2(59)), </w:t>
      </w:r>
      <w:r>
        <w:rPr>
          <w:rFonts w:ascii="Verdana" w:cs="Verdana" w:eastAsia="Verdana" w:hAnsi="Verdana"/>
          <w:b/>
          <w:bCs/>
        </w:rPr>
        <w:t xml:space="preserve">input services</w:t>
      </w:r>
      <w:r>
        <w:rPr>
          <w:rFonts w:ascii="Verdana" w:cs="Verdana" w:eastAsia="Verdana" w:hAnsi="Verdana"/>
        </w:rPr>
        <w:t xml:space="preserve"> (section 2(60)) and </w:t>
      </w:r>
      <w:r>
        <w:rPr>
          <w:rFonts w:ascii="Verdana" w:cs="Verdana" w:eastAsia="Verdana" w:hAnsi="Verdana"/>
          <w:b/>
          <w:bCs/>
        </w:rPr>
        <w:t xml:space="preserve">capital goods</w:t>
      </w:r>
      <w:r>
        <w:rPr>
          <w:rFonts w:ascii="Verdana" w:cs="Verdana" w:eastAsia="Verdana" w:hAnsi="Verdana"/>
        </w:rPr>
        <w:t xml:space="preserve"> (goods capitalised in the books, section 2(19)). "Input tax" under section 2(62) covers CGST, SGST, IGST and UTGST charged on supplies, IGST on imports and tax paid under reverse charge, but not composition tax. The words "intended to be used" mean that credit is not postponed until the goods are consumed. Raw material bought in March for use in May is credited in March.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89: Basic credit and set-off for a textile unit</w:t>
            </w:r>
          </w:p>
          <w:p>
            <w:pPr>
              <w:spacing w:after="60" w:line="260"/>
            </w:pPr>
            <w:r>
              <w:rPr>
                <w:rFonts w:ascii="Verdana" w:cs="Verdana" w:eastAsia="Verdana" w:hAnsi="Verdana"/>
                <w:sz w:val="20"/>
                <w:szCs w:val="20"/>
              </w:rPr>
              <w:t xml:space="preserve">Sharma Textiles Pvt. Ltd., Surat, makes man-made fibre fabric (5%). Its intra-State purchases for October 2026:</w:t>
            </w:r>
          </w:p>
          <w:p>
            <w:pPr>
              <w:spacing w:after="60" w:line="260"/>
            </w:pPr>
            <w:r>
              <w:rPr>
                <w:rFonts w:ascii="Verdana" w:cs="Verdana" w:eastAsia="Verdana" w:hAnsi="Verdana"/>
                <w:sz w:val="20"/>
                <w:szCs w:val="20"/>
              </w:rPr>
              <w:t xml:space="preserve">Step 1: Yarn Rs. 10,00,000 at 5% = Rs. 50,000. Packing material Rs. 1,00,000 at 18% = Rs. 18,000. Factory rent Rs. 3,00,000 at 18% = Rs. 54,000. Air compressor (capitalised) Rs. 5,00,000 at 18% = Rs. 90,000.</w:t>
            </w:r>
          </w:p>
          <w:p>
            <w:pPr>
              <w:spacing w:after="60" w:line="260"/>
            </w:pPr>
            <w:r>
              <w:rPr>
                <w:rFonts w:ascii="Verdana" w:cs="Verdana" w:eastAsia="Verdana" w:hAnsi="Verdana"/>
                <w:sz w:val="20"/>
                <w:szCs w:val="20"/>
              </w:rPr>
              <w:t xml:space="preserve">Step 2: Total ITC = Rs. 2,12,000 (CGST Rs. 1,06,000 and SGST Rs. 1,06,000).</w:t>
            </w:r>
          </w:p>
          <w:p>
            <w:pPr>
              <w:spacing w:after="60" w:line="260"/>
            </w:pPr>
            <w:r>
              <w:rPr>
                <w:rFonts w:ascii="Verdana" w:cs="Verdana" w:eastAsia="Verdana" w:hAnsi="Verdana"/>
                <w:sz w:val="20"/>
                <w:szCs w:val="20"/>
              </w:rPr>
              <w:t xml:space="preserve">Step 3: Output tax on fabric sales of Rs. 25,00,000 at 5% = Rs. 1,25,000 (CGST Rs. 62,500 + SGST Rs. 62,500).</w:t>
            </w:r>
          </w:p>
          <w:p>
            <w:pPr>
              <w:spacing w:after="60" w:line="260"/>
            </w:pPr>
            <w:r>
              <w:rPr>
                <w:rFonts w:ascii="Verdana" w:cs="Verdana" w:eastAsia="Verdana" w:hAnsi="Verdana"/>
                <w:sz w:val="20"/>
                <w:szCs w:val="20"/>
              </w:rPr>
              <w:t xml:space="preserve">Result: Output tax is paid wholly from the credit ledger and Rs. 87,000 is carried forward. Because the output rate is lower than the input rates, credit keeps building up. Refund under the inverted duty structure covers only credit on inputs, not on input services or capital goods (Part F).</w:t>
            </w:r>
          </w:p>
        </w:tc>
      </w:tr>
    </w:tbl>
    <w:p>
      <w:pPr>
        <w:spacing w:after="60"/>
      </w:pPr>
    </w:p>
    <w:p>
      <w:pPr>
        <w:pStyle w:val="Heading2"/>
        <w:keepNext/>
        <w:spacing w:after="120" w:before="240"/>
      </w:pPr>
      <w:r>
        <w:rPr>
          <w:rFonts w:ascii="Verdana" w:cs="Verdana" w:eastAsia="Verdana" w:hAnsi="Verdana"/>
        </w:rPr>
        <w:t xml:space="preserve">15.2 The conditions in section 16(2)</w:t>
      </w:r>
    </w:p>
    <w:p>
      <w:pPr>
        <w:spacing w:after="120" w:line="276"/>
        <w:jc w:val="both"/>
      </w:pPr>
      <w:r>
        <w:rPr>
          <w:rFonts w:ascii="Verdana" w:cs="Verdana" w:eastAsia="Verdana" w:hAnsi="Verdana"/>
        </w:rPr>
        <w:t xml:space="preserve">Section 16(2) opens with "Notwithstanding anything contained in this section, no registered person shall be entitled to the credit ... unless". Every condition must be met. Failing one defeats the claim even if the purchase is genuine.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238"/>
      </w:tblGrid>
      <w:tr>
        <w:trPr>
          <w:cantSplit/>
          <w:tblHeader/>
        </w:trPr>
        <w:tc>
          <w:tcPr>
            <w:tcW w:type="dxa" w:w="1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Clause</w:t>
            </w:r>
          </w:p>
        </w:tc>
        <w:tc>
          <w:tcPr>
            <w:tcW w:type="dxa" w:w="42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Condition</w:t>
            </w:r>
          </w:p>
        </w:tc>
        <w:tc>
          <w:tcPr>
            <w:tcW w:type="dxa" w:w="4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Usual proof</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16(2)(a)</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invoice, debit note or other prescribed document</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Invoice with rule 36(2) particulars; bill of entry; ISD invoice; self-invoice for reverse charge</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16(2)(aa)</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Invoice or debit note reported by supplier and communicated to recipient</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Appears in GSTR-2B</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16(2)(b)</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or services received</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receipt note, e-way bill, transport and service records</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16(2)(ba)</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Credit not restricted in the statement under section 38</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Shown as available in GSTR-2B</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16(2)(c)</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actually paid to the Government by the supplier</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Supplier's GSTR-3B filing status</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16(2)(d)</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Recipient has filed his return under section 39</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GSTR-3B filed</w:t>
            </w:r>
          </w:p>
        </w:tc>
      </w:tr>
    </w:tbl>
    <w:p>
      <w:pPr>
        <w:spacing w:after="60"/>
      </w:pPr>
    </w:p>
    <w:p>
      <w:pPr>
        <w:spacing w:after="120" w:line="276"/>
        <w:jc w:val="both"/>
      </w:pPr>
      <w:r>
        <w:rPr>
          <w:rFonts w:ascii="Verdana" w:cs="Verdana" w:eastAsia="Verdana" w:hAnsi="Verdana"/>
        </w:rPr>
        <w:t xml:space="preserve">Under rule 36(2), a document missing some particulars still supports credit if it shows the tax, the description, the total value, the GSTINs of supplier and recipient, and the place of supply for inter-State supplies.</w:t>
      </w:r>
    </w:p>
    <w:p>
      <w:pPr>
        <w:pStyle w:val="Heading3"/>
        <w:keepNext/>
        <w:spacing w:after="80" w:before="160"/>
      </w:pPr>
      <w:r>
        <w:rPr>
          <w:rFonts w:ascii="Verdana" w:cs="Verdana" w:eastAsia="Verdana" w:hAnsi="Verdana"/>
        </w:rPr>
        <w:t xml:space="preserve">Invoice in GSTR-2B: section 16(2)(aa)</w:t>
      </w:r>
    </w:p>
    <w:p>
      <w:pPr>
        <w:spacing w:after="120" w:line="276"/>
        <w:jc w:val="both"/>
      </w:pPr>
      <w:r>
        <w:rPr>
          <w:rFonts w:ascii="Verdana" w:cs="Verdana" w:eastAsia="Verdana" w:hAnsi="Verdana"/>
        </w:rPr>
        <w:t xml:space="preserve">From 1 January 2022, credit can be taken only for invoices and debit notes that the supplier has reported in GSTR-1 or IFF and that appear in the recipient's GSTR-2B. Rule 36(4) was aligned with this, and the earlier provisional credit (history in chapter 5 of this Part) ended. If the supplier has not uploaded an invoice, the buyer must wait.</w:t>
      </w:r>
    </w:p>
    <w:p>
      <w:pPr>
        <w:pStyle w:val="Heading3"/>
        <w:keepNext/>
        <w:spacing w:after="80" w:before="160"/>
      </w:pPr>
      <w:r>
        <w:rPr>
          <w:rFonts w:ascii="Verdana" w:cs="Verdana" w:eastAsia="Verdana" w:hAnsi="Verdana"/>
        </w:rPr>
        <w:t xml:space="preserve">Receipt of goods or services: section 16(2)(b)</w:t>
      </w:r>
    </w:p>
    <w:p>
      <w:pPr>
        <w:spacing w:after="120" w:line="276"/>
        <w:jc w:val="both"/>
      </w:pPr>
      <w:r>
        <w:rPr>
          <w:rFonts w:ascii="Verdana" w:cs="Verdana" w:eastAsia="Verdana" w:hAnsi="Verdana"/>
        </w:rPr>
        <w:t xml:space="preserve">The Explanation to section 16(2)(b) treats goods or services as received where (i) the supplier delivers goods to another person on the direction of the registered person (bill-to-ship-to), (ii) an agent receives goods for the principal, or (iii) services are provided to another person on the direction and on account of the registered person. Where goods under one invoice arrive in lots or instalments, the first proviso to section 16(2) allows credit only on receipt of the </w:t>
      </w:r>
      <w:r>
        <w:rPr>
          <w:rFonts w:ascii="Verdana" w:cs="Verdana" w:eastAsia="Verdana" w:hAnsi="Verdana"/>
          <w:b/>
          <w:bCs/>
        </w:rPr>
        <w:t xml:space="preserve">last lot</w:t>
      </w:r>
      <w:r>
        <w:rPr>
          <w:rFonts w:ascii="Verdana" w:cs="Verdana" w:eastAsia="Verdana" w:hAnsi="Verdana"/>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90: Machinery received in lots</w:t>
            </w:r>
          </w:p>
          <w:p>
            <w:pPr>
              <w:spacing w:after="60" w:line="260"/>
            </w:pPr>
            <w:r>
              <w:rPr>
                <w:rFonts w:ascii="Verdana" w:cs="Verdana" w:eastAsia="Verdana" w:hAnsi="Verdana"/>
                <w:sz w:val="20"/>
                <w:szCs w:val="20"/>
              </w:rPr>
              <w:t xml:space="preserve">Patel Engineering Works, Rajkot, is billed on 12 August 2026 for a packing line of Rs. 40,00,000 plus IGST Rs. 7,20,000. The line arrives in three lots on 20 August, 18 September and 6 October 2026.</w:t>
            </w:r>
          </w:p>
          <w:p>
            <w:pPr>
              <w:spacing w:after="60" w:line="260"/>
            </w:pPr>
            <w:r>
              <w:rPr>
                <w:rFonts w:ascii="Verdana" w:cs="Verdana" w:eastAsia="Verdana" w:hAnsi="Verdana"/>
                <w:sz w:val="20"/>
                <w:szCs w:val="20"/>
              </w:rPr>
              <w:t xml:space="preserve">Step 1: The invoice appears in GSTR-2B for August 2026, but the receipt condition is met only on 6 October 2026.</w:t>
            </w:r>
          </w:p>
          <w:p>
            <w:pPr>
              <w:spacing w:after="60" w:line="260"/>
            </w:pPr>
            <w:r>
              <w:rPr>
                <w:rFonts w:ascii="Verdana" w:cs="Verdana" w:eastAsia="Verdana" w:hAnsi="Verdana"/>
                <w:sz w:val="20"/>
                <w:szCs w:val="20"/>
              </w:rPr>
              <w:t xml:space="preserve">Step 2: In the August 2026 GSTR-3B, the auto-populated Rs. 7,20,000 is shown in Table 4A and reversed in Table 4B(2).</w:t>
            </w:r>
          </w:p>
          <w:p>
            <w:pPr>
              <w:spacing w:after="60" w:line="260"/>
            </w:pPr>
            <w:r>
              <w:rPr>
                <w:rFonts w:ascii="Verdana" w:cs="Verdana" w:eastAsia="Verdana" w:hAnsi="Verdana"/>
                <w:sz w:val="20"/>
                <w:szCs w:val="20"/>
              </w:rPr>
              <w:t xml:space="preserve">Result: Rs. 7,20,000 is reclaimed in the October 2026 return (Table 4A(5), with disclosure in Table 4D(1)). Using it earlier would attract interest at 18% under section 50(3).</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91: Bill-to-ship-to supply</w:t>
            </w:r>
          </w:p>
          <w:p>
            <w:pPr>
              <w:spacing w:after="60" w:line="260"/>
            </w:pPr>
            <w:r>
              <w:rPr>
                <w:rFonts w:ascii="Verdana" w:cs="Verdana" w:eastAsia="Verdana" w:hAnsi="Verdana"/>
                <w:sz w:val="20"/>
                <w:szCs w:val="20"/>
              </w:rPr>
              <w:t xml:space="preserve">Mehta Pipes Pvt. Ltd., Ahmedabad, buys pipes of Rs. 5,00,000 from Kaveri Steel Tubes, Chennai, and asks Kaveri to deliver them to its customer Rao Constructions in Hyderabad.</w:t>
            </w:r>
          </w:p>
          <w:p>
            <w:pPr>
              <w:spacing w:after="60" w:line="260"/>
            </w:pPr>
            <w:r>
              <w:rPr>
                <w:rFonts w:ascii="Verdana" w:cs="Verdana" w:eastAsia="Verdana" w:hAnsi="Verdana"/>
                <w:sz w:val="20"/>
                <w:szCs w:val="20"/>
              </w:rPr>
              <w:t xml:space="preserve">Step 1: Kaveri bills Mehta: place of supply Gujarat (section 10(1)(b) of the IGST Act). IGST 18% = Rs. 90,000.</w:t>
            </w:r>
          </w:p>
          <w:p>
            <w:pPr>
              <w:spacing w:after="60" w:line="260"/>
            </w:pPr>
            <w:r>
              <w:rPr>
                <w:rFonts w:ascii="Verdana" w:cs="Verdana" w:eastAsia="Verdana" w:hAnsi="Verdana"/>
                <w:sz w:val="20"/>
                <w:szCs w:val="20"/>
              </w:rPr>
              <w:t xml:space="preserve">Step 2: Mehta bills Rao Rs. 5,75,000: place of supply Telangana. IGST 18% = Rs. 1,03,500.</w:t>
            </w:r>
          </w:p>
          <w:p>
            <w:pPr>
              <w:spacing w:after="60" w:line="260"/>
            </w:pPr>
            <w:r>
              <w:rPr>
                <w:rFonts w:ascii="Verdana" w:cs="Verdana" w:eastAsia="Verdana" w:hAnsi="Verdana"/>
                <w:sz w:val="20"/>
                <w:szCs w:val="20"/>
              </w:rPr>
              <w:t xml:space="preserve">Result: Mehta is deemed to have received the goods and takes credit of Rs. 90,000. Net IGST = Rs. 13,500, which is 18% of its margin of Rs. 75,000. Keep the proof of delivery at Hyderabad on file.</w:t>
            </w:r>
          </w:p>
        </w:tc>
      </w:tr>
    </w:tbl>
    <w:p>
      <w:pPr>
        <w:spacing w:after="60"/>
      </w:pPr>
    </w:p>
    <w:p>
      <w:pPr>
        <w:pStyle w:val="Heading3"/>
        <w:keepNext/>
        <w:spacing w:after="80" w:before="160"/>
      </w:pPr>
      <w:r>
        <w:rPr>
          <w:rFonts w:ascii="Verdana" w:cs="Verdana" w:eastAsia="Verdana" w:hAnsi="Verdana"/>
        </w:rPr>
        <w:t xml:space="preserve">Tax actually paid by the supplier: section 16(2)(c)</w:t>
      </w:r>
    </w:p>
    <w:p>
      <w:pPr>
        <w:spacing w:after="120" w:line="276"/>
        <w:jc w:val="both"/>
      </w:pPr>
      <w:r>
        <w:rPr>
          <w:rFonts w:ascii="Verdana" w:cs="Verdana" w:eastAsia="Verdana" w:hAnsi="Verdana"/>
        </w:rPr>
        <w:t xml:space="preserve">Section 16(2)(c) requires that the tax charged has been actually paid to the Government by the supplier, in cash or through his own credit. The buyer has paid the tax to the supplier and has no control over whether it is passed on, which is why this condition has been litigated so much. Section 41 and rule 37A give the mechanics. Where the supplier has not filed GSTR-3B for a tax period by 30 September following the end of the financial year, the buyer must reverse the credit by 30 November of that year, and may re-avail it when the supplier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92: Supplier fails to file GSTR-3B: rule 37A</w:t>
            </w:r>
          </w:p>
          <w:p>
            <w:pPr>
              <w:spacing w:after="60" w:line="260"/>
            </w:pPr>
            <w:r>
              <w:rPr>
                <w:rFonts w:ascii="Verdana" w:cs="Verdana" w:eastAsia="Verdana" w:hAnsi="Verdana"/>
                <w:sz w:val="20"/>
                <w:szCs w:val="20"/>
              </w:rPr>
              <w:t xml:space="preserve">Joshi Traders took credit of Rs. 54,000 (CGST Rs. 27,000 + SGST Rs. 27,000) in January 2026 on an invoice of Kavya Enterprises that appeared in GSTR-2B.</w:t>
            </w:r>
          </w:p>
          <w:p>
            <w:pPr>
              <w:spacing w:after="60" w:line="260"/>
            </w:pPr>
            <w:r>
              <w:rPr>
                <w:rFonts w:ascii="Verdana" w:cs="Verdana" w:eastAsia="Verdana" w:hAnsi="Verdana"/>
                <w:sz w:val="20"/>
                <w:szCs w:val="20"/>
              </w:rPr>
              <w:t xml:space="preserve">Step 1: Kavya has not filed GSTR-3B for January 2026 by 30 September 2026.</w:t>
            </w:r>
          </w:p>
          <w:p>
            <w:pPr>
              <w:spacing w:after="60" w:line="260"/>
            </w:pPr>
            <w:r>
              <w:rPr>
                <w:rFonts w:ascii="Verdana" w:cs="Verdana" w:eastAsia="Verdana" w:hAnsi="Verdana"/>
                <w:sz w:val="20"/>
                <w:szCs w:val="20"/>
              </w:rPr>
              <w:t xml:space="preserve">Step 2: Joshi reverses Rs. 54,000 in Table 4B(2) of the October 2026 GSTR-3B, filed by 20 November 2026. A reversal after 30 November 2026 would carry interest under section 50(3) from the date of use.</w:t>
            </w:r>
          </w:p>
          <w:p>
            <w:pPr>
              <w:spacing w:after="60" w:line="260"/>
            </w:pPr>
            <w:r>
              <w:rPr>
                <w:rFonts w:ascii="Verdana" w:cs="Verdana" w:eastAsia="Verdana" w:hAnsi="Verdana"/>
                <w:sz w:val="20"/>
                <w:szCs w:val="20"/>
              </w:rPr>
              <w:t xml:space="preserve">Result: Kavya files the return in February 2027 and Joshi re-avails Rs. 54,000 in its February 2027 return (Table 4A(5), with disclosure in Table 4D(1)).</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Validity of section 16(2)(c)</w:t>
            </w:r>
          </w:p>
          <w:p>
            <w:pPr>
              <w:spacing w:after="60" w:line="260"/>
            </w:pPr>
            <w:r>
              <w:rPr>
                <w:rFonts w:ascii="Verdana" w:cs="Verdana" w:eastAsia="Verdana" w:hAnsi="Verdana"/>
                <w:b/>
                <w:bCs/>
                <w:sz w:val="20"/>
                <w:szCs w:val="20"/>
              </w:rPr>
              <w:t xml:space="preserve">Bhandari Scrap Traders v. Union of India (Supreme Court, 2026):</w:t>
            </w:r>
            <w:r>
              <w:rPr>
                <w:rFonts w:ascii="Verdana" w:cs="Verdana" w:eastAsia="Verdana" w:hAnsi="Verdana"/>
                <w:sz w:val="20"/>
                <w:szCs w:val="20"/>
              </w:rPr>
              <w:t xml:space="preserve"> On 24 July 2026 the Supreme Court dismissed the special leave petitions against a Division Bench judgment of the Gujarat High Court dated 1 May 2026 that had upheld section 16(2)(c). There is no ground to strike it down or read it down. The Delhi VAT law, on which the bona fide purchaser rulings rested, works on a different scheme, and sections 41, 73 and 74 of the CGST Act let a buyer re-claim credit once the supplier pays. A buyer can be denied credit while the supplier has not paid.</w:t>
            </w:r>
          </w:p>
          <w:p>
            <w:pPr>
              <w:spacing w:after="60" w:line="260"/>
            </w:pPr>
            <w:r>
              <w:rPr>
                <w:rFonts w:ascii="Verdana" w:cs="Verdana" w:eastAsia="Verdana" w:hAnsi="Verdana"/>
                <w:b/>
                <w:bCs/>
                <w:sz w:val="20"/>
                <w:szCs w:val="20"/>
              </w:rPr>
              <w:t xml:space="preserve">Suncraft Energy (P) Ltd. v. Assistant Commissioner, State Tax (Calcutta High Court, 2023; SLP dismissed 2023):</w:t>
            </w:r>
            <w:r>
              <w:rPr>
                <w:rFonts w:ascii="Verdana" w:cs="Verdana" w:eastAsia="Verdana" w:hAnsi="Verdana"/>
                <w:sz w:val="20"/>
                <w:szCs w:val="20"/>
              </w:rPr>
              <w:t xml:space="preserve"> Credit was not to be denied only because of a GSTR-3B and GSTR-2A mismatch, without first proceeding against the defaulting supplier. Such rulings must now be read subject to Bhandari Scrap Traders, though the officer must still examine the buyer's evidence before passing an order.</w:t>
            </w:r>
          </w:p>
          <w:p>
            <w:pPr>
              <w:spacing w:after="60" w:line="260"/>
            </w:pPr>
            <w:r>
              <w:rPr>
                <w:rFonts w:ascii="Verdana" w:cs="Verdana" w:eastAsia="Verdana" w:hAnsi="Verdana"/>
                <w:b/>
                <w:bCs/>
                <w:sz w:val="20"/>
                <w:szCs w:val="20"/>
              </w:rPr>
              <w:t xml:space="preserve">Diya Agencies v. State Tax Officer (Kerala High Court, 2023):</w:t>
            </w:r>
            <w:r>
              <w:rPr>
                <w:rFonts w:ascii="Verdana" w:cs="Verdana" w:eastAsia="Verdana" w:hAnsi="Verdana"/>
                <w:sz w:val="20"/>
                <w:szCs w:val="20"/>
              </w:rPr>
              <w:t xml:space="preserve"> Sections 16(2)(c) and 16(4) upheld; credit is a concession subject to conditions, but a buyer should be allowed to prove that he paid tax to a genuine supplier.</w:t>
            </w:r>
          </w:p>
        </w:tc>
      </w:tr>
    </w:tbl>
    <w:p>
      <w:pPr>
        <w:spacing w:after="60"/>
      </w:pPr>
    </w:p>
    <w:p>
      <w:pPr>
        <w:pStyle w:val="Heading2"/>
        <w:keepNext/>
        <w:spacing w:after="120" w:before="240"/>
      </w:pPr>
      <w:r>
        <w:rPr>
          <w:rFonts w:ascii="Verdana" w:cs="Verdana" w:eastAsia="Verdana" w:hAnsi="Verdana"/>
        </w:rPr>
        <w:t xml:space="preserve">15.3 Payment to the supplier within 180 days</w:t>
      </w:r>
    </w:p>
    <w:p>
      <w:pPr>
        <w:spacing w:after="120" w:line="276"/>
        <w:jc w:val="both"/>
      </w:pPr>
      <w:r>
        <w:rPr>
          <w:rFonts w:ascii="Verdana" w:cs="Verdana" w:eastAsia="Verdana" w:hAnsi="Verdana"/>
        </w:rPr>
        <w:t xml:space="preserve">The second proviso to section 16(2) requires the recipient to pay the supplier the value and the tax within 180 days from the date of invoice. Otherwise, the credit proportionate to the unpaid amount is reversed with interest in GSTR-3B for the tax period after the one in which the 180 days expire (rule 37). The credit can be re-availed when payment is made, with no time limit. The rule does not apply to reverse charge supplies, deemed supplies without consideration under Schedule I, and amounts added to value under section 15(2)(b). Book adjustment and set-off against dues from the supplier count as 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93: Proportionate reversal under rule 37</w:t>
            </w:r>
          </w:p>
          <w:p>
            <w:pPr>
              <w:spacing w:after="60" w:line="260"/>
            </w:pPr>
            <w:r>
              <w:rPr>
                <w:rFonts w:ascii="Verdana" w:cs="Verdana" w:eastAsia="Verdana" w:hAnsi="Verdana"/>
                <w:sz w:val="20"/>
                <w:szCs w:val="20"/>
              </w:rPr>
              <w:t xml:space="preserve">Kavya Components Pvt. Ltd. receives an invoice dated 10 April 2026 for Rs. 5,00,000 plus GST Rs. 90,000. It takes and uses the credit in the April 2026 return filed on 20 May 2026, and pays the supplier Rs. 3,54,000 within 180 days.</w:t>
            </w:r>
          </w:p>
          <w:p>
            <w:pPr>
              <w:spacing w:after="60" w:line="260"/>
            </w:pPr>
            <w:r>
              <w:rPr>
                <w:rFonts w:ascii="Verdana" w:cs="Verdana" w:eastAsia="Verdana" w:hAnsi="Verdana"/>
                <w:sz w:val="20"/>
                <w:szCs w:val="20"/>
              </w:rPr>
              <w:t xml:space="preserve">Step 1: The 180 days end on 7 October 2026. Unpaid = Rs. 5,90,000 minus Rs. 3,54,000 = Rs. 2,36,000.</w:t>
            </w:r>
          </w:p>
          <w:p>
            <w:pPr>
              <w:spacing w:after="60" w:line="260"/>
            </w:pPr>
            <w:r>
              <w:rPr>
                <w:rFonts w:ascii="Verdana" w:cs="Verdana" w:eastAsia="Verdana" w:hAnsi="Verdana"/>
                <w:sz w:val="20"/>
                <w:szCs w:val="20"/>
              </w:rPr>
              <w:t xml:space="preserve">Step 2: Reversal = Rs. 90,000 x 2,36,000 / 5,90,000 = Rs. 36,000, in the November 2026 GSTR-3B filed on 20 December 2026.</w:t>
            </w:r>
          </w:p>
          <w:p>
            <w:pPr>
              <w:spacing w:after="60" w:line="260"/>
            </w:pPr>
            <w:r>
              <w:rPr>
                <w:rFonts w:ascii="Verdana" w:cs="Verdana" w:eastAsia="Verdana" w:hAnsi="Verdana"/>
                <w:sz w:val="20"/>
                <w:szCs w:val="20"/>
              </w:rPr>
              <w:t xml:space="preserve">Step 3: Interest at 18% from 20 May to 20 December 2026 (214 days) = Rs. 36,000 x 18% x 214 / 365 = Rs. 3,799.</w:t>
            </w:r>
          </w:p>
          <w:p>
            <w:pPr>
              <w:spacing w:after="60" w:line="260"/>
            </w:pPr>
            <w:r>
              <w:rPr>
                <w:rFonts w:ascii="Verdana" w:cs="Verdana" w:eastAsia="Verdana" w:hAnsi="Verdana"/>
                <w:sz w:val="20"/>
                <w:szCs w:val="20"/>
              </w:rPr>
              <w:t xml:space="preserve">Result: On paying the balance on 5 January 2027, Rs. 36,000 is re-availed in the January 2027 return. The interest is not refunded.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The 180 days run from the invoice date, not from receipt of goods or the credit period in the purchase order. Where long credit terms are normal in the trade, build the reversal and re-availment into the monthly closing checklist.</w:t>
            </w:r>
          </w:p>
        </w:tc>
      </w:tr>
    </w:tbl>
    <w:p>
      <w:pPr>
        <w:spacing w:after="60"/>
      </w:pPr>
    </w:p>
    <w:p>
      <w:pPr>
        <w:pStyle w:val="Heading2"/>
        <w:keepNext/>
        <w:spacing w:after="120" w:before="240"/>
      </w:pPr>
      <w:r>
        <w:rPr>
          <w:rFonts w:ascii="Verdana" w:cs="Verdana" w:eastAsia="Verdana" w:hAnsi="Verdana"/>
        </w:rPr>
        <w:t xml:space="preserve">15.4 Depreciation on the tax component: section 16(3)</w:t>
      </w:r>
    </w:p>
    <w:p>
      <w:pPr>
        <w:spacing w:after="120" w:line="276"/>
        <w:jc w:val="both"/>
      </w:pPr>
      <w:r>
        <w:rPr>
          <w:rFonts w:ascii="Verdana" w:cs="Verdana" w:eastAsia="Verdana" w:hAnsi="Verdana"/>
        </w:rPr>
        <w:t xml:space="preserve">If depreciation under the Income-tax Act is claimed on the tax component of capital goods, no credit is allowed on it. The companion guide on the Income-tax Act, 2025 deals with the income tax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94: Choosing between ITC and depreciation</w:t>
            </w:r>
          </w:p>
          <w:p>
            <w:pPr>
              <w:spacing w:after="60" w:line="260"/>
            </w:pPr>
            <w:r>
              <w:rPr>
                <w:rFonts w:ascii="Verdana" w:cs="Verdana" w:eastAsia="Verdana" w:hAnsi="Verdana"/>
                <w:sz w:val="20"/>
                <w:szCs w:val="20"/>
              </w:rPr>
              <w:t xml:space="preserve">Singh Packaging buys a printing machine for Rs. 10,00,000 plus GST Rs. 1,80,000. Depreciation is taken at 15% and the income tax rate at 25%.</w:t>
            </w:r>
          </w:p>
          <w:p>
            <w:pPr>
              <w:spacing w:after="60" w:line="260"/>
            </w:pPr>
            <w:r>
              <w:rPr>
                <w:rFonts w:ascii="Verdana" w:cs="Verdana" w:eastAsia="Verdana" w:hAnsi="Verdana"/>
                <w:sz w:val="20"/>
                <w:szCs w:val="20"/>
              </w:rPr>
              <w:t xml:space="preserve">Step 1: Option A: capitalise Rs. 10,00,000 and take ITC of Rs. 1,80,000. Depreciation Rs. 1,50,000.</w:t>
            </w:r>
          </w:p>
          <w:p>
            <w:pPr>
              <w:spacing w:after="60" w:line="260"/>
            </w:pPr>
            <w:r>
              <w:rPr>
                <w:rFonts w:ascii="Verdana" w:cs="Verdana" w:eastAsia="Verdana" w:hAnsi="Verdana"/>
                <w:sz w:val="20"/>
                <w:szCs w:val="20"/>
              </w:rPr>
              <w:t xml:space="preserve">Step 2: Option B: capitalise Rs. 11,80,000, no ITC. Depreciation Rs. 1,77,000, which is Rs. 27,000 more, saving tax of Rs. 6,750 in year one.</w:t>
            </w:r>
          </w:p>
          <w:p>
            <w:pPr>
              <w:spacing w:after="60" w:line="260"/>
            </w:pPr>
            <w:r>
              <w:rPr>
                <w:rFonts w:ascii="Verdana" w:cs="Verdana" w:eastAsia="Verdana" w:hAnsi="Verdana"/>
                <w:sz w:val="20"/>
                <w:szCs w:val="20"/>
              </w:rPr>
              <w:t xml:space="preserve">Result: Option A is better unless the credit cannot be used, for example where all outputs are exempt.</w:t>
            </w:r>
          </w:p>
        </w:tc>
      </w:tr>
    </w:tbl>
    <w:p>
      <w:pPr>
        <w:spacing w:after="60"/>
      </w:pPr>
    </w:p>
    <w:p>
      <w:pPr>
        <w:pStyle w:val="Heading2"/>
        <w:keepNext/>
        <w:spacing w:after="120" w:before="240"/>
      </w:pPr>
      <w:r>
        <w:rPr>
          <w:rFonts w:ascii="Verdana" w:cs="Verdana" w:eastAsia="Verdana" w:hAnsi="Verdana"/>
        </w:rPr>
        <w:t xml:space="preserve">15.5 Time limit: sections 16(4), 16(5) and 16(6)</w:t>
      </w:r>
    </w:p>
    <w:p>
      <w:pPr>
        <w:spacing w:after="120" w:line="276"/>
        <w:jc w:val="both"/>
      </w:pPr>
      <w:r>
        <w:rPr>
          <w:rFonts w:ascii="Verdana" w:cs="Verdana" w:eastAsia="Verdana" w:hAnsi="Verdana"/>
        </w:rPr>
        <w:t xml:space="preserve">Under section 16(4), credit on an invoice or debit note cannot be taken after </w:t>
      </w:r>
      <w:r>
        <w:rPr>
          <w:rFonts w:ascii="Verdana" w:cs="Verdana" w:eastAsia="Verdana" w:hAnsi="Verdana"/>
          <w:b/>
          <w:bCs/>
        </w:rPr>
        <w:t xml:space="preserve">30 November following the end of the financial year</w:t>
      </w:r>
      <w:r>
        <w:rPr>
          <w:rFonts w:ascii="Verdana" w:cs="Verdana" w:eastAsia="Verdana" w:hAnsi="Verdana"/>
        </w:rPr>
        <w:t xml:space="preserve"> to which it relates, or the date of filing the annual return, </w:t>
      </w:r>
      <w:r>
        <w:rPr>
          <w:rFonts w:ascii="Verdana" w:cs="Verdana" w:eastAsia="Verdana" w:hAnsi="Verdana"/>
          <w:b/>
          <w:bCs/>
        </w:rPr>
        <w:t xml:space="preserve">whichever is earlier</w:t>
      </w:r>
      <w:r>
        <w:rPr>
          <w:rFonts w:ascii="Verdana" w:cs="Verdana" w:eastAsia="Verdana" w:hAnsi="Verdana"/>
        </w:rPr>
        <w:t xml:space="preserve">. For a debit note, the relevant year is the year of the debit note, not of the original invoice (from 1 January 2021). The claim must be made in a return actually filed by that date.</w:t>
      </w:r>
    </w:p>
    <w:p>
      <w:pPr>
        <w:spacing w:after="120" w:line="276"/>
        <w:jc w:val="both"/>
      </w:pPr>
      <w:r>
        <w:rPr>
          <w:rFonts w:ascii="Verdana" w:cs="Verdana" w:eastAsia="Verdana" w:hAnsi="Verdana"/>
        </w:rPr>
        <w:t xml:space="preserve">Sections 16(5) and 16(6), inserted by the Finance (No. 2) Act, 2024 from 1 July 2017, give relief. Section 16(5) allows credit for FY 2017-18 to FY 2020-21 taken in any return filed up to 30 November 2021. Section 16(6) helps a person whose registration was cancelled and later revoked: credit not already time-barred on the date of cancellation can be taken in a return filed within 30 days of the revocation order, for the period between cancellation and revocation, or up to 30 November of the following year, whichever is later.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95: Time limit for FY 2025-26 invoices</w:t>
            </w:r>
          </w:p>
          <w:p>
            <w:pPr>
              <w:spacing w:after="60" w:line="260"/>
            </w:pPr>
            <w:r>
              <w:rPr>
                <w:rFonts w:ascii="Verdana" w:cs="Verdana" w:eastAsia="Verdana" w:hAnsi="Verdana"/>
                <w:sz w:val="20"/>
                <w:szCs w:val="20"/>
              </w:rPr>
              <w:t xml:space="preserve">Gupta Electricals files monthly returns.</w:t>
            </w:r>
          </w:p>
          <w:p>
            <w:pPr>
              <w:spacing w:after="60" w:line="260"/>
            </w:pPr>
            <w:r>
              <w:rPr>
                <w:rFonts w:ascii="Verdana" w:cs="Verdana" w:eastAsia="Verdana" w:hAnsi="Verdana"/>
                <w:sz w:val="20"/>
                <w:szCs w:val="20"/>
              </w:rPr>
              <w:t xml:space="preserve">(a) Invoice dated 15 March 2026, claimed in the October 2026 GSTR-3B filed on 18 November 2026, with GSTR-9 not yet filed: allowed.</w:t>
            </w:r>
          </w:p>
          <w:p>
            <w:pPr>
              <w:spacing w:after="60" w:line="260"/>
            </w:pPr>
            <w:r>
              <w:rPr>
                <w:rFonts w:ascii="Verdana" w:cs="Verdana" w:eastAsia="Verdana" w:hAnsi="Verdana"/>
                <w:sz w:val="20"/>
                <w:szCs w:val="20"/>
              </w:rPr>
              <w:t xml:space="preserve">(b) Same invoice, but GSTR-9 for FY 2025-26 was filed on 25 October 2026: time-barred, as the earlier date applies.</w:t>
            </w:r>
          </w:p>
          <w:p>
            <w:pPr>
              <w:spacing w:after="60" w:line="260"/>
            </w:pPr>
            <w:r>
              <w:rPr>
                <w:rFonts w:ascii="Verdana" w:cs="Verdana" w:eastAsia="Verdana" w:hAnsi="Verdana"/>
                <w:sz w:val="20"/>
                <w:szCs w:val="20"/>
              </w:rPr>
              <w:t xml:space="preserve">(c) Invoice dated 28 March 2026, goods received on 6 April 2026: credit arises in April 2026, but must be claimed by 30 November 2026.</w:t>
            </w:r>
          </w:p>
          <w:p>
            <w:pPr>
              <w:spacing w:after="60" w:line="260"/>
            </w:pPr>
            <w:r>
              <w:rPr>
                <w:rFonts w:ascii="Verdana" w:cs="Verdana" w:eastAsia="Verdana" w:hAnsi="Verdana"/>
                <w:sz w:val="20"/>
                <w:szCs w:val="20"/>
              </w:rPr>
              <w:t xml:space="preserve">(d) Debit note dated 10 May 2026 on a January 2026 invoice: belongs to FY 2026-27, so the limit is 30 November 2027 or the FY 2026-27 GSTR-9 date, if earlier.</w:t>
            </w:r>
          </w:p>
          <w:p>
            <w:pPr>
              <w:spacing w:after="60" w:line="260"/>
            </w:pPr>
            <w:r>
              <w:rPr>
                <w:rFonts w:ascii="Verdana" w:cs="Verdana" w:eastAsia="Verdana" w:hAnsi="Verdana"/>
                <w:sz w:val="20"/>
                <w:szCs w:val="20"/>
              </w:rPr>
              <w:t xml:space="preserve">(e) A quarterly filer's October to December 2026 return is due in January 2027, after 30 November 2026. It must claim FY 2025-26 credit in the July to September 2026 return.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Time limit under section 16(4)</w:t>
            </w:r>
          </w:p>
          <w:p>
            <w:pPr>
              <w:spacing w:after="60" w:line="260"/>
            </w:pPr>
            <w:r>
              <w:rPr>
                <w:rFonts w:ascii="Verdana" w:cs="Verdana" w:eastAsia="Verdana" w:hAnsi="Verdana"/>
                <w:b/>
                <w:bCs/>
                <w:sz w:val="20"/>
                <w:szCs w:val="20"/>
              </w:rPr>
              <w:t xml:space="preserve">Thirumalakonda Plywoods v. Assistant Commissioner (Andhra Pradesh High Court, 2023):</w:t>
            </w:r>
            <w:r>
              <w:rPr>
                <w:rFonts w:ascii="Verdana" w:cs="Verdana" w:eastAsia="Verdana" w:hAnsi="Verdana"/>
                <w:sz w:val="20"/>
                <w:szCs w:val="20"/>
              </w:rPr>
              <w:t xml:space="preserve"> The Court upheld the time limit in section 16(4) as a valid condition attached to a concession. Credit claimed after the time limit is lost even if all other conditions are met. The Kerala High Court in Diya Agencies took the same view. Relief for early years now comes only from sections 16(5) and 16(6).</w:t>
            </w:r>
          </w:p>
        </w:tc>
      </w:tr>
    </w:tbl>
    <w:p>
      <w:pPr>
        <w:spacing w:after="60"/>
      </w:pPr>
    </w:p>
    <w:p>
      <w:pPr>
        <w:spacing w:after="120" w:line="276"/>
        <w:jc w:val="both"/>
      </w:pPr>
      <w:r>
        <w:rPr>
          <w:rFonts w:ascii="Verdana" w:cs="Verdana" w:eastAsia="Verdana" w:hAnsi="Verdana"/>
        </w:rPr>
        <w:t xml:space="preserve">A debit note issued under section 34(3) for an upward revision is a valid document for credit if it appears in GSTR-2B. For imports, IGST paid at customs flows into GSTR-2B from ICEGATE on the basis of the bill of entry.</w:t>
      </w:r>
    </w:p>
    <w:p>
      <w:pPr>
        <w:pStyle w:val="Heading2"/>
        <w:keepNext/>
        <w:spacing w:after="120" w:before="240"/>
      </w:pPr>
      <w:r>
        <w:rPr>
          <w:rFonts w:ascii="Verdana" w:cs="Verdana" w:eastAsia="Verdana" w:hAnsi="Verdana"/>
        </w:rPr>
        <w:t xml:space="preserve">15.6 Supplier's registration cancelled with retrospective effect</w:t>
      </w:r>
    </w:p>
    <w:p>
      <w:pPr>
        <w:spacing w:after="120" w:line="276"/>
        <w:jc w:val="both"/>
      </w:pPr>
      <w:r>
        <w:rPr>
          <w:rFonts w:ascii="Verdana" w:cs="Verdana" w:eastAsia="Verdana" w:hAnsi="Verdana"/>
        </w:rPr>
        <w:t xml:space="preserve">Officers often cancel a supplier's registration from an earlier date and then propose to deny credit to all its buyers. If the invoice was issued while the registration was active, appeared in GSTR-2B, the goods were received, payment went through the bank, and the supplier paid tax at that time, the buyer has a strong case. Retrospective cancellation alone does not prove that the buyer's purchase was fake.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Retrospective cancellation of the supplier</w:t>
            </w:r>
          </w:p>
          <w:p>
            <w:pPr>
              <w:spacing w:after="60" w:line="260"/>
            </w:pPr>
            <w:r>
              <w:rPr>
                <w:rFonts w:ascii="Verdana" w:cs="Verdana" w:eastAsia="Verdana" w:hAnsi="Verdana"/>
                <w:b/>
                <w:bCs/>
                <w:sz w:val="20"/>
                <w:szCs w:val="20"/>
              </w:rPr>
              <w:t xml:space="preserve">Additional Commissioner v. Safecon Lifesciences (P) Ltd. (Supreme Court, 2026):</w:t>
            </w:r>
            <w:r>
              <w:rPr>
                <w:rFonts w:ascii="Verdana" w:cs="Verdana" w:eastAsia="Verdana" w:hAnsi="Verdana"/>
                <w:sz w:val="20"/>
                <w:szCs w:val="20"/>
              </w:rPr>
              <w:t xml:space="preserve"> On 17 July 2026 the Supreme Court dismissed the Revenue's special leave petition against a judgment of the Allahabad High Court dated 9 September 2025, which had held that the extended period for fraud cannot be invoked against a buyer without proof of fraud or suppression by that buyer. Retrospective cancellation of the supplier or defects in the supplier's own purchases are not such proof. The supplier there had deposited the tax.</w:t>
            </w:r>
          </w:p>
          <w:p>
            <w:pPr>
              <w:spacing w:after="60" w:line="260"/>
            </w:pPr>
            <w:r>
              <w:rPr>
                <w:rFonts w:ascii="Verdana" w:cs="Verdana" w:eastAsia="Verdana" w:hAnsi="Verdana"/>
                <w:sz w:val="20"/>
                <w:szCs w:val="20"/>
              </w:rPr>
              <w:t xml:space="preserve">Read with Bhandari Scrap Traders: if the supplier did not pay, the buyer loses credit until it pays; if the supplier did pay, the department must prove the buyer's own wrongdoing.</w:t>
            </w:r>
          </w:p>
        </w:tc>
      </w:tr>
    </w:tbl>
    <w:p>
      <w:pPr>
        <w:spacing w:after="60"/>
      </w:pPr>
    </w:p>
    <w:p>
      <w:pPr>
        <w:pStyle w:val="Heading2"/>
        <w:keepNext/>
        <w:spacing w:after="120" w:before="240"/>
      </w:pPr>
      <w:r>
        <w:rPr>
          <w:rFonts w:ascii="Verdana" w:cs="Verdana" w:eastAsia="Verdana" w:hAnsi="Verdana"/>
        </w:rPr>
        <w:t xml:space="preserve">15.7 The bona fide purchaser debate</w:t>
      </w:r>
    </w:p>
    <w:p>
      <w:pPr>
        <w:spacing w:after="120" w:line="276"/>
        <w:jc w:val="both"/>
      </w:pPr>
      <w:r>
        <w:rPr>
          <w:rFonts w:ascii="Verdana" w:cs="Verdana" w:eastAsia="Verdana" w:hAnsi="Verdana"/>
        </w:rPr>
        <w:t xml:space="preserve">Under VAT, several High Courts protected honest buyers whose sellers failed to deposit tax. The GST law was drafted partly to close that gap, and the courts have returned to the older principle that credit is a concession which the claimant must prove.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Bona fide purchaser under the VAT laws</w:t>
            </w:r>
          </w:p>
          <w:p>
            <w:pPr>
              <w:spacing w:after="60" w:line="260"/>
            </w:pPr>
            <w:r>
              <w:rPr>
                <w:rFonts w:ascii="Verdana" w:cs="Verdana" w:eastAsia="Verdana" w:hAnsi="Verdana"/>
                <w:b/>
                <w:bCs/>
                <w:sz w:val="20"/>
                <w:szCs w:val="20"/>
              </w:rPr>
              <w:t xml:space="preserve">On Quest Merchandising India (P) Ltd. v. Government of NCT of Delhi (Delhi High Court, 2017):</w:t>
            </w:r>
            <w:r>
              <w:rPr>
                <w:rFonts w:ascii="Verdana" w:cs="Verdana" w:eastAsia="Verdana" w:hAnsi="Verdana"/>
                <w:sz w:val="20"/>
                <w:szCs w:val="20"/>
              </w:rPr>
              <w:t xml:space="preserve"> Section 9(2)(g) of the Delhi VAT Act was read down so as not to apply to a buyer who bought in good faith from a registered dealer and paid the tax.</w:t>
            </w:r>
          </w:p>
          <w:p>
            <w:pPr>
              <w:spacing w:after="60" w:line="260"/>
            </w:pPr>
            <w:r>
              <w:rPr>
                <w:rFonts w:ascii="Verdana" w:cs="Verdana" w:eastAsia="Verdana" w:hAnsi="Verdana"/>
                <w:b/>
                <w:bCs/>
                <w:sz w:val="20"/>
                <w:szCs w:val="20"/>
              </w:rPr>
              <w:t xml:space="preserve">Arise India Ltd. v. Commissioner of Trade and Taxes (Delhi High Court, 2017; SLP dismissed 2018):</w:t>
            </w:r>
            <w:r>
              <w:rPr>
                <w:rFonts w:ascii="Verdana" w:cs="Verdana" w:eastAsia="Verdana" w:hAnsi="Verdana"/>
                <w:sz w:val="20"/>
                <w:szCs w:val="20"/>
              </w:rPr>
              <w:t xml:space="preserve"> Decided on the same lines; the Supreme Court dismissed the department's petition. In Bhandari Scrap Traders, the Supreme Court accepted that these VAT rulings do not carry over to GST.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Credit is a concession and the burden is on the claimant</w:t>
            </w:r>
          </w:p>
          <w:p>
            <w:pPr>
              <w:spacing w:after="60" w:line="260"/>
            </w:pPr>
            <w:r>
              <w:rPr>
                <w:rFonts w:ascii="Verdana" w:cs="Verdana" w:eastAsia="Verdana" w:hAnsi="Verdana"/>
                <w:b/>
                <w:bCs/>
                <w:sz w:val="20"/>
                <w:szCs w:val="20"/>
              </w:rPr>
              <w:t xml:space="preserve">Jayam and Co. v. Assistant Commissioner (Supreme Court, 2016):</w:t>
            </w:r>
            <w:r>
              <w:rPr>
                <w:rFonts w:ascii="Verdana" w:cs="Verdana" w:eastAsia="Verdana" w:hAnsi="Verdana"/>
                <w:sz w:val="20"/>
                <w:szCs w:val="20"/>
              </w:rPr>
              <w:t xml:space="preserve"> Under the Tamil Nadu VAT Act, input tax credit is a concession available only on the conditions laid down by the legislature.</w:t>
            </w:r>
          </w:p>
          <w:p>
            <w:pPr>
              <w:spacing w:after="60" w:line="260"/>
            </w:pPr>
            <w:r>
              <w:rPr>
                <w:rFonts w:ascii="Verdana" w:cs="Verdana" w:eastAsia="Verdana" w:hAnsi="Verdana"/>
                <w:b/>
                <w:bCs/>
                <w:sz w:val="20"/>
                <w:szCs w:val="20"/>
              </w:rPr>
              <w:t xml:space="preserve">State of Karnataka v. Ecom Gill Coffee Trading (P) Ltd. (Supreme Court, 2023):</w:t>
            </w:r>
            <w:r>
              <w:rPr>
                <w:rFonts w:ascii="Verdana" w:cs="Verdana" w:eastAsia="Verdana" w:hAnsi="Verdana"/>
                <w:sz w:val="20"/>
                <w:szCs w:val="20"/>
              </w:rPr>
              <w:t xml:space="preserve"> Under the Karnataka VAT Act, the dealer claiming credit must prove the purchase was genuine; invoices and cheque payments alone are not enough, and details of the seller, vehicle, freight and receipt should be shown. Section 155 of the CGST Act likewise puts the burden on the person claiming credit.</w:t>
            </w:r>
          </w:p>
        </w:tc>
      </w:tr>
    </w:tbl>
    <w:p>
      <w:pPr>
        <w:spacing w:after="60"/>
      </w:pPr>
    </w:p>
    <w:p>
      <w:pPr>
        <w:pStyle w:val="Heading2"/>
        <w:keepNext/>
        <w:spacing w:after="120" w:before="240"/>
      </w:pPr>
      <w:r>
        <w:rPr>
          <w:rFonts w:ascii="Verdana" w:cs="Verdana" w:eastAsia="Verdana" w:hAnsi="Verdana"/>
        </w:rPr>
        <w:t xml:space="preserve">15.8 Due diligence on vendors</w:t>
      </w:r>
    </w:p>
    <w:p>
      <w:pPr>
        <w:spacing w:after="120" w:line="276"/>
        <w:jc w:val="both"/>
      </w:pPr>
      <w:r>
        <w:rPr>
          <w:rFonts w:ascii="Verdana" w:cs="Verdana" w:eastAsia="Verdana" w:hAnsi="Verdana"/>
        </w:rPr>
        <w:t xml:space="preserve">After Bhandari Scrap Traders, a buyer cannot rely on the invoice alone. The cost of a missed check is the credit plus interest at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638"/>
      </w:tblGrid>
      <w:tr>
        <w:trPr>
          <w:cantSplit/>
          <w:tblHeader/>
        </w:trPr>
        <w:tc>
          <w:tcPr>
            <w:tcW w:type="dxa" w:w="1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Stage</w:t>
            </w:r>
          </w:p>
        </w:tc>
        <w:tc>
          <w:tcPr>
            <w:tcW w:type="dxa" w:w="4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Check</w:t>
            </w:r>
          </w:p>
        </w:tc>
        <w:tc>
          <w:tcPr>
            <w:tcW w:type="dxa" w:w="36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Evidence</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Onboarding</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GSTIN active; name matches PAN; filing history for 12 months</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Portal screenshots; visit report for large vendors</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Monthly</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Invoice in GSTR-2B; supplier's GSTR-3B status; cancellations</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GSTR-2B, IMS log, filing status</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Payment</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Paid within 180 days; hold GST portion if supplier defaults</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Bank statement, contract clause</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Year-end</w:t>
            </w:r>
          </w:p>
        </w:tc>
        <w:tc>
          <w:tcPr>
            <w:tcW w:type="dxa" w:w="4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Rule 37A check by 30 September; reversal by 30 November</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Vendor-wise reconciliation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Purchase contracts should require the supplier to upload invoices on time, pay the tax and indemnify the buyer for lost credit with interest. For new or large vendors, keep e-way bills, lorry receipts, weighbridge slips and gate entries with the invoice. In a fake supplier notice, these documents decide the case.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ITC is available on inputs, input services and capital goods used or intended to be used in the course or furtherance of business (section 16(1)).</w:t>
            </w:r>
          </w:p>
          <w:p>
            <w:pPr>
              <w:spacing w:after="60" w:line="260"/>
            </w:pPr>
            <w:r>
              <w:rPr>
                <w:rFonts w:ascii="Verdana" w:cs="Verdana" w:eastAsia="Verdana" w:hAnsi="Verdana"/>
                <w:sz w:val="20"/>
                <w:szCs w:val="20"/>
              </w:rPr>
              <w:t xml:space="preserve">•  All conditions in section 16(2) must be met; for goods received in lots, credit is taken on the last lot.</w:t>
            </w:r>
          </w:p>
          <w:p>
            <w:pPr>
              <w:spacing w:after="60" w:line="260"/>
            </w:pPr>
            <w:r>
              <w:rPr>
                <w:rFonts w:ascii="Verdana" w:cs="Verdana" w:eastAsia="Verdana" w:hAnsi="Verdana"/>
                <w:sz w:val="20"/>
                <w:szCs w:val="20"/>
              </w:rPr>
              <w:t xml:space="preserve">•  Bhandari Scrap Traders (Supreme Court, 2026) settles that section 16(2)(c) is valid; rule 37A requires reversal where the supplier has not filed GSTR-3B by 30 September, with re-availment when it does.</w:t>
            </w:r>
          </w:p>
          <w:p>
            <w:pPr>
              <w:spacing w:after="60" w:line="260"/>
            </w:pPr>
            <w:r>
              <w:rPr>
                <w:rFonts w:ascii="Verdana" w:cs="Verdana" w:eastAsia="Verdana" w:hAnsi="Verdana"/>
                <w:sz w:val="20"/>
                <w:szCs w:val="20"/>
              </w:rPr>
              <w:t xml:space="preserve">•  Unpaid invoices beyond 180 days require proportionate reversal with interest and re-availment on payment (rule 37).</w:t>
            </w:r>
          </w:p>
          <w:p>
            <w:pPr>
              <w:spacing w:after="60" w:line="260"/>
            </w:pPr>
            <w:r>
              <w:rPr>
                <w:rFonts w:ascii="Verdana" w:cs="Verdana" w:eastAsia="Verdana" w:hAnsi="Verdana"/>
                <w:sz w:val="20"/>
                <w:szCs w:val="20"/>
              </w:rPr>
              <w:t xml:space="preserve">•  No credit on the tax component if depreciation is claimed on it (section 16(3)).</w:t>
            </w:r>
          </w:p>
          <w:p>
            <w:pPr>
              <w:spacing w:after="60" w:line="260"/>
            </w:pPr>
            <w:r>
              <w:rPr>
                <w:rFonts w:ascii="Verdana" w:cs="Verdana" w:eastAsia="Verdana" w:hAnsi="Verdana"/>
                <w:sz w:val="20"/>
                <w:szCs w:val="20"/>
              </w:rPr>
              <w:t xml:space="preserve">•  Credit must be claimed by 30 November of the following year or the date of the annual return, whichever is earlier; for debit notes the year of the debit note counts.</w:t>
            </w:r>
          </w:p>
          <w:p>
            <w:pPr>
              <w:spacing w:after="60" w:line="260"/>
            </w:pPr>
            <w:r>
              <w:rPr>
                <w:rFonts w:ascii="Verdana" w:cs="Verdana" w:eastAsia="Verdana" w:hAnsi="Verdana"/>
                <w:sz w:val="20"/>
                <w:szCs w:val="20"/>
              </w:rPr>
              <w:t xml:space="preserve">•  Vendor due diligence and proof of movement are the buyer's main protection.</w:t>
            </w:r>
          </w:p>
        </w:tc>
      </w:tr>
    </w:tbl>
    <w:p>
      <w:pPr>
        <w:pStyle w:val="Heading1"/>
        <w:pageBreakBefore/>
        <w:spacing w:after="200" w:before="0"/>
      </w:pPr>
      <w:r>
        <w:rPr>
          <w:rFonts w:ascii="Verdana" w:cs="Verdana" w:eastAsia="Verdana" w:hAnsi="Verdana"/>
        </w:rPr>
        <w:t xml:space="preserve">16. Blocked Credits (Section 17(5))</w:t>
      </w:r>
    </w:p>
    <w:p>
      <w:pPr>
        <w:spacing w:after="120" w:line="276"/>
        <w:jc w:val="both"/>
      </w:pPr>
      <w:r>
        <w:rPr>
          <w:rFonts w:ascii="Verdana" w:cs="Verdana" w:eastAsia="Verdana" w:hAnsi="Verdana"/>
        </w:rPr>
        <w:t xml:space="preserve">Section 17(5) of the CGST Act lists goods and services on which credit is not available even though every condition of section 16 is met. It opens with "Notwithstanding anything contained in sub-section (1) of section 16 and sub-section (1) of section 18", so it overrides the general entitlement. The items blocked are mostly personal in nature (cars, food, clubs, holidays), end up in immovable property outside the GST chain, or do not deserve credit (composition tax, fraud demands, lost goods). Each exception is narrow and is read strictly.</w:t>
      </w:r>
    </w:p>
    <w:p>
      <w:pPr>
        <w:pStyle w:val="Heading2"/>
        <w:keepNext/>
        <w:spacing w:after="120" w:before="240"/>
      </w:pPr>
      <w:r>
        <w:rPr>
          <w:rFonts w:ascii="Verdana" w:cs="Verdana" w:eastAsia="Verdana" w:hAnsi="Verdana"/>
        </w:rPr>
        <w:t xml:space="preserve">16.1 Motor vehicles, vessels and aircraft: clauses (a), (aa) and (ab)</w:t>
      </w:r>
    </w:p>
    <w:p>
      <w:pPr>
        <w:spacing w:after="120" w:line="276"/>
        <w:jc w:val="both"/>
      </w:pPr>
      <w:r>
        <w:rPr>
          <w:rFonts w:ascii="Verdana" w:cs="Verdana" w:eastAsia="Verdana" w:hAnsi="Verdana"/>
        </w:rPr>
        <w:t xml:space="preserve">Clause (a) blocks credit on </w:t>
      </w:r>
      <w:r>
        <w:rPr>
          <w:rFonts w:ascii="Verdana" w:cs="Verdana" w:eastAsia="Verdana" w:hAnsi="Verdana"/>
          <w:b/>
          <w:bCs/>
        </w:rPr>
        <w:t xml:space="preserve">motor vehicles for transportation of persons with approved seating capacity of not more than 13 persons (including the driver)</w:t>
      </w:r>
      <w:r>
        <w:rPr>
          <w:rFonts w:ascii="Verdana" w:cs="Verdana" w:eastAsia="Verdana" w:hAnsi="Verdana"/>
        </w:rPr>
        <w:t xml:space="preserve">, except when used for further supply of such vehicles, transportation of passengers, or imparting training on driving them. Goods vehicles and passenger vehicles with more than 13 seats are outside the block. Clause (aa) blocks credit on vessels and aircraft except when used for further supply, transport of passengers or goods, or training. Clause (ab) blocks </w:t>
      </w:r>
      <w:r>
        <w:rPr>
          <w:rFonts w:ascii="Verdana" w:cs="Verdana" w:eastAsia="Verdana" w:hAnsi="Verdana"/>
          <w:b/>
          <w:bCs/>
        </w:rPr>
        <w:t xml:space="preserve">general insurance, servicing, repair and maintenance</w:t>
      </w:r>
      <w:r>
        <w:rPr>
          <w:rFonts w:ascii="Verdana" w:cs="Verdana" w:eastAsia="Verdana" w:hAnsi="Verdana"/>
        </w:rPr>
        <w:t xml:space="preserve"> of the vehicles, vessels and aircraft in (a) and (aa), unless the vehicle is used for an excepted purpose or the service is received by a manufacturer of such vehicles or by an insurer. This structure dates from the amendment effective 1 February 2019.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96: Vehicle fleet of a manufacturer</w:t>
            </w:r>
          </w:p>
          <w:p>
            <w:pPr>
              <w:spacing w:after="60" w:line="260"/>
            </w:pPr>
            <w:r>
              <w:rPr>
                <w:rFonts w:ascii="Verdana" w:cs="Verdana" w:eastAsia="Verdana" w:hAnsi="Verdana"/>
                <w:sz w:val="20"/>
                <w:szCs w:val="20"/>
              </w:rPr>
              <w:t xml:space="preserve">Rathi Industries Pvt. Ltd., Nashik, buys the following in 2026-27 (post 22 September 2025 rates).</w:t>
            </w:r>
          </w:p>
          <w:p>
            <w:pPr>
              <w:spacing w:after="60" w:line="260"/>
            </w:pPr>
            <w:r>
              <w:rPr>
                <w:rFonts w:ascii="Verdana" w:cs="Verdana" w:eastAsia="Verdana" w:hAnsi="Verdana"/>
                <w:sz w:val="20"/>
                <w:szCs w:val="20"/>
              </w:rPr>
              <w:t xml:space="preserve">(a) SUV for the managing director Rs. 12,00,000 plus 40% = Rs. 4,80,000: blocked.</w:t>
            </w:r>
          </w:p>
          <w:p>
            <w:pPr>
              <w:spacing w:after="60" w:line="260"/>
            </w:pPr>
            <w:r>
              <w:rPr>
                <w:rFonts w:ascii="Verdana" w:cs="Verdana" w:eastAsia="Verdana" w:hAnsi="Verdana"/>
                <w:sz w:val="20"/>
                <w:szCs w:val="20"/>
              </w:rPr>
              <w:t xml:space="preserve">(b) Small car for the sales team Rs. 6,00,000 plus 18% = Rs. 1,08,000: blocked.</w:t>
            </w:r>
          </w:p>
          <w:p>
            <w:pPr>
              <w:spacing w:after="60" w:line="260"/>
            </w:pPr>
            <w:r>
              <w:rPr>
                <w:rFonts w:ascii="Verdana" w:cs="Verdana" w:eastAsia="Verdana" w:hAnsi="Verdana"/>
                <w:sz w:val="20"/>
                <w:szCs w:val="20"/>
              </w:rPr>
              <w:t xml:space="preserve">(c) 26-seater staff bus Rs. 30,00,000 plus 18% = Rs. 5,40,000: allowed (more than 13 seats).</w:t>
            </w:r>
          </w:p>
          <w:p>
            <w:pPr>
              <w:spacing w:after="60" w:line="260"/>
            </w:pPr>
            <w:r>
              <w:rPr>
                <w:rFonts w:ascii="Verdana" w:cs="Verdana" w:eastAsia="Verdana" w:hAnsi="Verdana"/>
                <w:sz w:val="20"/>
                <w:szCs w:val="20"/>
              </w:rPr>
              <w:t xml:space="preserve">(d) Delivery truck Rs. 25,00,000 plus 18% = Rs. 4,50,000: allowed (goods vehicle).</w:t>
            </w:r>
          </w:p>
          <w:p>
            <w:pPr>
              <w:spacing w:after="60" w:line="260"/>
            </w:pPr>
            <w:r>
              <w:rPr>
                <w:rFonts w:ascii="Verdana" w:cs="Verdana" w:eastAsia="Verdana" w:hAnsi="Verdana"/>
                <w:sz w:val="20"/>
                <w:szCs w:val="20"/>
              </w:rPr>
              <w:t xml:space="preserve">(e) Insurance and servicing of the SUV Rs. 60,000 plus 18% = Rs. 10,800: blocked under clause (ab).</w:t>
            </w:r>
          </w:p>
          <w:p>
            <w:pPr>
              <w:spacing w:after="60" w:line="260"/>
            </w:pPr>
            <w:r>
              <w:rPr>
                <w:rFonts w:ascii="Verdana" w:cs="Verdana" w:eastAsia="Verdana" w:hAnsi="Verdana"/>
                <w:sz w:val="20"/>
                <w:szCs w:val="20"/>
              </w:rPr>
              <w:t xml:space="preserve">Result: Allowed Rs. 9,90,000. Blocked Rs. 4,80,000 + Rs. 1,08,000 + Rs. 10,800 = Rs. 5,98,800, which is added to the cost in the books.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A car dealer's demo cars and a driving school's cars carry credit under the exceptions. A taxi operator paying 5% without ITC on passenger transport is barred by the rate notification, not by section 17(5).</w:t>
            </w:r>
          </w:p>
        </w:tc>
      </w:tr>
    </w:tbl>
    <w:p>
      <w:pPr>
        <w:spacing w:after="60"/>
      </w:pPr>
    </w:p>
    <w:p>
      <w:pPr>
        <w:pStyle w:val="Heading2"/>
        <w:keepNext/>
        <w:spacing w:after="120" w:before="240"/>
      </w:pPr>
      <w:r>
        <w:rPr>
          <w:rFonts w:ascii="Verdana" w:cs="Verdana" w:eastAsia="Verdana" w:hAnsi="Verdana"/>
        </w:rPr>
        <w:t xml:space="preserve">16.2 Food, beauty, health, rent-a-cab and insurance: clause (b)(i)</w:t>
      </w:r>
    </w:p>
    <w:p>
      <w:pPr>
        <w:spacing w:after="120" w:line="276"/>
        <w:jc w:val="both"/>
      </w:pPr>
      <w:r>
        <w:rPr>
          <w:rFonts w:ascii="Verdana" w:cs="Verdana" w:eastAsia="Verdana" w:hAnsi="Verdana"/>
        </w:rPr>
        <w:t xml:space="preserve">Sub-clause (i) of clause (b) blocks food and beverages, outdoor catering, beauty treatment, health services, cosmetic and plastic surgery, leasing, renting or hiring of the vehicles, vessels or aircraft in clauses (a) and (aa), and life and health insurance. Credit is still allowed in two cases:</w:t>
      </w:r>
    </w:p>
    <w:p>
      <w:pPr>
        <w:pStyle w:val="ListParagraph"/>
        <w:numPr>
          <w:ilvl w:val="0"/>
          <w:numId w:val="2"/>
        </w:numPr>
        <w:spacing w:after="60" w:line="264"/>
      </w:pPr>
      <w:r>
        <w:rPr>
          <w:rFonts w:ascii="Verdana" w:cs="Verdana" w:eastAsia="Verdana" w:hAnsi="Verdana"/>
          <w:b/>
          <w:bCs/>
        </w:rPr>
        <w:t xml:space="preserve">Same category or composite supply:</w:t>
      </w:r>
      <w:r>
        <w:rPr>
          <w:rFonts w:ascii="Verdana" w:cs="Verdana" w:eastAsia="Verdana" w:hAnsi="Verdana"/>
        </w:rPr>
        <w:t xml:space="preserve"> the inward supply is used for an outward taxable supply of the same category, or as an element of a taxable composite or mixed supply (a caterer sub-contracting part of an order; an event manager buying food for an event package).</w:t>
      </w:r>
    </w:p>
    <w:p>
      <w:pPr>
        <w:pStyle w:val="ListParagraph"/>
        <w:numPr>
          <w:ilvl w:val="0"/>
          <w:numId w:val="2"/>
        </w:numPr>
        <w:spacing w:after="60" w:line="264"/>
      </w:pPr>
      <w:r>
        <w:rPr>
          <w:rFonts w:ascii="Verdana" w:cs="Verdana" w:eastAsia="Verdana" w:hAnsi="Verdana"/>
          <w:b/>
          <w:bCs/>
        </w:rPr>
        <w:t xml:space="preserve">Obligation under law:</w:t>
      </w:r>
      <w:r>
        <w:rPr>
          <w:rFonts w:ascii="Verdana" w:cs="Verdana" w:eastAsia="Verdana" w:hAnsi="Verdana"/>
        </w:rPr>
        <w:t xml:space="preserve"> it is obligatory for the employer to provide the item to employees under any law in force. CBIC Circular 172/04/2022-GST clarified that this proviso applies to the whole of clause (b).</w:t>
      </w:r>
    </w:p>
    <w:p>
      <w:pPr>
        <w:spacing w:after="120" w:line="276"/>
        <w:jc w:val="both"/>
      </w:pPr>
      <w:r>
        <w:rPr>
          <w:rFonts w:ascii="Verdana" w:cs="Verdana" w:eastAsia="Verdana" w:hAnsi="Verdana"/>
        </w:rPr>
        <w:t xml:space="preserve">After GST 2.0, individual life and health policies are exempt. Group health and life policies for employees remain at 18%, and credit is blocked unless a law requires the cover. Beauty and wellness services are at 5% without credit.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97: Canteen, events and staff lunch</w:t>
            </w:r>
          </w:p>
          <w:p>
            <w:pPr>
              <w:spacing w:after="60" w:line="260"/>
            </w:pPr>
            <w:r>
              <w:rPr>
                <w:rFonts w:ascii="Verdana" w:cs="Verdana" w:eastAsia="Verdana" w:hAnsi="Verdana"/>
                <w:sz w:val="20"/>
                <w:szCs w:val="20"/>
              </w:rPr>
              <w:t xml:space="preserve">Sai Auto Components Ltd. employs 400 workers in Pune; the State Factories Rules require a canteen above 250 workers.</w:t>
            </w:r>
          </w:p>
          <w:p>
            <w:pPr>
              <w:spacing w:after="60" w:line="260"/>
            </w:pPr>
            <w:r>
              <w:rPr>
                <w:rFonts w:ascii="Verdana" w:cs="Verdana" w:eastAsia="Verdana" w:hAnsi="Verdana"/>
                <w:sz w:val="20"/>
                <w:szCs w:val="20"/>
              </w:rPr>
              <w:t xml:space="preserve">(a) Canteen contractor bills Rs. 4,00,000 plus 5% = Rs. 20,000. Allowed: canteen obligatory under law.</w:t>
            </w:r>
          </w:p>
          <w:p>
            <w:pPr>
              <w:spacing w:after="60" w:line="260"/>
            </w:pPr>
            <w:r>
              <w:rPr>
                <w:rFonts w:ascii="Verdana" w:cs="Verdana" w:eastAsia="Verdana" w:hAnsi="Verdana"/>
                <w:sz w:val="20"/>
                <w:szCs w:val="20"/>
              </w:rPr>
              <w:t xml:space="preserve">(b) Diwali lunch for staff at a hotel (specified premises) Rs. 1,50,000 plus 18% = Rs. 27,000. Blocked.</w:t>
            </w:r>
          </w:p>
          <w:p>
            <w:pPr>
              <w:spacing w:after="60" w:line="260"/>
            </w:pPr>
            <w:r>
              <w:rPr>
                <w:rFonts w:ascii="Verdana" w:cs="Verdana" w:eastAsia="Verdana" w:hAnsi="Verdana"/>
                <w:sz w:val="20"/>
                <w:szCs w:val="20"/>
              </w:rPr>
              <w:t xml:space="preserve">(c) Sai Events, an event manager, buys catering from a hotel that is specified premises, Rs. 2,00,000 plus 18% = Rs. 36,000, for a client's product launch billed at Rs. 6,00,000 plus 18%. Allowed: element of a taxable composite supply.</w:t>
            </w:r>
          </w:p>
          <w:p>
            <w:pPr>
              <w:spacing w:after="60" w:line="260"/>
            </w:pPr>
            <w:r>
              <w:rPr>
                <w:rFonts w:ascii="Verdana" w:cs="Verdana" w:eastAsia="Verdana" w:hAnsi="Verdana"/>
                <w:sz w:val="20"/>
                <w:szCs w:val="20"/>
              </w:rPr>
              <w:t xml:space="preserve">Result: Allowed Rs. 20,000 and Rs. 36,000; blocked Rs. 27,000.</w:t>
            </w:r>
          </w:p>
        </w:tc>
      </w:tr>
    </w:tbl>
    <w:p>
      <w:pPr>
        <w:spacing w:after="60"/>
      </w:pPr>
    </w:p>
    <w:p>
      <w:pPr>
        <w:pStyle w:val="Heading2"/>
        <w:keepNext/>
        <w:spacing w:after="120" w:before="240"/>
      </w:pPr>
      <w:r>
        <w:rPr>
          <w:rFonts w:ascii="Verdana" w:cs="Verdana" w:eastAsia="Verdana" w:hAnsi="Verdana"/>
        </w:rPr>
        <w:t xml:space="preserve">16.3 Clubs, fitness and travel benefits: clause (b)(ii) and (iii)</w:t>
      </w:r>
    </w:p>
    <w:p>
      <w:pPr>
        <w:spacing w:after="120" w:line="276"/>
        <w:jc w:val="both"/>
      </w:pPr>
      <w:r>
        <w:rPr>
          <w:rFonts w:ascii="Verdana" w:cs="Verdana" w:eastAsia="Verdana" w:hAnsi="Verdana"/>
        </w:rPr>
        <w:t xml:space="preserve">Credit is blocked on membership of a club, health and fitness centre, and on travel benefits to employees on vacation, such as leave or home travel concession. Business travel is not affected: a sales manager's flight to meet a customer is an input service, but an LTC holiday package is blocked.</w:t>
      </w:r>
    </w:p>
    <w:p>
      <w:pPr>
        <w:pStyle w:val="Heading2"/>
        <w:keepNext/>
        <w:spacing w:after="120" w:before="240"/>
      </w:pPr>
      <w:r>
        <w:rPr>
          <w:rFonts w:ascii="Verdana" w:cs="Verdana" w:eastAsia="Verdana" w:hAnsi="Verdana"/>
        </w:rPr>
        <w:t xml:space="preserve">16.4 Works contract and own-account construction: clauses (c) and (d)</w:t>
      </w:r>
    </w:p>
    <w:p>
      <w:pPr>
        <w:spacing w:after="120" w:line="276"/>
        <w:jc w:val="both"/>
      </w:pPr>
      <w:r>
        <w:rPr>
          <w:rFonts w:ascii="Verdana" w:cs="Verdana" w:eastAsia="Verdana" w:hAnsi="Verdana"/>
        </w:rPr>
        <w:t xml:space="preserve">Clause (c) blocks </w:t>
      </w:r>
      <w:r>
        <w:rPr>
          <w:rFonts w:ascii="Verdana" w:cs="Verdana" w:eastAsia="Verdana" w:hAnsi="Verdana"/>
          <w:b/>
          <w:bCs/>
        </w:rPr>
        <w:t xml:space="preserve">works contract services</w:t>
      </w:r>
      <w:r>
        <w:rPr>
          <w:rFonts w:ascii="Verdana" w:cs="Verdana" w:eastAsia="Verdana" w:hAnsi="Verdana"/>
        </w:rPr>
        <w:t xml:space="preserve"> for construction of immovable property (other than plant and machinery), except where used for further supply of works contract service. Clause (d) blocks </w:t>
      </w:r>
      <w:r>
        <w:rPr>
          <w:rFonts w:ascii="Verdana" w:cs="Verdana" w:eastAsia="Verdana" w:hAnsi="Verdana"/>
          <w:b/>
          <w:bCs/>
        </w:rPr>
        <w:t xml:space="preserve">goods or services received for construction of immovable property (other than plant and machinery) on own account</w:t>
      </w:r>
      <w:r>
        <w:rPr>
          <w:rFonts w:ascii="Verdana" w:cs="Verdana" w:eastAsia="Verdana" w:hAnsi="Verdana"/>
        </w:rPr>
        <w:t xml:space="preserve">, even when used in the business. "Construction" includes re-construction, renovation, additions, alterations or repairs </w:t>
      </w:r>
      <w:r>
        <w:rPr>
          <w:rFonts w:ascii="Verdana" w:cs="Verdana" w:eastAsia="Verdana" w:hAnsi="Verdana"/>
          <w:b/>
          <w:bCs/>
        </w:rPr>
        <w:t xml:space="preserve">to the extent of capitalisation</w:t>
      </w:r>
      <w:r>
        <w:rPr>
          <w:rFonts w:ascii="Verdana" w:cs="Verdana" w:eastAsia="Verdana" w:hAnsi="Verdana"/>
        </w:rPr>
        <w:t xml:space="preserve">, so repairs charged to profit and loss are not blocked.</w:t>
      </w:r>
    </w:p>
    <w:p>
      <w:pPr>
        <w:spacing w:after="120" w:line="276"/>
        <w:jc w:val="both"/>
      </w:pPr>
      <w:r>
        <w:rPr>
          <w:rFonts w:ascii="Verdana" w:cs="Verdana" w:eastAsia="Verdana" w:hAnsi="Verdana"/>
        </w:rPr>
        <w:t xml:space="preserve">"Plant and machinery" means apparatus, equipment and machinery fixed to earth by foundation or structural support, used for making outward supplies, including such foundation and support. It excludes land, building or other civil structures, telecommunication towers, and pipelines laid outside the factory premises.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Plant or machinery: the functionality test</w:t>
            </w:r>
          </w:p>
          <w:p>
            <w:pPr>
              <w:spacing w:after="60" w:line="260"/>
            </w:pPr>
            <w:r>
              <w:rPr>
                <w:rFonts w:ascii="Verdana" w:cs="Verdana" w:eastAsia="Verdana" w:hAnsi="Verdana"/>
                <w:b/>
                <w:bCs/>
                <w:sz w:val="20"/>
                <w:szCs w:val="20"/>
              </w:rPr>
              <w:t xml:space="preserve">Safari Retreats (P) Ltd. v. Chief Commissioner of CGST (Supreme Court, 2024):</w:t>
            </w:r>
            <w:r>
              <w:rPr>
                <w:rFonts w:ascii="Verdana" w:cs="Verdana" w:eastAsia="Verdana" w:hAnsi="Verdana"/>
                <w:sz w:val="20"/>
                <w:szCs w:val="20"/>
              </w:rPr>
              <w:t xml:space="preserve"> On 3 October 2024 the Court upheld clauses (c) and (d), but held that "plant or machinery" in clause (d) is wider than the defined "plant and machinery". A building such as a mall built for letting out could be a "plant" if it passes a functionality test on the facts, and the matter was sent back to the High Court.</w:t>
            </w:r>
          </w:p>
          <w:p>
            <w:pPr>
              <w:spacing w:after="60" w:line="260"/>
            </w:pPr>
            <w:r>
              <w:rPr>
                <w:rFonts w:ascii="Verdana" w:cs="Verdana" w:eastAsia="Verdana" w:hAnsi="Verdana"/>
                <w:sz w:val="20"/>
                <w:szCs w:val="20"/>
              </w:rPr>
              <w:t xml:space="preserve">The Finance Act, 2025 substituted "plant and machinery" for "plant or machinery" in clause (d) retrospectively from 1 July 2017, on the recommendation of the 55th GST Council meeting, calling the earlier words a drafting error. The functionality test no longer applies; credit on malls, hotels, warehouses and offices for letting out is blocked for all open periods. Taxpayers who relied on Safari Retreats should review their exposure and watch for challenges to the retrospective amendment.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98: New factory project</w:t>
            </w:r>
          </w:p>
          <w:p>
            <w:pPr>
              <w:spacing w:after="60" w:line="260"/>
            </w:pPr>
            <w:r>
              <w:rPr>
                <w:rFonts w:ascii="Verdana" w:cs="Verdana" w:eastAsia="Verdana" w:hAnsi="Verdana"/>
                <w:sz w:val="20"/>
                <w:szCs w:val="20"/>
              </w:rPr>
              <w:t xml:space="preserve">Neelkanth Foods Pvt. Ltd. sets up a factory in Indore. All costs are capitalised; GST at 18%.</w:t>
            </w:r>
          </w:p>
          <w:p>
            <w:pPr>
              <w:spacing w:after="60" w:line="260"/>
            </w:pPr>
            <w:r>
              <w:rPr>
                <w:rFonts w:ascii="Verdana" w:cs="Verdana" w:eastAsia="Verdana" w:hAnsi="Verdana"/>
                <w:sz w:val="20"/>
                <w:szCs w:val="20"/>
              </w:rPr>
              <w:t xml:space="preserve">(a) Works contract for factory building Rs. 2,00,00,000: GST Rs. 36,00,000, blocked. (b) Machine foundations Rs. 20,00,000: GST Rs. 3,60,000, allowed. (c) Machinery Rs. 1,50,00,000: GST Rs. 27,00,000, allowed.</w:t>
            </w:r>
          </w:p>
          <w:p>
            <w:pPr>
              <w:spacing w:after="60" w:line="260"/>
            </w:pPr>
            <w:r>
              <w:rPr>
                <w:rFonts w:ascii="Verdana" w:cs="Verdana" w:eastAsia="Verdana" w:hAnsi="Verdana"/>
                <w:sz w:val="20"/>
                <w:szCs w:val="20"/>
              </w:rPr>
              <w:t xml:space="preserve">(d) Compound wall Rs. 15,00,000: GST Rs. 2,70,000, blocked. (e) Effluent pipeline outside the factory Rs. 8,00,000: GST Rs. 1,44,000, blocked. (f) Office roof repairs expensed Rs. 2,00,000: GST Rs. 36,000, allowed.</w:t>
            </w:r>
          </w:p>
          <w:p>
            <w:pPr>
              <w:spacing w:after="60" w:line="260"/>
            </w:pPr>
            <w:r>
              <w:rPr>
                <w:rFonts w:ascii="Verdana" w:cs="Verdana" w:eastAsia="Verdana" w:hAnsi="Verdana"/>
                <w:sz w:val="20"/>
                <w:szCs w:val="20"/>
              </w:rPr>
              <w:t xml:space="preserve">Result: Allowed = Rs. 3,60,000 + Rs. 27,00,000 + Rs. 36,000 = Rs. 30,96,000. Blocked = Rs. 36,00,000 + Rs. 2,70,000 + Rs. 1,44,000 = Rs. 40,14,000.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Ask contractors to bill machine foundations separately from the building, and keep drawings showing which foundation carries which machine. A lump-sum turnkey invoice invites the department to treat the whole as a building.</w:t>
            </w:r>
          </w:p>
        </w:tc>
      </w:tr>
    </w:tbl>
    <w:p>
      <w:pPr>
        <w:spacing w:after="60"/>
      </w:pPr>
    </w:p>
    <w:p>
      <w:pPr>
        <w:pStyle w:val="Heading2"/>
        <w:keepNext/>
        <w:spacing w:after="120" w:before="240"/>
      </w:pPr>
      <w:r>
        <w:rPr>
          <w:rFonts w:ascii="Verdana" w:cs="Verdana" w:eastAsia="Verdana" w:hAnsi="Verdana"/>
        </w:rPr>
        <w:t xml:space="preserve">16.5 Composition tax, non-residents and CSR: clauses (e), (f) and (fa)</w:t>
      </w:r>
    </w:p>
    <w:p>
      <w:pPr>
        <w:spacing w:after="120" w:line="276"/>
        <w:jc w:val="both"/>
      </w:pPr>
      <w:r>
        <w:rPr>
          <w:rFonts w:ascii="Verdana" w:cs="Verdana" w:eastAsia="Verdana" w:hAnsi="Verdana"/>
        </w:rPr>
        <w:t xml:space="preserve">Clause (e) blocks composition tax. Clause (f) blocks supplies received by a non-resident taxable person, except goods he imports. Clause (fa), from 1 October 2023, blocks goods or services used for corporate social responsibility obligations under section 135 of the Companies Act, 2013. A company buying computers for Rs. 10,00,000 plus GST Rs. 1,80,000 to donate to a school under its CSR plan cannot claim the Rs. 1,80,000.</w:t>
      </w:r>
    </w:p>
    <w:p>
      <w:pPr>
        <w:pStyle w:val="Heading2"/>
        <w:keepNext/>
        <w:spacing w:after="120" w:before="240"/>
      </w:pPr>
      <w:r>
        <w:rPr>
          <w:rFonts w:ascii="Verdana" w:cs="Verdana" w:eastAsia="Verdana" w:hAnsi="Verdana"/>
        </w:rPr>
        <w:t xml:space="preserve">16.6 Personal use, lost goods, gifts and samples: clauses (g) and (h)</w:t>
      </w:r>
    </w:p>
    <w:p>
      <w:pPr>
        <w:spacing w:after="120" w:line="276"/>
        <w:jc w:val="both"/>
      </w:pPr>
      <w:r>
        <w:rPr>
          <w:rFonts w:ascii="Verdana" w:cs="Verdana" w:eastAsia="Verdana" w:hAnsi="Verdana"/>
        </w:rPr>
        <w:t xml:space="preserve">Clause (g) blocks goods or services for personal consumption. Clause (h) blocks goods lost, stolen, destroyed, written off, or disposed of by way of gift or free samples. If credit was taken on purchase, it must be reversed when the event occurs. For destroyed finished goods, the credit on the inputs contained in them is reversed. Normal process loss is not covered.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99: Flood loss with insurance claim</w:t>
            </w:r>
          </w:p>
          <w:p>
            <w:pPr>
              <w:spacing w:after="60" w:line="260"/>
            </w:pPr>
            <w:r>
              <w:rPr>
                <w:rFonts w:ascii="Verdana" w:cs="Verdana" w:eastAsia="Verdana" w:hAnsi="Verdana"/>
                <w:sz w:val="20"/>
                <w:szCs w:val="20"/>
              </w:rPr>
              <w:t xml:space="preserve">Kiran Chemicals, Vadodara, loses stock in a flood in August 2026. All inputs were bought at 18%.</w:t>
            </w:r>
          </w:p>
          <w:p>
            <w:pPr>
              <w:spacing w:after="60" w:line="260"/>
            </w:pPr>
            <w:r>
              <w:rPr>
                <w:rFonts w:ascii="Verdana" w:cs="Verdana" w:eastAsia="Verdana" w:hAnsi="Verdana"/>
                <w:sz w:val="20"/>
                <w:szCs w:val="20"/>
              </w:rPr>
              <w:t xml:space="preserve">Step 1: Raw material destroyed, cost Rs. 6,00,000: reverse Rs. 1,08,000.</w:t>
            </w:r>
          </w:p>
          <w:p>
            <w:pPr>
              <w:spacing w:after="60" w:line="260"/>
            </w:pPr>
            <w:r>
              <w:rPr>
                <w:rFonts w:ascii="Verdana" w:cs="Verdana" w:eastAsia="Verdana" w:hAnsi="Verdana"/>
                <w:sz w:val="20"/>
                <w:szCs w:val="20"/>
              </w:rPr>
              <w:t xml:space="preserve">Step 2: Finished goods destroyed containing inputs of Rs. 4,00,000: reverse Rs. 72,000.</w:t>
            </w:r>
          </w:p>
          <w:p>
            <w:pPr>
              <w:spacing w:after="60" w:line="260"/>
            </w:pPr>
            <w:r>
              <w:rPr>
                <w:rFonts w:ascii="Verdana" w:cs="Verdana" w:eastAsia="Verdana" w:hAnsi="Verdana"/>
                <w:sz w:val="20"/>
                <w:szCs w:val="20"/>
              </w:rPr>
              <w:t xml:space="preserve">Result: Total reversal Rs. 1,80,000 (CGST Rs. 90,000 + SGST Rs. 90,000) in Table 4B(1) for August 2026. The insurance claim of Rs. 12,00,000 attracts no GST and does not save the credit.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100: Gifts, samples and personal use</w:t>
            </w:r>
          </w:p>
          <w:p>
            <w:pPr>
              <w:spacing w:after="60" w:line="260"/>
            </w:pPr>
            <w:r>
              <w:rPr>
                <w:rFonts w:ascii="Verdana" w:cs="Verdana" w:eastAsia="Verdana" w:hAnsi="Verdana"/>
                <w:sz w:val="20"/>
                <w:szCs w:val="20"/>
              </w:rPr>
              <w:t xml:space="preserve">Om Pharma Ltd., October 2026:</w:t>
            </w:r>
          </w:p>
          <w:p>
            <w:pPr>
              <w:spacing w:after="60" w:line="260"/>
            </w:pPr>
            <w:r>
              <w:rPr>
                <w:rFonts w:ascii="Verdana" w:cs="Verdana" w:eastAsia="Verdana" w:hAnsi="Verdana"/>
                <w:sz w:val="20"/>
                <w:szCs w:val="20"/>
              </w:rPr>
              <w:t xml:space="preserve">(a) Diwali hampers for 200 employees at Rs. 3,000 each = Rs. 6,00,000 plus 18% = Rs. 1,08,000. Not a supply (below Rs. 50,000 per employee), but credit is blocked as a gift.</w:t>
            </w:r>
          </w:p>
          <w:p>
            <w:pPr>
              <w:spacing w:after="60" w:line="260"/>
            </w:pPr>
            <w:r>
              <w:rPr>
                <w:rFonts w:ascii="Verdana" w:cs="Verdana" w:eastAsia="Verdana" w:hAnsi="Verdana"/>
                <w:sz w:val="20"/>
                <w:szCs w:val="20"/>
              </w:rPr>
              <w:t xml:space="preserve">(b) Physician samples containing inputs with credit of Rs. 9,000: reverse.</w:t>
            </w:r>
          </w:p>
          <w:p>
            <w:pPr>
              <w:spacing w:after="60" w:line="260"/>
            </w:pPr>
            <w:r>
              <w:rPr>
                <w:rFonts w:ascii="Verdana" w:cs="Verdana" w:eastAsia="Verdana" w:hAnsi="Verdana"/>
                <w:sz w:val="20"/>
                <w:szCs w:val="20"/>
              </w:rPr>
              <w:t xml:space="preserve">(c) A director takes an air conditioner from stock (cost Rs. 40,000, credit Rs. 7,200) for his home: reverse, unless treated as a taxable supply to him.</w:t>
            </w:r>
          </w:p>
          <w:p>
            <w:pPr>
              <w:spacing w:after="60" w:line="260"/>
            </w:pPr>
            <w:r>
              <w:rPr>
                <w:rFonts w:ascii="Verdana" w:cs="Verdana" w:eastAsia="Verdana" w:hAnsi="Verdana"/>
                <w:sz w:val="20"/>
                <w:szCs w:val="20"/>
              </w:rPr>
              <w:t xml:space="preserve">Result: Credit not available = Rs. 1,08,000 + Rs. 9,000 + Rs. 7,200 = Rs. 1,24,200.</w:t>
            </w:r>
          </w:p>
        </w:tc>
      </w:tr>
    </w:tbl>
    <w:p>
      <w:pPr>
        <w:spacing w:after="60"/>
      </w:pPr>
    </w:p>
    <w:p>
      <w:pPr>
        <w:spacing w:after="120" w:line="276"/>
        <w:jc w:val="both"/>
      </w:pPr>
      <w:r>
        <w:rPr>
          <w:rFonts w:ascii="Verdana" w:cs="Verdana" w:eastAsia="Verdana" w:hAnsi="Verdana"/>
        </w:rPr>
        <w:t xml:space="preserve">CBIC Circular 92/11/2019-GST clarified that in "buy one, get one free" offers nothing is free; both items form one supply for one price, and full credit is available. Discounts shown on the invoice do not affect credit.</w:t>
      </w:r>
    </w:p>
    <w:p>
      <w:pPr>
        <w:pStyle w:val="Heading2"/>
        <w:keepNext/>
        <w:spacing w:after="120" w:before="240"/>
      </w:pPr>
      <w:r>
        <w:rPr>
          <w:rFonts w:ascii="Verdana" w:cs="Verdana" w:eastAsia="Verdana" w:hAnsi="Verdana"/>
        </w:rPr>
        <w:t xml:space="preserve">16.7 Tax paid on fraud demands: clause (i)</w:t>
      </w:r>
    </w:p>
    <w:p>
      <w:pPr>
        <w:spacing w:after="120" w:line="276"/>
        <w:jc w:val="both"/>
      </w:pPr>
      <w:r>
        <w:rPr>
          <w:rFonts w:ascii="Verdana" w:cs="Verdana" w:eastAsia="Verdana" w:hAnsi="Verdana"/>
        </w:rPr>
        <w:t xml:space="preserve">Clause (i) blocks credit of tax paid under section 74 for any period up to FY 2023-24; rule 36(3), as amended in 2024, likewise refers only to demands confirmed under section 74. The reference to sections 129 and 130 was omitted by the Finance Act, 2023, and the Finance (No. 2) Act, 2024 limited the clause to periods up to FY 2023-24. On its present text, the clause does not cover tax paid under section 74A for FY 2024-25 onwards; check for any later amendment before advising.</w:t>
      </w:r>
    </w:p>
    <w:p>
      <w:pPr>
        <w:pStyle w:val="Heading2"/>
        <w:keepNext/>
        <w:spacing w:after="120" w:before="240"/>
      </w:pPr>
      <w:r>
        <w:rPr>
          <w:rFonts w:ascii="Verdana" w:cs="Verdana" w:eastAsia="Verdana" w:hAnsi="Verdana"/>
        </w:rPr>
        <w:t xml:space="preserve">16.8 Master table of blocked credits</w:t>
      </w:r>
    </w:p>
    <w:p>
      <w:pPr>
        <w:spacing w:after="120" w:line="276"/>
        <w:jc w:val="both"/>
      </w:pPr>
      <w:r>
        <w:rPr>
          <w:rFonts w:ascii="Verdana" w:cs="Verdana" w:eastAsia="Verdana" w:hAnsi="Verdana"/>
        </w:rPr>
        <w:t xml:space="preserve">The table below is a checklist for the monthly credit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100"/>
        <w:gridCol w:w="3938"/>
      </w:tblGrid>
      <w:tr>
        <w:trPr>
          <w:cantSplit/>
          <w:tblHeader/>
        </w:trPr>
        <w:tc>
          <w:tcPr>
            <w:tcW w:type="dxa" w:w="1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Clause</w:t>
            </w:r>
          </w:p>
        </w:tc>
        <w:tc>
          <w:tcPr>
            <w:tcW w:type="dxa" w:w="41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Blocked item</w:t>
            </w:r>
          </w:p>
        </w:tc>
        <w:tc>
          <w:tcPr>
            <w:tcW w:type="dxa" w:w="39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Credit still allowed when</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17(5)(a)</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Passenger motor vehicles up to 13 seats</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Resale; passenger transport; driving training</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17(5)(aa)</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Vessels and aircraft</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Resale; passenger or goods transport; training</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17(5)(ab)</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Insurance, repair and servicing of above</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Excepted use; received by manufacturer or insurer</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17(5)(b)(i)</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Food, catering, beauty, health, cosmetic surgery, rent-a-cab, life and health insurance</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Same category or composite outward supply; obligatory under law</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17(5)(b)(ii), (iii)</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Club and fitness membership; leave or home travel</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Obligatory under law</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17(5)(c), (d)</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Works contract and own construction of immovable property, including capitalised repairs</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Plant and machinery; further works contract; repairs expensed</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17(5)(e), (f), (fa)</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Composition tax; non-resident taxable person; CSR</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imported by non-resident</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17(5)(g), (h)</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Personal use; goods lost, destroyed, written off, gifted, free samples</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None (normal process loss not covered)</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17(5)(i)</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paid under section 74 up to FY 2023-24</w:t>
            </w:r>
          </w:p>
        </w:tc>
        <w:tc>
          <w:tcPr>
            <w:tcW w:type="dxa" w:w="39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Section 17(5) overrides section 16(1): blocked credits are denied even if every section 16 condition is met.</w:t>
            </w:r>
          </w:p>
          <w:p>
            <w:pPr>
              <w:spacing w:after="60" w:line="260"/>
            </w:pPr>
            <w:r>
              <w:rPr>
                <w:rFonts w:ascii="Verdana" w:cs="Verdana" w:eastAsia="Verdana" w:hAnsi="Verdana"/>
                <w:sz w:val="20"/>
                <w:szCs w:val="20"/>
              </w:rPr>
              <w:t xml:space="preserve">•  Passenger vehicles up to 13 seats and their insurance and repair are blocked unless used for resale, passenger transport or training; goods vehicles and larger buses are not.</w:t>
            </w:r>
          </w:p>
          <w:p>
            <w:pPr>
              <w:spacing w:after="60" w:line="260"/>
            </w:pPr>
            <w:r>
              <w:rPr>
                <w:rFonts w:ascii="Verdana" w:cs="Verdana" w:eastAsia="Verdana" w:hAnsi="Verdana"/>
                <w:sz w:val="20"/>
                <w:szCs w:val="20"/>
              </w:rPr>
              <w:t xml:space="preserve">•  Food, health, beauty, rent-a-cab and insurance are allowed only for same category or composite outward supplies, or where obligatory under law.</w:t>
            </w:r>
          </w:p>
          <w:p>
            <w:pPr>
              <w:spacing w:after="60" w:line="260"/>
            </w:pPr>
            <w:r>
              <w:rPr>
                <w:rFonts w:ascii="Verdana" w:cs="Verdana" w:eastAsia="Verdana" w:hAnsi="Verdana"/>
                <w:sz w:val="20"/>
                <w:szCs w:val="20"/>
              </w:rPr>
              <w:t xml:space="preserve">•  Own-account construction of buildings and civil structures, including capitalised repairs, is blocked; the Finance Act, 2025 has undone the Safari Retreats functionality test retrospectively.</w:t>
            </w:r>
          </w:p>
          <w:p>
            <w:pPr>
              <w:spacing w:after="60" w:line="260"/>
            </w:pPr>
            <w:r>
              <w:rPr>
                <w:rFonts w:ascii="Verdana" w:cs="Verdana" w:eastAsia="Verdana" w:hAnsi="Verdana"/>
                <w:sz w:val="20"/>
                <w:szCs w:val="20"/>
              </w:rPr>
              <w:t xml:space="preserve">•  CSR spending, personal use, gifts, free samples and lost or destroyed goods are blocked; reverse credit on inputs in destroyed finished goods.</w:t>
            </w:r>
          </w:p>
          <w:p>
            <w:pPr>
              <w:spacing w:after="60" w:line="260"/>
            </w:pPr>
            <w:r>
              <w:rPr>
                <w:rFonts w:ascii="Verdana" w:cs="Verdana" w:eastAsia="Verdana" w:hAnsi="Verdana"/>
                <w:sz w:val="20"/>
                <w:szCs w:val="20"/>
              </w:rPr>
              <w:t xml:space="preserve">•  Tax paid under section 74 for periods up to FY 2023-24 is not creditable.</w:t>
            </w:r>
          </w:p>
        </w:tc>
      </w:tr>
    </w:tbl>
    <w:p>
      <w:pPr>
        <w:pStyle w:val="Heading1"/>
        <w:pageBreakBefore/>
        <w:spacing w:after="200" w:before="0"/>
      </w:pPr>
      <w:r>
        <w:rPr>
          <w:rFonts w:ascii="Verdana" w:cs="Verdana" w:eastAsia="Verdana" w:hAnsi="Verdana"/>
        </w:rPr>
        <w:t xml:space="preserve">17. Apportionment and Reversal of Credit (Sections 17 and 18; Rules 42, 43 and 44)</w:t>
      </w:r>
    </w:p>
    <w:p>
      <w:pPr>
        <w:spacing w:after="120" w:line="276"/>
        <w:jc w:val="both"/>
      </w:pPr>
      <w:r>
        <w:rPr>
          <w:rFonts w:ascii="Verdana" w:cs="Verdana" w:eastAsia="Verdana" w:hAnsi="Verdana"/>
        </w:rPr>
        <w:t xml:space="preserve">Credit is meant to relieve tax on taxable business outputs. Where inputs also serve non-business purposes or exempt supplies, only the part relating to taxable business supplies can be kept. This chapter covers the split under section 17, the formulas in rules 42 and 43, the bank option, reversal on exit from the taxable net, sale of capital goods and credit notes.</w:t>
      </w:r>
    </w:p>
    <w:p>
      <w:pPr>
        <w:pStyle w:val="Heading2"/>
        <w:keepNext/>
        <w:spacing w:after="120" w:before="240"/>
      </w:pPr>
      <w:r>
        <w:rPr>
          <w:rFonts w:ascii="Verdana" w:cs="Verdana" w:eastAsia="Verdana" w:hAnsi="Verdana"/>
        </w:rPr>
        <w:t xml:space="preserve">17.1 Business and non-business use; taxable and exempt supplies</w:t>
      </w:r>
    </w:p>
    <w:p>
      <w:pPr>
        <w:spacing w:after="120" w:line="276"/>
        <w:jc w:val="both"/>
      </w:pPr>
      <w:r>
        <w:rPr>
          <w:rFonts w:ascii="Verdana" w:cs="Verdana" w:eastAsia="Verdana" w:hAnsi="Verdana"/>
        </w:rPr>
        <w:t xml:space="preserve">Section 17(1) limits credit to the part attributable to business purposes, and section 17(2) to the part attributable to taxable supplies, including zero-rated supplies (which is why exporters keep full credit). Credit on items used exclusively for exempt or non-business purposes is not taken; credit on items used exclusively for taxable supplies is taken in full. Only the </w:t>
      </w:r>
      <w:r>
        <w:rPr>
          <w:rFonts w:ascii="Verdana" w:cs="Verdana" w:eastAsia="Verdana" w:hAnsi="Verdana"/>
          <w:b/>
          <w:bCs/>
        </w:rPr>
        <w:t xml:space="preserve">common credit</w:t>
      </w:r>
      <w:r>
        <w:rPr>
          <w:rFonts w:ascii="Verdana" w:cs="Verdana" w:eastAsia="Verdana" w:hAnsi="Verdana"/>
        </w:rPr>
        <w:t xml:space="preserve"> needs a formula.</w:t>
      </w:r>
    </w:p>
    <w:p>
      <w:pPr>
        <w:pStyle w:val="Heading2"/>
        <w:keepNext/>
        <w:spacing w:after="120" w:before="240"/>
      </w:pPr>
      <w:r>
        <w:rPr>
          <w:rFonts w:ascii="Verdana" w:cs="Verdana" w:eastAsia="Verdana" w:hAnsi="Verdana"/>
        </w:rPr>
        <w:t xml:space="preserve">17.2 What counts as exempt supply value</w:t>
      </w:r>
    </w:p>
    <w:p>
      <w:pPr>
        <w:spacing w:after="120" w:line="276"/>
        <w:jc w:val="both"/>
      </w:pPr>
      <w:r>
        <w:rPr>
          <w:rFonts w:ascii="Verdana" w:cs="Verdana" w:eastAsia="Verdana" w:hAnsi="Verdana"/>
        </w:rPr>
        <w:t xml:space="preserve">Under section 17(3) and its Explanation, exempt supply includes supplies on which the recipient pays tax under reverse charge, transactions in securities, sale of land and, subject to paragraph 5(b) of Schedule II, sale of a building. It excludes Schedule III activities, other than sale of land and completed buildings (paragraph 5) and the prescribed paragraph 8(a) transactions (sale of warehoused goods before clearance).</w:t>
      </w:r>
    </w:p>
    <w:p>
      <w:pPr>
        <w:spacing w:after="120" w:line="276"/>
        <w:jc w:val="both"/>
      </w:pPr>
      <w:r>
        <w:rPr>
          <w:rFonts w:ascii="Verdana" w:cs="Verdana" w:eastAsia="Verdana" w:hAnsi="Verdana"/>
        </w:rPr>
        <w:t xml:space="preserve">The Explanation to rule 43, which applies to rules 42 and 43, takes land and building at stamp duty value and securities at 1% of sale value. It excludes interest or discount on deposits, loans and advances, except for banks and financial institutions including NBFCs, and also duty credit scrips and certain non-GST duties.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101: Working out the value of exempt supplies</w:t>
            </w:r>
          </w:p>
          <w:p>
            <w:pPr>
              <w:spacing w:after="60" w:line="260"/>
            </w:pPr>
            <w:r>
              <w:rPr>
                <w:rFonts w:ascii="Verdana" w:cs="Verdana" w:eastAsia="Verdana" w:hAnsi="Verdana"/>
                <w:sz w:val="20"/>
                <w:szCs w:val="20"/>
              </w:rPr>
              <w:t xml:space="preserve">Prakash Enterprises Pvt. Ltd., a consulting company in Kolkata, has the following receipts in FY 2026-27 apart from taxable consulting fees.</w:t>
            </w:r>
          </w:p>
          <w:p>
            <w:pPr>
              <w:spacing w:after="60" w:line="260"/>
            </w:pPr>
            <w:r>
              <w:rPr>
                <w:rFonts w:ascii="Verdana" w:cs="Verdana" w:eastAsia="Verdana" w:hAnsi="Verdana"/>
                <w:sz w:val="20"/>
                <w:szCs w:val="20"/>
              </w:rPr>
              <w:t xml:space="preserve">(a) Sale of a plot of land for Rs. 1,80,00,000; stamp duty value Rs. 2,00,00,000. Included at Rs. 2,00,00,000.</w:t>
            </w:r>
          </w:p>
          <w:p>
            <w:pPr>
              <w:spacing w:after="60" w:line="260"/>
            </w:pPr>
            <w:r>
              <w:rPr>
                <w:rFonts w:ascii="Verdana" w:cs="Verdana" w:eastAsia="Verdana" w:hAnsi="Verdana"/>
                <w:sz w:val="20"/>
                <w:szCs w:val="20"/>
              </w:rPr>
              <w:t xml:space="preserve">(b) Sale of listed shares for Rs. 50,00,000. Included at 1% = Rs. 50,000.</w:t>
            </w:r>
          </w:p>
          <w:p>
            <w:pPr>
              <w:spacing w:after="60" w:line="260"/>
            </w:pPr>
            <w:r>
              <w:rPr>
                <w:rFonts w:ascii="Verdana" w:cs="Verdana" w:eastAsia="Verdana" w:hAnsi="Verdana"/>
                <w:sz w:val="20"/>
                <w:szCs w:val="20"/>
              </w:rPr>
              <w:t xml:space="preserve">(c) Interest of Rs. 30,00,000 on loans to group companies. Excluded: the company is not a bank or NBFC.</w:t>
            </w:r>
          </w:p>
          <w:p>
            <w:pPr>
              <w:spacing w:after="60" w:line="260"/>
            </w:pPr>
            <w:r>
              <w:rPr>
                <w:rFonts w:ascii="Verdana" w:cs="Verdana" w:eastAsia="Verdana" w:hAnsi="Verdana"/>
                <w:sz w:val="20"/>
                <w:szCs w:val="20"/>
              </w:rPr>
              <w:t xml:space="preserve">(d) Rent from a residential flat let to an individual for his own residence, Rs. 12,00,000 (exempt). Included.</w:t>
            </w:r>
          </w:p>
          <w:p>
            <w:pPr>
              <w:spacing w:after="60" w:line="260"/>
            </w:pPr>
            <w:r>
              <w:rPr>
                <w:rFonts w:ascii="Verdana" w:cs="Verdana" w:eastAsia="Verdana" w:hAnsi="Verdana"/>
                <w:sz w:val="20"/>
                <w:szCs w:val="20"/>
              </w:rPr>
              <w:t xml:space="preserve">Result: E = Rs. 2,00,00,000 + Rs. 50,000 + Rs. 12,00,000 = Rs. 2,12,50,000. A one-off land sale can distort the ratio for the year.</w:t>
            </w:r>
          </w:p>
        </w:tc>
      </w:tr>
    </w:tbl>
    <w:p>
      <w:pPr>
        <w:spacing w:after="60"/>
      </w:pPr>
    </w:p>
    <w:p>
      <w:pPr>
        <w:pStyle w:val="Heading2"/>
        <w:keepNext/>
        <w:spacing w:after="120" w:before="240"/>
      </w:pPr>
      <w:r>
        <w:rPr>
          <w:rFonts w:ascii="Verdana" w:cs="Verdana" w:eastAsia="Verdana" w:hAnsi="Verdana"/>
        </w:rPr>
        <w:t xml:space="preserve">17.3 Rule 42: common credit on inputs and input services</w:t>
      </w:r>
    </w:p>
    <w:p>
      <w:pPr>
        <w:spacing w:after="120" w:line="276"/>
        <w:jc w:val="both"/>
      </w:pPr>
      <w:r>
        <w:rPr>
          <w:rFonts w:ascii="Verdana" w:cs="Verdana" w:eastAsia="Verdana" w:hAnsi="Verdana"/>
        </w:rPr>
        <w:t xml:space="preserve">Rule 42 works every month and is trued up once a year. The symbols are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cantSplit/>
          <w:tblHeader/>
        </w:trPr>
        <w:tc>
          <w:tcPr>
            <w:tcW w:type="dxa" w:w="1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Symbol</w:t>
            </w:r>
          </w:p>
        </w:tc>
        <w:tc>
          <w:tcPr>
            <w:tcW w:type="dxa" w:w="8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Meaning</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w:t>
            </w:r>
          </w:p>
        </w:tc>
        <w:tc>
          <w:tcPr>
            <w:tcW w:type="dxa" w:w="8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Total input tax on inputs and input services in the tax period</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T1</w:t>
            </w:r>
          </w:p>
        </w:tc>
        <w:tc>
          <w:tcPr>
            <w:tcW w:type="dxa" w:w="8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Used exclusively for non-business purposes</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T2</w:t>
            </w:r>
          </w:p>
        </w:tc>
        <w:tc>
          <w:tcPr>
            <w:tcW w:type="dxa" w:w="8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Used exclusively for exempt supplies</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T3</w:t>
            </w:r>
          </w:p>
        </w:tc>
        <w:tc>
          <w:tcPr>
            <w:tcW w:type="dxa" w:w="8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Blocked under section 17(5)</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C1</w:t>
            </w:r>
          </w:p>
        </w:tc>
        <w:tc>
          <w:tcPr>
            <w:tcW w:type="dxa" w:w="8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 minus (T1 + T2 + T3); credited to the electronic credit ledger</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T4</w:t>
            </w:r>
          </w:p>
        </w:tc>
        <w:tc>
          <w:tcPr>
            <w:tcW w:type="dxa" w:w="8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Used exclusively for taxable supplies including zero-rated supplies</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C2</w:t>
            </w:r>
          </w:p>
        </w:tc>
        <w:tc>
          <w:tcPr>
            <w:tcW w:type="dxa" w:w="8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C1 minus T4: common credit</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D1</w:t>
            </w:r>
          </w:p>
        </w:tc>
        <w:tc>
          <w:tcPr>
            <w:tcW w:type="dxa" w:w="8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 / F) x C2: part of common credit attributable to exempt supplies (E = exempt supplies, F = total turnover in the State)</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D2</w:t>
            </w:r>
          </w:p>
        </w:tc>
        <w:tc>
          <w:tcPr>
            <w:tcW w:type="dxa" w:w="8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 of C2: deemed attributable to non-business purposes, where common inputs are also used for such purposes</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C3</w:t>
            </w:r>
          </w:p>
        </w:tc>
        <w:tc>
          <w:tcPr>
            <w:tcW w:type="dxa" w:w="8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C2 minus (D1 + D2): eligible common credit</w:t>
            </w:r>
          </w:p>
        </w:tc>
      </w:tr>
    </w:tbl>
    <w:p>
      <w:pPr>
        <w:spacing w:after="60"/>
      </w:pPr>
    </w:p>
    <w:p>
      <w:pPr>
        <w:spacing w:after="120" w:line="276"/>
        <w:jc w:val="both"/>
      </w:pPr>
      <w:r>
        <w:rPr>
          <w:rFonts w:ascii="Verdana" w:cs="Verdana" w:eastAsia="Verdana" w:hAnsi="Verdana"/>
        </w:rPr>
        <w:t xml:space="preserve">D1 and D2 are reversed each month in GSTR-3B, separately for CGST, SGST and IGST. If there is no turnover in a month, the ratio of the last period with turnover is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102: Monthly computation under rule 42</w:t>
            </w:r>
          </w:p>
          <w:p>
            <w:pPr>
              <w:spacing w:after="60" w:line="260"/>
            </w:pPr>
            <w:r>
              <w:rPr>
                <w:rFonts w:ascii="Verdana" w:cs="Verdana" w:eastAsia="Verdana" w:hAnsi="Verdana"/>
                <w:sz w:val="20"/>
                <w:szCs w:val="20"/>
              </w:rPr>
              <w:t xml:space="preserve">Green Valley Agro Pvt. Ltd., Nagpur, sells processed foods (taxable at 5%) and fresh vegetables (exempt). Figures for October 2026:</w:t>
            </w:r>
          </w:p>
          <w:p>
            <w:pPr>
              <w:spacing w:after="60" w:line="260"/>
            </w:pPr>
            <w:r>
              <w:rPr>
                <w:rFonts w:ascii="Verdana" w:cs="Verdana" w:eastAsia="Verdana" w:hAnsi="Verdana"/>
                <w:sz w:val="20"/>
                <w:szCs w:val="20"/>
              </w:rPr>
              <w:t xml:space="preserve">Step 1: Total ITC T = Rs. 5,00,000. Non-business T1 = Rs. 10,000. Exclusively for exempt supplies T2 = Rs. 40,000. Blocked T3 = Rs. 25,000.</w:t>
            </w:r>
          </w:p>
          <w:p>
            <w:pPr>
              <w:spacing w:after="60" w:line="260"/>
            </w:pPr>
            <w:r>
              <w:rPr>
                <w:rFonts w:ascii="Verdana" w:cs="Verdana" w:eastAsia="Verdana" w:hAnsi="Verdana"/>
                <w:sz w:val="20"/>
                <w:szCs w:val="20"/>
              </w:rPr>
              <w:t xml:space="preserve">Step 2: C1 = Rs. 5,00,000 minus Rs. 75,000 = Rs. 4,25,000.</w:t>
            </w:r>
          </w:p>
          <w:p>
            <w:pPr>
              <w:spacing w:after="60" w:line="260"/>
            </w:pPr>
            <w:r>
              <w:rPr>
                <w:rFonts w:ascii="Verdana" w:cs="Verdana" w:eastAsia="Verdana" w:hAnsi="Verdana"/>
                <w:sz w:val="20"/>
                <w:szCs w:val="20"/>
              </w:rPr>
              <w:t xml:space="preserve">Step 3: Exclusively for taxable supplies T4 = Rs. 2,85,000. Common credit C2 = Rs. 4,25,000 minus Rs. 2,85,000 = Rs. 1,40,000.</w:t>
            </w:r>
          </w:p>
          <w:p>
            <w:pPr>
              <w:spacing w:after="60" w:line="260"/>
            </w:pPr>
            <w:r>
              <w:rPr>
                <w:rFonts w:ascii="Verdana" w:cs="Verdana" w:eastAsia="Verdana" w:hAnsi="Verdana"/>
                <w:sz w:val="20"/>
                <w:szCs w:val="20"/>
              </w:rPr>
              <w:t xml:space="preserve">Step 4: Exempt turnover E = Rs. 30,00,000; total turnover F = Rs. 1,20,00,000. E/F = 25%. D1 = 25% x Rs. 1,40,000 = Rs. 35,000.</w:t>
            </w:r>
          </w:p>
          <w:p>
            <w:pPr>
              <w:spacing w:after="60" w:line="260"/>
            </w:pPr>
            <w:r>
              <w:rPr>
                <w:rFonts w:ascii="Verdana" w:cs="Verdana" w:eastAsia="Verdana" w:hAnsi="Verdana"/>
                <w:sz w:val="20"/>
                <w:szCs w:val="20"/>
              </w:rPr>
              <w:t xml:space="preserve">Step 5: D2 = 5% x Rs. 1,40,000 = Rs. 7,000.</w:t>
            </w:r>
          </w:p>
          <w:p>
            <w:pPr>
              <w:spacing w:after="60" w:line="260"/>
            </w:pPr>
            <w:r>
              <w:rPr>
                <w:rFonts w:ascii="Verdana" w:cs="Verdana" w:eastAsia="Verdana" w:hAnsi="Verdana"/>
                <w:sz w:val="20"/>
                <w:szCs w:val="20"/>
              </w:rPr>
              <w:t xml:space="preserve">Step 6: C3 = Rs. 1,40,000 minus (Rs. 35,000 + Rs. 7,000) = Rs. 98,000.</w:t>
            </w:r>
          </w:p>
          <w:p>
            <w:pPr>
              <w:spacing w:after="60" w:line="260"/>
            </w:pPr>
            <w:r>
              <w:rPr>
                <w:rFonts w:ascii="Verdana" w:cs="Verdana" w:eastAsia="Verdana" w:hAnsi="Verdana"/>
                <w:sz w:val="20"/>
                <w:szCs w:val="20"/>
              </w:rPr>
              <w:t xml:space="preserve">Result: Eligible credit for the month = T4 + C3 = Rs. 2,85,000 + Rs. 98,000 = Rs. 3,83,000. Amount reversed in Table 4B(1) = D1 + D2 = Rs. 42,000.</w:t>
            </w:r>
          </w:p>
        </w:tc>
      </w:tr>
    </w:tbl>
    <w:p>
      <w:pPr>
        <w:spacing w:after="60"/>
      </w:pPr>
    </w:p>
    <w:p>
      <w:pPr>
        <w:pStyle w:val="Heading3"/>
        <w:keepNext/>
        <w:spacing w:after="80" w:before="160"/>
      </w:pPr>
      <w:r>
        <w:rPr>
          <w:rFonts w:ascii="Verdana" w:cs="Verdana" w:eastAsia="Verdana" w:hAnsi="Verdana"/>
        </w:rPr>
        <w:t xml:space="preserve">Annual true-up</w:t>
      </w:r>
    </w:p>
    <w:p>
      <w:pPr>
        <w:spacing w:after="120" w:line="276"/>
        <w:jc w:val="both"/>
      </w:pPr>
      <w:r>
        <w:rPr>
          <w:rFonts w:ascii="Verdana" w:cs="Verdana" w:eastAsia="Verdana" w:hAnsi="Verdana"/>
        </w:rPr>
        <w:t xml:space="preserve">Under rule 42(2), D1 and D2 are recomputed on annual figures before the due date of the September return after the year end. A short reversal is paid with interest under section 50(1) from 1 April of the next year; an excess reversal is reclaimed.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103: Annual true-up with interest</w:t>
            </w:r>
          </w:p>
          <w:p>
            <w:pPr>
              <w:spacing w:after="60" w:line="260"/>
            </w:pPr>
            <w:r>
              <w:rPr>
                <w:rFonts w:ascii="Verdana" w:cs="Verdana" w:eastAsia="Verdana" w:hAnsi="Verdana"/>
                <w:sz w:val="20"/>
                <w:szCs w:val="20"/>
              </w:rPr>
              <w:t xml:space="preserve">For FY 2025-26, Green Valley Agro's total common credit C2 was Rs. 16,50,000. Monthly D1 reversals added up to Rs. 3,90,000 and D2 to Rs. 82,500.</w:t>
            </w:r>
          </w:p>
          <w:p>
            <w:pPr>
              <w:spacing w:after="60" w:line="260"/>
            </w:pPr>
            <w:r>
              <w:rPr>
                <w:rFonts w:ascii="Verdana" w:cs="Verdana" w:eastAsia="Verdana" w:hAnsi="Verdana"/>
                <w:sz w:val="20"/>
                <w:szCs w:val="20"/>
              </w:rPr>
              <w:t xml:space="preserve">Step 1: Annual exempt turnover Rs. 3,90,00,000; annual total turnover Rs. 15,00,00,000. E/F = 26%.</w:t>
            </w:r>
          </w:p>
          <w:p>
            <w:pPr>
              <w:spacing w:after="60" w:line="260"/>
            </w:pPr>
            <w:r>
              <w:rPr>
                <w:rFonts w:ascii="Verdana" w:cs="Verdana" w:eastAsia="Verdana" w:hAnsi="Verdana"/>
                <w:sz w:val="20"/>
                <w:szCs w:val="20"/>
              </w:rPr>
              <w:t xml:space="preserve">Step 2: Final D1 = 26% x Rs. 16,50,000 = Rs. 4,29,000. Final D2 = 5% x Rs. 16,50,000 = Rs. 82,500, equal to the amount reversed.</w:t>
            </w:r>
          </w:p>
          <w:p>
            <w:pPr>
              <w:spacing w:after="60" w:line="260"/>
            </w:pPr>
            <w:r>
              <w:rPr>
                <w:rFonts w:ascii="Verdana" w:cs="Verdana" w:eastAsia="Verdana" w:hAnsi="Verdana"/>
                <w:sz w:val="20"/>
                <w:szCs w:val="20"/>
              </w:rPr>
              <w:t xml:space="preserve">Step 3: Short reversal = Rs. 4,29,000 minus Rs. 3,90,000 = Rs. 39,000.</w:t>
            </w:r>
          </w:p>
          <w:p>
            <w:pPr>
              <w:spacing w:after="60" w:line="260"/>
            </w:pPr>
            <w:r>
              <w:rPr>
                <w:rFonts w:ascii="Verdana" w:cs="Verdana" w:eastAsia="Verdana" w:hAnsi="Verdana"/>
                <w:sz w:val="20"/>
                <w:szCs w:val="20"/>
              </w:rPr>
              <w:t xml:space="preserve">Step 4: Paid through DRC-03 on 20 September 2026. Interest from 1 April 2026 to 20 September 2026, both days included = 173 days. Rs. 39,000 x 18% x 173 / 365 = Rs. 3,327.</w:t>
            </w:r>
          </w:p>
          <w:p>
            <w:pPr>
              <w:spacing w:after="60" w:line="260"/>
            </w:pPr>
            <w:r>
              <w:rPr>
                <w:rFonts w:ascii="Verdana" w:cs="Verdana" w:eastAsia="Verdana" w:hAnsi="Verdana"/>
                <w:sz w:val="20"/>
                <w:szCs w:val="20"/>
              </w:rPr>
              <w:t xml:space="preserve">Result: Pay Rs. 39,000 plus interest Rs. 3,327. Had the annual ratio been lower, the excess reversal would be reclaimed without interest.</w:t>
            </w:r>
          </w:p>
        </w:tc>
      </w:tr>
    </w:tbl>
    <w:p>
      <w:pPr>
        <w:spacing w:after="60"/>
      </w:pPr>
    </w:p>
    <w:p>
      <w:pPr>
        <w:pStyle w:val="Heading2"/>
        <w:keepNext/>
        <w:spacing w:after="120" w:before="240"/>
      </w:pPr>
      <w:r>
        <w:rPr>
          <w:rFonts w:ascii="Verdana" w:cs="Verdana" w:eastAsia="Verdana" w:hAnsi="Verdana"/>
        </w:rPr>
        <w:t xml:space="preserve">17.4 Rule 43: common credit on capital goods</w:t>
      </w:r>
    </w:p>
    <w:p>
      <w:pPr>
        <w:spacing w:after="120" w:line="276"/>
        <w:jc w:val="both"/>
      </w:pPr>
      <w:r>
        <w:rPr>
          <w:rFonts w:ascii="Verdana" w:cs="Verdana" w:eastAsia="Verdana" w:hAnsi="Verdana"/>
        </w:rPr>
        <w:t xml:space="preserve">Credit on capital goods used exclusively for non-business or exempt purposes is not taken; credit on those used only for taxable supplies is taken in full. Credit on common capital goods is credited in full, with a useful life of five years from the invoice date, and then:</w:t>
      </w:r>
    </w:p>
    <w:p>
      <w:pPr>
        <w:pStyle w:val="ListParagraph"/>
        <w:numPr>
          <w:ilvl w:val="0"/>
          <w:numId w:val="2"/>
        </w:numPr>
        <w:spacing w:after="60" w:line="264"/>
      </w:pPr>
      <w:r>
        <w:rPr>
          <w:rFonts w:ascii="Verdana" w:cs="Verdana" w:eastAsia="Verdana" w:hAnsi="Verdana"/>
        </w:rPr>
        <w:t xml:space="preserve">Tc: aggregate common credit on capital goods whose useful life is still running.</w:t>
      </w:r>
    </w:p>
    <w:p>
      <w:pPr>
        <w:pStyle w:val="ListParagraph"/>
        <w:numPr>
          <w:ilvl w:val="0"/>
          <w:numId w:val="2"/>
        </w:numPr>
        <w:spacing w:after="60" w:line="264"/>
      </w:pPr>
      <w:r>
        <w:rPr>
          <w:rFonts w:ascii="Verdana" w:cs="Verdana" w:eastAsia="Verdana" w:hAnsi="Verdana"/>
        </w:rPr>
        <w:t xml:space="preserve">Tm = Tc / 60: common credit attributable to one month.</w:t>
      </w:r>
    </w:p>
    <w:p>
      <w:pPr>
        <w:pStyle w:val="ListParagraph"/>
        <w:numPr>
          <w:ilvl w:val="0"/>
          <w:numId w:val="2"/>
        </w:numPr>
        <w:spacing w:after="60" w:line="264"/>
      </w:pPr>
      <w:r>
        <w:rPr>
          <w:rFonts w:ascii="Verdana" w:cs="Verdana" w:eastAsia="Verdana" w:hAnsi="Verdana"/>
        </w:rPr>
        <w:t xml:space="preserve">Tr: total of Tm for all such capital goods.</w:t>
      </w:r>
    </w:p>
    <w:p>
      <w:pPr>
        <w:pStyle w:val="ListParagraph"/>
        <w:numPr>
          <w:ilvl w:val="0"/>
          <w:numId w:val="2"/>
        </w:numPr>
        <w:spacing w:after="60" w:line="264"/>
      </w:pPr>
      <w:r>
        <w:rPr>
          <w:rFonts w:ascii="Verdana" w:cs="Verdana" w:eastAsia="Verdana" w:hAnsi="Verdana"/>
        </w:rPr>
        <w:t xml:space="preserve">Te = (E / F) x Tr: credit attributable to exempt supplies, added to output tax liability every month, along with applicable interest, during the useful life.</w:t>
      </w:r>
    </w:p>
    <w:p>
      <w:pPr>
        <w:spacing w:after="120" w:line="276"/>
        <w:jc w:val="both"/>
      </w:pPr>
      <w:r>
        <w:rPr>
          <w:rFonts w:ascii="Verdana" w:cs="Verdana" w:eastAsia="Verdana" w:hAnsi="Verdana"/>
        </w:rPr>
        <w:t xml:space="preserve">If capital goods used only for exempt supplies later go into common use, credit is taken after reducing it by 5 percentage points for every quarter or part quarter from the invoice 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104: Rule 43 for two capital goods</w:t>
            </w:r>
          </w:p>
          <w:p>
            <w:pPr>
              <w:spacing w:after="60" w:line="260"/>
            </w:pPr>
            <w:r>
              <w:rPr>
                <w:rFonts w:ascii="Verdana" w:cs="Verdana" w:eastAsia="Verdana" w:hAnsi="Verdana"/>
                <w:sz w:val="20"/>
                <w:szCs w:val="20"/>
              </w:rPr>
              <w:t xml:space="preserve">Green Valley Agro buys a cold storage unit in April 2026 with common credit Rs. 3,60,000 and a delivery van (goods carriage) with common credit Rs. 1,20,000. Both serve taxable and exempt supplies.</w:t>
            </w:r>
          </w:p>
          <w:p>
            <w:pPr>
              <w:spacing w:after="60" w:line="260"/>
            </w:pPr>
            <w:r>
              <w:rPr>
                <w:rFonts w:ascii="Verdana" w:cs="Verdana" w:eastAsia="Verdana" w:hAnsi="Verdana"/>
                <w:sz w:val="20"/>
                <w:szCs w:val="20"/>
              </w:rPr>
              <w:t xml:space="preserve">Step 1: Tm for the cold storage = Rs. 3,60,000 / 60 = Rs. 6,000. Tm for the van = Rs. 1,20,000 / 60 = Rs. 2,000.</w:t>
            </w:r>
          </w:p>
          <w:p>
            <w:pPr>
              <w:spacing w:after="60" w:line="260"/>
            </w:pPr>
            <w:r>
              <w:rPr>
                <w:rFonts w:ascii="Verdana" w:cs="Verdana" w:eastAsia="Verdana" w:hAnsi="Verdana"/>
                <w:sz w:val="20"/>
                <w:szCs w:val="20"/>
              </w:rPr>
              <w:t xml:space="preserve">Step 2: Tr = Rs. 6,000 + Rs. 2,000 = Rs. 8,000.</w:t>
            </w:r>
          </w:p>
          <w:p>
            <w:pPr>
              <w:spacing w:after="60" w:line="260"/>
            </w:pPr>
            <w:r>
              <w:rPr>
                <w:rFonts w:ascii="Verdana" w:cs="Verdana" w:eastAsia="Verdana" w:hAnsi="Verdana"/>
                <w:sz w:val="20"/>
                <w:szCs w:val="20"/>
              </w:rPr>
              <w:t xml:space="preserve">Step 3: For November 2026, E/F = 20%. Te = 20% x Rs. 8,000 = Rs. 1,600.</w:t>
            </w:r>
          </w:p>
          <w:p>
            <w:pPr>
              <w:spacing w:after="60" w:line="260"/>
            </w:pPr>
            <w:r>
              <w:rPr>
                <w:rFonts w:ascii="Verdana" w:cs="Verdana" w:eastAsia="Verdana" w:hAnsi="Verdana"/>
                <w:sz w:val="20"/>
                <w:szCs w:val="20"/>
              </w:rPr>
              <w:t xml:space="preserve">Result: Rs. 1,600 is added to output tax for November 2026, and the exercise repeats monthly for 60 months.</w:t>
            </w:r>
          </w:p>
        </w:tc>
      </w:tr>
    </w:tbl>
    <w:p>
      <w:pPr>
        <w:spacing w:after="60"/>
      </w:pPr>
    </w:p>
    <w:p>
      <w:pPr>
        <w:pStyle w:val="Heading2"/>
        <w:keepNext/>
        <w:spacing w:after="120" w:before="240"/>
      </w:pPr>
      <w:r>
        <w:rPr>
          <w:rFonts w:ascii="Verdana" w:cs="Verdana" w:eastAsia="Verdana" w:hAnsi="Verdana"/>
        </w:rPr>
        <w:t xml:space="preserve">17.5 Banking companies and financial institutions: section 17(4)</w:t>
      </w:r>
    </w:p>
    <w:p>
      <w:pPr>
        <w:spacing w:after="120" w:line="276"/>
        <w:jc w:val="both"/>
      </w:pPr>
      <w:r>
        <w:rPr>
          <w:rFonts w:ascii="Verdana" w:cs="Verdana" w:eastAsia="Verdana" w:hAnsi="Verdana"/>
        </w:rPr>
        <w:t xml:space="preserve">Section 17(4) lets a banking company or a financial institution, including an NBFC, engaged in accepting deposits or extending loans or advances take 50% of eligible credit on inputs, capital goods and input services every month instead of following section 17(2); the rest lapses. The option cannot be withdrawn during the year, and the restriction does not apply to supplies from other registrations with the same PAN.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105: Option under section 17(4)</w:t>
            </w:r>
          </w:p>
          <w:p>
            <w:pPr>
              <w:spacing w:after="60" w:line="260"/>
            </w:pPr>
            <w:r>
              <w:rPr>
                <w:rFonts w:ascii="Verdana" w:cs="Verdana" w:eastAsia="Verdana" w:hAnsi="Verdana"/>
                <w:sz w:val="20"/>
                <w:szCs w:val="20"/>
              </w:rPr>
              <w:t xml:space="preserve">Coastal Finance Ltd., an NBFC, opts for the 50% route. In October 2026 its eligible credit (after section 17(5)) is Rs. 20,00,000, of which Rs. 2,00,000 relates to cross charges from its own offices in other States under the same PAN.</w:t>
            </w:r>
          </w:p>
          <w:p>
            <w:pPr>
              <w:spacing w:after="60" w:line="260"/>
            </w:pPr>
            <w:r>
              <w:rPr>
                <w:rFonts w:ascii="Verdana" w:cs="Verdana" w:eastAsia="Verdana" w:hAnsi="Verdana"/>
                <w:sz w:val="20"/>
                <w:szCs w:val="20"/>
              </w:rPr>
              <w:t xml:space="preserve">Step 1: Credit subject to the restriction = Rs. 20,00,000 minus Rs. 2,00,000 = Rs. 18,00,000. 50% = Rs. 9,00,000.</w:t>
            </w:r>
          </w:p>
          <w:p>
            <w:pPr>
              <w:spacing w:after="60" w:line="260"/>
            </w:pPr>
            <w:r>
              <w:rPr>
                <w:rFonts w:ascii="Verdana" w:cs="Verdana" w:eastAsia="Verdana" w:hAnsi="Verdana"/>
                <w:sz w:val="20"/>
                <w:szCs w:val="20"/>
              </w:rPr>
              <w:t xml:space="preserve">Step 2: Credit on same-PAN supplies Rs. 2,00,000 is allowed in full.</w:t>
            </w:r>
          </w:p>
          <w:p>
            <w:pPr>
              <w:spacing w:after="60" w:line="260"/>
            </w:pPr>
            <w:r>
              <w:rPr>
                <w:rFonts w:ascii="Verdana" w:cs="Verdana" w:eastAsia="Verdana" w:hAnsi="Verdana"/>
                <w:sz w:val="20"/>
                <w:szCs w:val="20"/>
              </w:rPr>
              <w:t xml:space="preserve">Result: Credit taken = Rs. 11,00,000. The remaining Rs. 9,00,000 lapses.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Credit validly taken and statutory reversal</w:t>
            </w:r>
          </w:p>
          <w:p>
            <w:pPr>
              <w:spacing w:after="60" w:line="260"/>
            </w:pPr>
            <w:r>
              <w:rPr>
                <w:rFonts w:ascii="Verdana" w:cs="Verdana" w:eastAsia="Verdana" w:hAnsi="Verdana"/>
                <w:b/>
                <w:bCs/>
                <w:sz w:val="20"/>
                <w:szCs w:val="20"/>
              </w:rPr>
              <w:t xml:space="preserve">Eicher Motors Ltd. v. Union of India (Supreme Court, 1999):</w:t>
            </w:r>
            <w:r>
              <w:rPr>
                <w:rFonts w:ascii="Verdana" w:cs="Verdana" w:eastAsia="Verdana" w:hAnsi="Verdana"/>
                <w:sz w:val="20"/>
                <w:szCs w:val="20"/>
              </w:rPr>
              <w:t xml:space="preserve"> Under the Modvat scheme, the Court held that credit validly taken on inputs is indefeasible and cannot be taken away by a later rule that lapses the credit.</w:t>
            </w:r>
          </w:p>
          <w:p>
            <w:pPr>
              <w:spacing w:after="60" w:line="260"/>
            </w:pPr>
            <w:r>
              <w:rPr>
                <w:rFonts w:ascii="Verdana" w:cs="Verdana" w:eastAsia="Verdana" w:hAnsi="Verdana"/>
                <w:b/>
                <w:bCs/>
                <w:sz w:val="20"/>
                <w:szCs w:val="20"/>
              </w:rPr>
              <w:t xml:space="preserve">Collector of Central Excise v. Dai Ichi Karkaria Ltd. (Supreme Court, 1999):</w:t>
            </w:r>
            <w:r>
              <w:rPr>
                <w:rFonts w:ascii="Verdana" w:cs="Verdana" w:eastAsia="Verdana" w:hAnsi="Verdana"/>
                <w:sz w:val="20"/>
                <w:szCs w:val="20"/>
              </w:rPr>
              <w:t xml:space="preserve"> Credit validly taken is as good as tax paid, and the manufacturer may use it at any time.</w:t>
            </w:r>
          </w:p>
          <w:p>
            <w:pPr>
              <w:spacing w:after="60" w:line="260"/>
            </w:pPr>
            <w:r>
              <w:rPr>
                <w:rFonts w:ascii="Verdana" w:cs="Verdana" w:eastAsia="Verdana" w:hAnsi="Verdana"/>
                <w:sz w:val="20"/>
                <w:szCs w:val="20"/>
              </w:rPr>
              <w:t xml:space="preserve">These pre-GST rulings are cited when the department tries to take away credit already taken. They do not help where the GST law itself makes credit subject to later events: reversals under rules 37, 37A, 42, 43 and 44 and section 18(4) are part of the conditions on which credit was given.</w:t>
            </w:r>
          </w:p>
        </w:tc>
      </w:tr>
    </w:tbl>
    <w:p>
      <w:pPr>
        <w:spacing w:after="60"/>
      </w:pPr>
    </w:p>
    <w:p>
      <w:pPr>
        <w:pStyle w:val="Heading2"/>
        <w:keepNext/>
        <w:spacing w:after="120" w:before="240"/>
      </w:pPr>
      <w:r>
        <w:rPr>
          <w:rFonts w:ascii="Verdana" w:cs="Verdana" w:eastAsia="Verdana" w:hAnsi="Verdana"/>
        </w:rPr>
        <w:t xml:space="preserve">17.6 Reversal when supplies become exempt or the person exits: section 18(4) and rule 44</w:t>
      </w:r>
    </w:p>
    <w:p>
      <w:pPr>
        <w:spacing w:after="120" w:line="276"/>
        <w:jc w:val="both"/>
      </w:pPr>
      <w:r>
        <w:rPr>
          <w:rFonts w:ascii="Verdana" w:cs="Verdana" w:eastAsia="Verdana" w:hAnsi="Verdana"/>
        </w:rPr>
        <w:t xml:space="preserve">Under section 18(4), a person who opts for composition, or whose supplies become wholly exempt, pays an amount equal to the credit on inputs in stock, inputs in semi-finished and finished goods, and capital goods; the remaining ledger balance lapses. Section 29(5) applies the same idea on cancellation, taking the higher of this credit and the output tax on the goods.</w:t>
      </w:r>
    </w:p>
    <w:p>
      <w:pPr>
        <w:spacing w:after="120" w:line="276"/>
        <w:jc w:val="both"/>
      </w:pPr>
      <w:r>
        <w:rPr>
          <w:rFonts w:ascii="Verdana" w:cs="Verdana" w:eastAsia="Verdana" w:hAnsi="Verdana"/>
        </w:rPr>
        <w:t xml:space="preserve">Under rule 44, inputs are valued on the purchase invoices (or prevailing market price if none), and for capital goods the credit for the </w:t>
      </w:r>
      <w:r>
        <w:rPr>
          <w:rFonts w:ascii="Verdana" w:cs="Verdana" w:eastAsia="Verdana" w:hAnsi="Verdana"/>
          <w:b/>
          <w:bCs/>
        </w:rPr>
        <w:t xml:space="preserve">remaining useful life in months</w:t>
      </w:r>
      <w:r>
        <w:rPr>
          <w:rFonts w:ascii="Verdana" w:cs="Verdana" w:eastAsia="Verdana" w:hAnsi="Verdana"/>
        </w:rPr>
        <w:t xml:space="preserve"> is reversed, taking five years as useful life. The amount is reported in form GST ITC-03 (GSTR-10 on cancellation); on a switch to composition, ITC-03 is due within 60 days from the start of the financial year (rule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106: Switch to composition: rule 44</w:t>
            </w:r>
          </w:p>
          <w:p>
            <w:pPr>
              <w:spacing w:after="60" w:line="260"/>
            </w:pPr>
            <w:r>
              <w:rPr>
                <w:rFonts w:ascii="Verdana" w:cs="Verdana" w:eastAsia="Verdana" w:hAnsi="Verdana"/>
                <w:sz w:val="20"/>
                <w:szCs w:val="20"/>
              </w:rPr>
              <w:t xml:space="preserve">Lakshmi Hardware opts for composition from 1 April 2026. On 31 March 2026 its records show the following credits.</w:t>
            </w:r>
          </w:p>
          <w:p>
            <w:pPr>
              <w:spacing w:after="60" w:line="260"/>
            </w:pPr>
            <w:r>
              <w:rPr>
                <w:rFonts w:ascii="Verdana" w:cs="Verdana" w:eastAsia="Verdana" w:hAnsi="Verdana"/>
                <w:sz w:val="20"/>
                <w:szCs w:val="20"/>
              </w:rPr>
              <w:t xml:space="preserve">Step 1: Inputs in stock: Rs. 42,000.</w:t>
            </w:r>
          </w:p>
          <w:p>
            <w:pPr>
              <w:spacing w:after="60" w:line="260"/>
            </w:pPr>
            <w:r>
              <w:rPr>
                <w:rFonts w:ascii="Verdana" w:cs="Verdana" w:eastAsia="Verdana" w:hAnsi="Verdana"/>
                <w:sz w:val="20"/>
                <w:szCs w:val="20"/>
              </w:rPr>
              <w:t xml:space="preserve">Step 2: Inputs contained in semi-finished goods: Rs. 18,000. Inputs contained in finished goods: Rs. 30,000.</w:t>
            </w:r>
          </w:p>
          <w:p>
            <w:pPr>
              <w:spacing w:after="60" w:line="260"/>
            </w:pPr>
            <w:r>
              <w:rPr>
                <w:rFonts w:ascii="Verdana" w:cs="Verdana" w:eastAsia="Verdana" w:hAnsi="Verdana"/>
                <w:sz w:val="20"/>
                <w:szCs w:val="20"/>
              </w:rPr>
              <w:t xml:space="preserve">Step 3: Capital goods bought on 1 April 2024 with credit Rs. 2,40,000. Used for 24 months; remaining life 36 months. Reversal = Rs. 2,40,000 x 36 / 60 = Rs. 1,44,000.</w:t>
            </w:r>
          </w:p>
          <w:p>
            <w:pPr>
              <w:spacing w:after="60" w:line="260"/>
            </w:pPr>
            <w:r>
              <w:rPr>
                <w:rFonts w:ascii="Verdana" w:cs="Verdana" w:eastAsia="Verdana" w:hAnsi="Verdana"/>
                <w:sz w:val="20"/>
                <w:szCs w:val="20"/>
              </w:rPr>
              <w:t xml:space="preserve">Result: Payable through ITC-03 = Rs. 42,000 + Rs. 18,000 + Rs. 30,000 + Rs. 1,44,000 = Rs. 2,34,000. Any credit left in the ledger afterwards lapses.</w:t>
            </w:r>
          </w:p>
        </w:tc>
      </w:tr>
    </w:tbl>
    <w:p>
      <w:pPr>
        <w:spacing w:after="60"/>
      </w:pPr>
    </w:p>
    <w:p>
      <w:pPr>
        <w:pStyle w:val="Heading2"/>
        <w:keepNext/>
        <w:spacing w:after="120" w:before="240"/>
      </w:pPr>
      <w:r>
        <w:rPr>
          <w:rFonts w:ascii="Verdana" w:cs="Verdana" w:eastAsia="Verdana" w:hAnsi="Verdana"/>
        </w:rPr>
        <w:t xml:space="preserve">17.7 Sale of capital goods: section 18(6)</w:t>
      </w:r>
    </w:p>
    <w:p>
      <w:pPr>
        <w:spacing w:after="120" w:line="276"/>
        <w:jc w:val="both"/>
      </w:pPr>
      <w:r>
        <w:rPr>
          <w:rFonts w:ascii="Verdana" w:cs="Verdana" w:eastAsia="Verdana" w:hAnsi="Verdana"/>
        </w:rPr>
        <w:t xml:space="preserve">When capital goods or plant and machinery on which credit was taken are supplied, the supplier pays the higher of (a) the credit taken, reduced by 5 percentage points for every quarter or part of a quarter from the invoice date (rule 40(2)), and (b) the tax on the transaction value. Refractory bricks, moulds and dies, jigs and fixtures supplied as scrap pay tax on the transaction value alone.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107: Sale of used machinery</w:t>
            </w:r>
          </w:p>
          <w:p>
            <w:pPr>
              <w:spacing w:after="60" w:line="260"/>
            </w:pPr>
            <w:r>
              <w:rPr>
                <w:rFonts w:ascii="Verdana" w:cs="Verdana" w:eastAsia="Verdana" w:hAnsi="Verdana"/>
                <w:sz w:val="20"/>
                <w:szCs w:val="20"/>
              </w:rPr>
              <w:t xml:space="preserve">Verma Plastics bought a moulding machine on 10 May 2024 with IGST credit Rs. 1,80,000. It sells the machine on 15 August 2026.</w:t>
            </w:r>
          </w:p>
          <w:p>
            <w:pPr>
              <w:spacing w:after="60" w:line="260"/>
            </w:pPr>
            <w:r>
              <w:rPr>
                <w:rFonts w:ascii="Verdana" w:cs="Verdana" w:eastAsia="Verdana" w:hAnsi="Verdana"/>
                <w:sz w:val="20"/>
                <w:szCs w:val="20"/>
              </w:rPr>
              <w:t xml:space="preserve">Step 1: Quarters or part quarters from 10 May 2024 to 15 August 2026: nine full quarters to 9 August 2026 plus one part quarter = 10. Reduction = 10 x 5 = 50 percentage points.</w:t>
            </w:r>
          </w:p>
          <w:p>
            <w:pPr>
              <w:spacing w:after="60" w:line="260"/>
            </w:pPr>
            <w:r>
              <w:rPr>
                <w:rFonts w:ascii="Verdana" w:cs="Verdana" w:eastAsia="Verdana" w:hAnsi="Verdana"/>
                <w:sz w:val="20"/>
                <w:szCs w:val="20"/>
              </w:rPr>
              <w:t xml:space="preserve">Step 2: Credit less reduction = Rs. 1,80,000 x 50% = Rs. 90,000.</w:t>
            </w:r>
          </w:p>
          <w:p>
            <w:pPr>
              <w:spacing w:after="60" w:line="260"/>
            </w:pPr>
            <w:r>
              <w:rPr>
                <w:rFonts w:ascii="Verdana" w:cs="Verdana" w:eastAsia="Verdana" w:hAnsi="Verdana"/>
                <w:sz w:val="20"/>
                <w:szCs w:val="20"/>
              </w:rPr>
              <w:t xml:space="preserve">Case A: Sale price Rs. 6,00,000. Tax at 18% = Rs. 1,08,000. Higher of Rs. 90,000 and Rs. 1,08,000 = Rs. 1,08,000. Normal tax invoice.</w:t>
            </w:r>
          </w:p>
          <w:p>
            <w:pPr>
              <w:spacing w:after="60" w:line="260"/>
            </w:pPr>
            <w:r>
              <w:rPr>
                <w:rFonts w:ascii="Verdana" w:cs="Verdana" w:eastAsia="Verdana" w:hAnsi="Verdana"/>
                <w:sz w:val="20"/>
                <w:szCs w:val="20"/>
              </w:rPr>
              <w:t xml:space="preserve">Case B: Sale price Rs. 3,00,000. Tax at 18% = Rs. 54,000. Higher = Rs. 90,000. Verma Plastics pays Rs. 90,000: Rs. 54,000 as tax shown on the invoice and the balance Rs. 36,000 through GSTR-3B or DRC-03 as its own cost. The buyer can take credit only of the Rs. 54,000 on the invoice.</w:t>
            </w:r>
          </w:p>
        </w:tc>
      </w:tr>
    </w:tbl>
    <w:p>
      <w:pPr>
        <w:spacing w:after="60"/>
      </w:pPr>
    </w:p>
    <w:p>
      <w:pPr>
        <w:pStyle w:val="Heading2"/>
        <w:keepNext/>
        <w:spacing w:after="120" w:before="240"/>
      </w:pPr>
      <w:r>
        <w:rPr>
          <w:rFonts w:ascii="Verdana" w:cs="Verdana" w:eastAsia="Verdana" w:hAnsi="Verdana"/>
        </w:rPr>
        <w:t xml:space="preserve">17.8 Credit notes: section 34(2) and the IMS declaration</w:t>
      </w:r>
    </w:p>
    <w:p>
      <w:pPr>
        <w:spacing w:after="120" w:line="276"/>
        <w:jc w:val="both"/>
      </w:pPr>
      <w:r>
        <w:rPr>
          <w:rFonts w:ascii="Verdana" w:cs="Verdana" w:eastAsia="Verdana" w:hAnsi="Verdana"/>
        </w:rPr>
        <w:t xml:space="preserve">The Finance Act, 2025 amended section 34(2) from 1 October 2025: a supplier may reduce output tax on a credit note only if the recipient has reversed the related credit, where it was availed. From the October 2025 tax period, the recipient states in IMS, when accepting a credit note, whether credit is to be reduced and by how much, with a remark for partial or no reversal. A rejected credit note increases the supplier's liability in the next GSTR-3B.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108: Credit note with and without reversal</w:t>
            </w:r>
          </w:p>
          <w:p>
            <w:pPr>
              <w:spacing w:after="60" w:line="260"/>
            </w:pPr>
            <w:r>
              <w:rPr>
                <w:rFonts w:ascii="Verdana" w:cs="Verdana" w:eastAsia="Verdana" w:hAnsi="Verdana"/>
                <w:sz w:val="20"/>
                <w:szCs w:val="20"/>
              </w:rPr>
              <w:t xml:space="preserve">Nisha Polymers, Silvassa, issues a credit note for a volume discount (agreed in the contract and linked to invoices) of Rs. 1,00,000 plus IGST Rs. 18,000 to each of three buyers in November 2026.</w:t>
            </w:r>
          </w:p>
          <w:p>
            <w:pPr>
              <w:spacing w:after="60" w:line="260"/>
            </w:pPr>
            <w:r>
              <w:rPr>
                <w:rFonts w:ascii="Verdana" w:cs="Verdana" w:eastAsia="Verdana" w:hAnsi="Verdana"/>
                <w:sz w:val="20"/>
                <w:szCs w:val="20"/>
              </w:rPr>
              <w:t xml:space="preserve">(a) Anand Plastics had taken full credit. It accepts the credit note in IMS and reverses Rs. 18,000. Nisha reduces its output tax by Rs. 18,000.</w:t>
            </w:r>
          </w:p>
          <w:p>
            <w:pPr>
              <w:spacing w:after="60" w:line="260"/>
            </w:pPr>
            <w:r>
              <w:rPr>
                <w:rFonts w:ascii="Verdana" w:cs="Verdana" w:eastAsia="Verdana" w:hAnsi="Verdana"/>
                <w:sz w:val="20"/>
                <w:szCs w:val="20"/>
              </w:rPr>
              <w:t xml:space="preserve">(b) Sunrise Hotels had not taken credit on the original invoice because the goods were used for a blocked purpose. It accepts, answers "No" to reduction and records the reason. Nisha may still reduce its tax by Rs. 18,000, because no credit was availed.</w:t>
            </w:r>
          </w:p>
          <w:p>
            <w:pPr>
              <w:spacing w:after="60" w:line="260"/>
            </w:pPr>
            <w:r>
              <w:rPr>
                <w:rFonts w:ascii="Verdana" w:cs="Verdana" w:eastAsia="Verdana" w:hAnsi="Verdana"/>
                <w:sz w:val="20"/>
                <w:szCs w:val="20"/>
              </w:rPr>
              <w:t xml:space="preserve">(c) Balaji Traders disputes the discount and rejects the credit note. Nisha's GSTR-3B liability for the next period goes up by Rs. 18,000 until the matter is settled.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Credit relating to non-business use or exempt supplies must not be kept; zero-rated supplies are treated as taxable.</w:t>
            </w:r>
          </w:p>
          <w:p>
            <w:pPr>
              <w:spacing w:after="60" w:line="260"/>
            </w:pPr>
            <w:r>
              <w:rPr>
                <w:rFonts w:ascii="Verdana" w:cs="Verdana" w:eastAsia="Verdana" w:hAnsi="Verdana"/>
                <w:sz w:val="20"/>
                <w:szCs w:val="20"/>
              </w:rPr>
              <w:t xml:space="preserve">•  Exempt supply value includes reverse charge supplies, securities at 1%, and land and buildings at stamp duty value, but not most Schedule III items or interest on loans for non-banking entities.</w:t>
            </w:r>
          </w:p>
          <w:p>
            <w:pPr>
              <w:spacing w:after="60" w:line="260"/>
            </w:pPr>
            <w:r>
              <w:rPr>
                <w:rFonts w:ascii="Verdana" w:cs="Verdana" w:eastAsia="Verdana" w:hAnsi="Verdana"/>
                <w:sz w:val="20"/>
                <w:szCs w:val="20"/>
              </w:rPr>
              <w:t xml:space="preserve">•  Rule 42 splits common credit monthly (D1 = E/F x C2; D2 = 5%), with an annual true-up by September and interest on short reversal from 1 April.</w:t>
            </w:r>
          </w:p>
          <w:p>
            <w:pPr>
              <w:spacing w:after="60" w:line="260"/>
            </w:pPr>
            <w:r>
              <w:rPr>
                <w:rFonts w:ascii="Verdana" w:cs="Verdana" w:eastAsia="Verdana" w:hAnsi="Verdana"/>
                <w:sz w:val="20"/>
                <w:szCs w:val="20"/>
              </w:rPr>
              <w:t xml:space="preserve">•  Rule 43 spreads common credit on capital goods over 60 months and reverses Te = E/F x Tr each month.</w:t>
            </w:r>
          </w:p>
          <w:p>
            <w:pPr>
              <w:spacing w:after="60" w:line="260"/>
            </w:pPr>
            <w:r>
              <w:rPr>
                <w:rFonts w:ascii="Verdana" w:cs="Verdana" w:eastAsia="Verdana" w:hAnsi="Verdana"/>
                <w:sz w:val="20"/>
                <w:szCs w:val="20"/>
              </w:rPr>
              <w:t xml:space="preserve">•  Banks and NBFCs may take 50% of credit under section 17(4) instead of the formula.</w:t>
            </w:r>
          </w:p>
          <w:p>
            <w:pPr>
              <w:spacing w:after="60" w:line="260"/>
            </w:pPr>
            <w:r>
              <w:rPr>
                <w:rFonts w:ascii="Verdana" w:cs="Verdana" w:eastAsia="Verdana" w:hAnsi="Verdana"/>
                <w:sz w:val="20"/>
                <w:szCs w:val="20"/>
              </w:rPr>
              <w:t xml:space="preserve">•  On switching to composition or exempt supplies, reverse credit on stock and the unexpired life of capital goods through ITC-03 (rule 44).</w:t>
            </w:r>
          </w:p>
          <w:p>
            <w:pPr>
              <w:spacing w:after="60" w:line="260"/>
            </w:pPr>
            <w:r>
              <w:rPr>
                <w:rFonts w:ascii="Verdana" w:cs="Verdana" w:eastAsia="Verdana" w:hAnsi="Verdana"/>
                <w:sz w:val="20"/>
                <w:szCs w:val="20"/>
              </w:rPr>
              <w:t xml:space="preserve">•  On sale of capital goods, pay the higher of credit less 5 percentage points per quarter and tax on transaction value; on credit notes, the supplier's reduction depends on the recipient's reversal in IMS.</w:t>
            </w:r>
          </w:p>
        </w:tc>
      </w:tr>
    </w:tbl>
    <w:p>
      <w:pPr>
        <w:pStyle w:val="Heading1"/>
        <w:pageBreakBefore/>
        <w:spacing w:after="200" w:before="0"/>
      </w:pPr>
      <w:r>
        <w:rPr>
          <w:rFonts w:ascii="Verdana" w:cs="Verdana" w:eastAsia="Verdana" w:hAnsi="Verdana"/>
        </w:rPr>
        <w:t xml:space="preserve">18. Special Cases of Input Tax Credit (Sections 18, 19, 20 and 143)</w:t>
      </w:r>
    </w:p>
    <w:p>
      <w:pPr>
        <w:spacing w:after="120" w:line="276"/>
        <w:jc w:val="both"/>
      </w:pPr>
      <w:r>
        <w:rPr>
          <w:rFonts w:ascii="Verdana" w:cs="Verdana" w:eastAsia="Verdana" w:hAnsi="Verdana"/>
        </w:rPr>
        <w:t xml:space="preserve">This chapter covers credit outside the normal monthly cycle: new registration, leaving composition, change in constitution, job work, head office distribution, and some recurring practical cases.</w:t>
      </w:r>
    </w:p>
    <w:p>
      <w:pPr>
        <w:pStyle w:val="Heading2"/>
        <w:keepNext/>
        <w:spacing w:after="120" w:before="240"/>
      </w:pPr>
      <w:r>
        <w:rPr>
          <w:rFonts w:ascii="Verdana" w:cs="Verdana" w:eastAsia="Verdana" w:hAnsi="Verdana"/>
        </w:rPr>
        <w:t xml:space="preserve">18.1 New registration and exempt goods becoming taxable: section 18(1)</w:t>
      </w:r>
    </w:p>
    <w:p>
      <w:pPr>
        <w:spacing w:after="120" w:line="276"/>
        <w:jc w:val="both"/>
      </w:pPr>
      <w:r>
        <w:rPr>
          <w:rFonts w:ascii="Verdana" w:cs="Verdana" w:eastAsia="Verdana" w:hAnsi="Verdana"/>
        </w:rPr>
        <w:t xml:space="preserve">Section 18(1) allows credit on stock held on the day before a person enters the taxable net.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000"/>
        <w:gridCol w:w="2238"/>
      </w:tblGrid>
      <w:tr>
        <w:trPr>
          <w:cantSplit/>
          <w:tblHeader/>
        </w:trPr>
        <w:tc>
          <w:tcPr>
            <w:tcW w:type="dxa" w:w="11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Clause</w:t>
            </w:r>
          </w:p>
        </w:tc>
        <w:tc>
          <w:tcPr>
            <w:tcW w:type="dxa" w:w="33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Situation</w:t>
            </w:r>
          </w:p>
        </w:tc>
        <w:tc>
          <w:tcPr>
            <w:tcW w:type="dxa" w:w="3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Credit on</w:t>
            </w:r>
          </w:p>
        </w:tc>
        <w:tc>
          <w:tcPr>
            <w:tcW w:type="dxa" w:w="2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Relevant day</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18(1)(a)</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Person applies for registration within 30 days of becoming liable and gets it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Inputs in stock, in semi-finished and in finished goods</w:t>
            </w:r>
          </w:p>
        </w:tc>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Day before he became liable to pay tax</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18(1)(b)</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Voluntary registration under section 25(3)</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Inputs in stock, in semi-finished and in finished goods</w:t>
            </w:r>
          </w:p>
        </w:tc>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Day before grant of registration</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18(1)(c)</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Composition taxpayer becomes liable under section 9</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Inputs as above and capital goods</w:t>
            </w:r>
          </w:p>
        </w:tc>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Day before he becomes liable under section 9</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18(1)(d)</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supply becomes taxable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Inputs as above and capital goods used exclusively for the exempt supply</w:t>
            </w:r>
          </w:p>
        </w:tc>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Day before the supply becomes taxable</w:t>
            </w:r>
          </w:p>
        </w:tc>
      </w:tr>
    </w:tbl>
    <w:p>
      <w:pPr>
        <w:spacing w:after="60"/>
      </w:pPr>
    </w:p>
    <w:p>
      <w:pPr>
        <w:spacing w:after="120" w:line="276"/>
        <w:jc w:val="both"/>
      </w:pPr>
      <w:r>
        <w:rPr>
          <w:rFonts w:ascii="Verdana" w:cs="Verdana" w:eastAsia="Verdana" w:hAnsi="Verdana"/>
        </w:rPr>
        <w:t xml:space="preserve">Under section 18(2), no credit is available after one year from the invoice date. The claim is filed in form GST ITC-01 within 30 days of becoming eligible (rule 40), with a chartered accountant's or cost accountant's certificate if it exceeds Rs. 2 lakh. For capital goods under clauses (c) and (d), credit is reduced by 5 percentage points per quarter or part quarter from the invoice 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109: Moving out of composition</w:t>
            </w:r>
          </w:p>
          <w:p>
            <w:pPr>
              <w:spacing w:after="60" w:line="260"/>
            </w:pPr>
            <w:r>
              <w:rPr>
                <w:rFonts w:ascii="Verdana" w:cs="Verdana" w:eastAsia="Verdana" w:hAnsi="Verdana"/>
                <w:sz w:val="20"/>
                <w:szCs w:val="20"/>
              </w:rPr>
              <w:t xml:space="preserve">Dev Furnishings, a composition dealer, crosses Rs. 1.5 crore and becomes liable to pay tax under section 9 from 1 September 2026. Stock and assets on 31 August 2026:</w:t>
            </w:r>
          </w:p>
          <w:p>
            <w:pPr>
              <w:spacing w:after="60" w:line="260"/>
            </w:pPr>
            <w:r>
              <w:rPr>
                <w:rFonts w:ascii="Verdana" w:cs="Verdana" w:eastAsia="Verdana" w:hAnsi="Verdana"/>
                <w:sz w:val="20"/>
                <w:szCs w:val="20"/>
              </w:rPr>
              <w:t xml:space="preserve">Step 1: Inputs in stock with invoices dated after 31 August 2025: credit Rs. 60,000. Eligible.</w:t>
            </w:r>
          </w:p>
          <w:p>
            <w:pPr>
              <w:spacing w:after="60" w:line="260"/>
            </w:pPr>
            <w:r>
              <w:rPr>
                <w:rFonts w:ascii="Verdana" w:cs="Verdana" w:eastAsia="Verdana" w:hAnsi="Verdana"/>
                <w:sz w:val="20"/>
                <w:szCs w:val="20"/>
              </w:rPr>
              <w:t xml:space="preserve">Step 2: Inputs with an invoice dated 1 July 2025: credit Rs. 8,000. Not eligible: more than one year from the invoice date.</w:t>
            </w:r>
          </w:p>
          <w:p>
            <w:pPr>
              <w:spacing w:after="60" w:line="260"/>
            </w:pPr>
            <w:r>
              <w:rPr>
                <w:rFonts w:ascii="Verdana" w:cs="Verdana" w:eastAsia="Verdana" w:hAnsi="Verdana"/>
                <w:sz w:val="20"/>
                <w:szCs w:val="20"/>
              </w:rPr>
              <w:t xml:space="preserve">Step 3: Showroom racks and a billing system bought on 20 October 2025, credit Rs. 1,00,000. Quarters or part quarters from 20 October 2025 to 31 August 2026 = 4. Reduction 20 percentage points. Eligible = Rs. 80,000.</w:t>
            </w:r>
          </w:p>
          <w:p>
            <w:pPr>
              <w:spacing w:after="60" w:line="260"/>
            </w:pPr>
            <w:r>
              <w:rPr>
                <w:rFonts w:ascii="Verdana" w:cs="Verdana" w:eastAsia="Verdana" w:hAnsi="Verdana"/>
                <w:sz w:val="20"/>
                <w:szCs w:val="20"/>
              </w:rPr>
              <w:t xml:space="preserve">Result: ITC-01 claim = Rs. 60,000 + Rs. 80,000 = Rs. 1,40,000, filed within 30 days. No certificate is needed as the claim is below Rs. 2 lakh.</w:t>
            </w:r>
          </w:p>
        </w:tc>
      </w:tr>
    </w:tbl>
    <w:p>
      <w:pPr>
        <w:spacing w:after="60"/>
      </w:pPr>
    </w:p>
    <w:p>
      <w:pPr>
        <w:pStyle w:val="Heading2"/>
        <w:keepNext/>
        <w:spacing w:after="120" w:before="240"/>
      </w:pPr>
      <w:r>
        <w:rPr>
          <w:rFonts w:ascii="Verdana" w:cs="Verdana" w:eastAsia="Verdana" w:hAnsi="Verdana"/>
        </w:rPr>
        <w:t xml:space="preserve">18.2 Change in constitution, merger, demerger and sale of business: section 18(3) and rule 41</w:t>
      </w:r>
    </w:p>
    <w:p>
      <w:pPr>
        <w:spacing w:after="120" w:line="276"/>
        <w:jc w:val="both"/>
      </w:pPr>
      <w:r>
        <w:rPr>
          <w:rFonts w:ascii="Verdana" w:cs="Verdana" w:eastAsia="Verdana" w:hAnsi="Verdana"/>
        </w:rPr>
        <w:t xml:space="preserve">Where a business is sold, merged, demerged, amalgamated, leased or transferred with provision for transfer of liabilities, the unused credit moves to the transferee. The transferor files form GST ITC-02 with a professional's certificate, and the transferee accepts it on the portal (rule 41). In a demerger, credit is split in the ratio of the value of assets of the new units in the scheme, taking the entire assets whether or not credit was taken on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110: Credit transfer on demerger</w:t>
            </w:r>
          </w:p>
          <w:p>
            <w:pPr>
              <w:spacing w:after="60" w:line="260"/>
            </w:pPr>
            <w:r>
              <w:rPr>
                <w:rFonts w:ascii="Verdana" w:cs="Verdana" w:eastAsia="Verdana" w:hAnsi="Verdana"/>
                <w:sz w:val="20"/>
                <w:szCs w:val="20"/>
              </w:rPr>
              <w:t xml:space="preserve">Bharat Cables Ltd., Gujarat, demerges its wire harness unit into Bharat Harness Ltd. under a scheme approved by the NCLT. Unused credit in Bharat Cables' Gujarat registration is Rs. 45,00,000.</w:t>
            </w:r>
          </w:p>
          <w:p>
            <w:pPr>
              <w:spacing w:after="60" w:line="260"/>
            </w:pPr>
            <w:r>
              <w:rPr>
                <w:rFonts w:ascii="Verdana" w:cs="Verdana" w:eastAsia="Verdana" w:hAnsi="Verdana"/>
                <w:sz w:val="20"/>
                <w:szCs w:val="20"/>
              </w:rPr>
              <w:t xml:space="preserve">Step 1: Value of assets of the demerged unit as per the scheme Rs. 30 crore; value of assets remaining with Bharat Cables Rs. 70 crore. Ratio 30:70.</w:t>
            </w:r>
          </w:p>
          <w:p>
            <w:pPr>
              <w:spacing w:after="60" w:line="260"/>
            </w:pPr>
            <w:r>
              <w:rPr>
                <w:rFonts w:ascii="Verdana" w:cs="Verdana" w:eastAsia="Verdana" w:hAnsi="Verdana"/>
                <w:sz w:val="20"/>
                <w:szCs w:val="20"/>
              </w:rPr>
              <w:t xml:space="preserve">Step 2: Credit transferable = Rs. 45,00,000 x 30% = Rs. 13,50,000.</w:t>
            </w:r>
          </w:p>
          <w:p>
            <w:pPr>
              <w:spacing w:after="60" w:line="260"/>
            </w:pPr>
            <w:r>
              <w:rPr>
                <w:rFonts w:ascii="Verdana" w:cs="Verdana" w:eastAsia="Verdana" w:hAnsi="Verdana"/>
                <w:sz w:val="20"/>
                <w:szCs w:val="20"/>
              </w:rPr>
              <w:t xml:space="preserve">Result: Bharat Cables files ITC-02 for Rs. 13,50,000, and Bharat Harness accepts it in its Gujarat registration. Credit in other States moves State by State.</w:t>
            </w:r>
          </w:p>
        </w:tc>
      </w:tr>
    </w:tbl>
    <w:p>
      <w:pPr>
        <w:spacing w:after="60"/>
      </w:pPr>
    </w:p>
    <w:p>
      <w:pPr>
        <w:pStyle w:val="Heading2"/>
        <w:keepNext/>
        <w:spacing w:after="120" w:before="240"/>
      </w:pPr>
      <w:r>
        <w:rPr>
          <w:rFonts w:ascii="Verdana" w:cs="Verdana" w:eastAsia="Verdana" w:hAnsi="Verdana"/>
        </w:rPr>
        <w:t xml:space="preserve">18.3 Job work: sections 19 and 143</w:t>
      </w:r>
    </w:p>
    <w:p>
      <w:pPr>
        <w:spacing w:after="120" w:line="276"/>
        <w:jc w:val="both"/>
      </w:pPr>
      <w:r>
        <w:rPr>
          <w:rFonts w:ascii="Verdana" w:cs="Verdana" w:eastAsia="Verdana" w:hAnsi="Verdana"/>
        </w:rPr>
        <w:t xml:space="preserve">A principal may send inputs and capital goods to a job worker without tax and keep the credit, and inputs may go directly from the supplier to the job worker. Inputs must return within </w:t>
      </w:r>
      <w:r>
        <w:rPr>
          <w:rFonts w:ascii="Verdana" w:cs="Verdana" w:eastAsia="Verdana" w:hAnsi="Verdana"/>
          <w:b/>
          <w:bCs/>
        </w:rPr>
        <w:t xml:space="preserve">one year</w:t>
      </w:r>
      <w:r>
        <w:rPr>
          <w:rFonts w:ascii="Verdana" w:cs="Verdana" w:eastAsia="Verdana" w:hAnsi="Verdana"/>
        </w:rPr>
        <w:t xml:space="preserve"> and capital goods within </w:t>
      </w:r>
      <w:r>
        <w:rPr>
          <w:rFonts w:ascii="Verdana" w:cs="Verdana" w:eastAsia="Verdana" w:hAnsi="Verdana"/>
          <w:b/>
          <w:bCs/>
        </w:rPr>
        <w:t xml:space="preserve">three years</w:t>
      </w:r>
      <w:r>
        <w:rPr>
          <w:rFonts w:ascii="Verdana" w:cs="Verdana" w:eastAsia="Verdana" w:hAnsi="Verdana"/>
        </w:rPr>
        <w:t xml:space="preserve"> (moulds, dies, jigs, fixtures and tools excluded), counted from dispatch or from receipt by the job worker for direct supplies. Otherwise they are deemed supplied by the principal on the day they were sent out. The tax belongs to the return for that month, so interest runs from the day after its due date. Form GST ITC-04 is filed half-yearly (25 October and 25 April) if aggregate turnover exceeds Rs. 5 crore, and annually (25 April) for others.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111: Inputs not returned within one year</w:t>
            </w:r>
          </w:p>
          <w:p>
            <w:pPr>
              <w:spacing w:after="60" w:line="260"/>
            </w:pPr>
            <w:r>
              <w:rPr>
                <w:rFonts w:ascii="Verdana" w:cs="Verdana" w:eastAsia="Verdana" w:hAnsi="Verdana"/>
                <w:sz w:val="20"/>
                <w:szCs w:val="20"/>
              </w:rPr>
              <w:t xml:space="preserve">Ranade Castings, Kolhapur, sends aluminium ingots worth Rs. 4,00,000 to a job worker on 10 June 2025 under a delivery challan. The finished castings have not come back by 9 June 2026.</w:t>
            </w:r>
          </w:p>
          <w:p>
            <w:pPr>
              <w:spacing w:after="60" w:line="260"/>
            </w:pPr>
            <w:r>
              <w:rPr>
                <w:rFonts w:ascii="Verdana" w:cs="Verdana" w:eastAsia="Verdana" w:hAnsi="Verdana"/>
                <w:sz w:val="20"/>
                <w:szCs w:val="20"/>
              </w:rPr>
              <w:t xml:space="preserve">Step 1: Deemed supply on 10 June 2025. Tax at 18% = Rs. 72,000 (CGST Rs. 36,000 + SGST Rs. 36,000).</w:t>
            </w:r>
          </w:p>
          <w:p>
            <w:pPr>
              <w:spacing w:after="60" w:line="260"/>
            </w:pPr>
            <w:r>
              <w:rPr>
                <w:rFonts w:ascii="Verdana" w:cs="Verdana" w:eastAsia="Verdana" w:hAnsi="Verdana"/>
                <w:sz w:val="20"/>
                <w:szCs w:val="20"/>
              </w:rPr>
              <w:t xml:space="preserve">Step 2: Tax was due with the June 2025 GSTR-3B on 20 July 2025. Ranade pays on 20 July 2026: 365 days late.</w:t>
            </w:r>
          </w:p>
          <w:p>
            <w:pPr>
              <w:spacing w:after="60" w:line="260"/>
            </w:pPr>
            <w:r>
              <w:rPr>
                <w:rFonts w:ascii="Verdana" w:cs="Verdana" w:eastAsia="Verdana" w:hAnsi="Verdana"/>
                <w:sz w:val="20"/>
                <w:szCs w:val="20"/>
              </w:rPr>
              <w:t xml:space="preserve">Step 3: Interest = Rs. 72,000 x 18% x 365 / 365 = Rs. 12,960.</w:t>
            </w:r>
          </w:p>
          <w:p>
            <w:pPr>
              <w:spacing w:after="60" w:line="260"/>
            </w:pPr>
            <w:r>
              <w:rPr>
                <w:rFonts w:ascii="Verdana" w:cs="Verdana" w:eastAsia="Verdana" w:hAnsi="Verdana"/>
                <w:sz w:val="20"/>
                <w:szCs w:val="20"/>
              </w:rPr>
              <w:t xml:space="preserve">Result: Total payment Rs. 84,960, supported by an invoice for the deemed supply.</w:t>
            </w:r>
          </w:p>
        </w:tc>
      </w:tr>
    </w:tbl>
    <w:p>
      <w:pPr>
        <w:spacing w:after="60"/>
      </w:pPr>
    </w:p>
    <w:p>
      <w:pPr>
        <w:pStyle w:val="Heading2"/>
        <w:keepNext/>
        <w:spacing w:after="120" w:before="240"/>
      </w:pPr>
      <w:r>
        <w:rPr>
          <w:rFonts w:ascii="Verdana" w:cs="Verdana" w:eastAsia="Verdana" w:hAnsi="Verdana"/>
        </w:rPr>
        <w:t xml:space="preserve">18.4 Input Service Distributor: section 20 and rule 39</w:t>
      </w:r>
    </w:p>
    <w:p>
      <w:pPr>
        <w:spacing w:after="120" w:line="276"/>
        <w:jc w:val="both"/>
      </w:pPr>
      <w:r>
        <w:rPr>
          <w:rFonts w:ascii="Verdana" w:cs="Verdana" w:eastAsia="Verdana" w:hAnsi="Verdana"/>
        </w:rPr>
        <w:t xml:space="preserve">Common services received at a head office (audit, advertising, software, legal advice) are used by all State registrations. The Input Service Distributor (ISD) moves the credit to them. The Finance Act, 2024 amended sections 2(61) and 20 to make ISD registration </w:t>
      </w:r>
      <w:r>
        <w:rPr>
          <w:rFonts w:ascii="Verdana" w:cs="Verdana" w:eastAsia="Verdana" w:hAnsi="Verdana"/>
          <w:b/>
          <w:bCs/>
        </w:rPr>
        <w:t xml:space="preserve">mandatory from 1 April 2025</w:t>
      </w:r>
      <w:r>
        <w:rPr>
          <w:rFonts w:ascii="Verdana" w:cs="Verdana" w:eastAsia="Verdana" w:hAnsi="Verdana"/>
        </w:rPr>
        <w:t xml:space="preserve"> for common third-party input services, including tax paid under reverse charge, and the Finance Act, 2025 added IGST paid under reverse charge (sections 5(3) and 5(4) of the IGST Act). Reverse charge is paid by the normal registration, which passes the credit to the ISD by issuing an invoice under rule 39(1A).</w:t>
      </w:r>
    </w:p>
    <w:p>
      <w:pPr>
        <w:spacing w:after="120" w:line="276"/>
        <w:jc w:val="both"/>
      </w:pPr>
      <w:r>
        <w:rPr>
          <w:rFonts w:ascii="Verdana" w:cs="Verdana" w:eastAsia="Verdana" w:hAnsi="Verdana"/>
        </w:rPr>
        <w:t xml:space="preserve">Under rule 39, credit is distributed in the month it is available. Credit for a specific branch goes only to it; common credit goes to the operational branches concerned in the ratio of their State turnover for the relevant period (normally the preceding year). CGST and SGST go as CGST and SGST to a branch in the ISD's State and as IGST to other States; IGST goes as IGST. The ISD issues ISD invoices and files GSTR-6 by the 13th.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112: ISD with three State registrations</w:t>
            </w:r>
          </w:p>
          <w:p>
            <w:pPr>
              <w:spacing w:after="60" w:line="260"/>
            </w:pPr>
            <w:r>
              <w:rPr>
                <w:rFonts w:ascii="Verdana" w:cs="Verdana" w:eastAsia="Verdana" w:hAnsi="Verdana"/>
                <w:sz w:val="20"/>
                <w:szCs w:val="20"/>
              </w:rPr>
              <w:t xml:space="preserve">Kaveri Foods Ltd. has its ISD registration in Mumbai and units in Gujarat, Karnataka and Maharashtra. Turnover in FY 2025-26: Gujarat Rs. 6 crore, Karnataka Rs. 3 crore, Maharashtra Rs. 1 crore (ratio 60:30:10). Common services in October 2026:</w:t>
            </w:r>
          </w:p>
          <w:p>
            <w:pPr>
              <w:spacing w:after="60" w:line="260"/>
            </w:pPr>
            <w:r>
              <w:rPr>
                <w:rFonts w:ascii="Verdana" w:cs="Verdana" w:eastAsia="Verdana" w:hAnsi="Verdana"/>
                <w:sz w:val="20"/>
                <w:szCs w:val="20"/>
              </w:rPr>
              <w:t xml:space="preserve">Step 1: Statutory audit by a Mumbai firm: CGST Rs. 90,000 + SGST Rs. 90,000. Advertising by a Delhi agency: IGST Rs. 90,000. Legal fees under reverse charge paid by the Mumbai normal registration: CGST Rs. 18,000 + SGST Rs. 18,000. Total credit = Rs. 3,06,000.</w:t>
            </w:r>
          </w:p>
          <w:p>
            <w:pPr>
              <w:spacing w:after="60" w:line="260"/>
            </w:pPr>
            <w:r>
              <w:rPr>
                <w:rFonts w:ascii="Verdana" w:cs="Verdana" w:eastAsia="Verdana" w:hAnsi="Verdana"/>
                <w:sz w:val="20"/>
                <w:szCs w:val="20"/>
              </w:rPr>
              <w:t xml:space="preserve">Step 2: Gujarat (60%): Rs. 1,83,600, all as IGST.</w:t>
            </w:r>
          </w:p>
          <w:p>
            <w:pPr>
              <w:spacing w:after="60" w:line="260"/>
            </w:pPr>
            <w:r>
              <w:rPr>
                <w:rFonts w:ascii="Verdana" w:cs="Verdana" w:eastAsia="Verdana" w:hAnsi="Verdana"/>
                <w:sz w:val="20"/>
                <w:szCs w:val="20"/>
              </w:rPr>
              <w:t xml:space="preserve">Step 3: Karnataka (30%): Rs. 91,800, all as IGST.</w:t>
            </w:r>
          </w:p>
          <w:p>
            <w:pPr>
              <w:spacing w:after="60" w:line="260"/>
            </w:pPr>
            <w:r>
              <w:rPr>
                <w:rFonts w:ascii="Verdana" w:cs="Verdana" w:eastAsia="Verdana" w:hAnsi="Verdana"/>
                <w:sz w:val="20"/>
                <w:szCs w:val="20"/>
              </w:rPr>
              <w:t xml:space="preserve">Step 4: Maharashtra (10%): CGST 10% of Rs. 1,08,000 = Rs. 10,800; SGST Rs. 10,800; IGST 10% of Rs. 90,000 = Rs. 9,000. Total Rs. 30,600.</w:t>
            </w:r>
          </w:p>
          <w:p>
            <w:pPr>
              <w:spacing w:after="60" w:line="260"/>
            </w:pPr>
            <w:r>
              <w:rPr>
                <w:rFonts w:ascii="Verdana" w:cs="Verdana" w:eastAsia="Verdana" w:hAnsi="Verdana"/>
                <w:sz w:val="20"/>
                <w:szCs w:val="20"/>
              </w:rPr>
              <w:t xml:space="preserve">Result: Total distributed = Rs. 1,83,600 + Rs. 91,800 + Rs. 30,600 = Rs. 3,06,000. ISD invoices are issued in October 2026 and GSTR-6 is filed by 13 November 2026.</w:t>
            </w:r>
          </w:p>
        </w:tc>
      </w:tr>
    </w:tbl>
    <w:p>
      <w:pPr>
        <w:spacing w:after="60"/>
      </w:pPr>
    </w:p>
    <w:p>
      <w:pPr>
        <w:pStyle w:val="Heading3"/>
        <w:keepNext/>
        <w:spacing w:after="80" w:before="160"/>
      </w:pPr>
      <w:r>
        <w:rPr>
          <w:rFonts w:ascii="Verdana" w:cs="Verdana" w:eastAsia="Verdana" w:hAnsi="Verdana"/>
        </w:rPr>
        <w:t xml:space="preserve">ISD versus cross charge</w:t>
      </w:r>
    </w:p>
    <w:p>
      <w:pPr>
        <w:spacing w:after="120" w:line="276"/>
        <w:jc w:val="both"/>
      </w:pPr>
      <w:r>
        <w:rPr>
          <w:rFonts w:ascii="Verdana" w:cs="Verdana" w:eastAsia="Verdana" w:hAnsi="Verdana"/>
        </w:rPr>
        <w:t xml:space="preserve">Cross charge is a taxable supply between distinct persons under Schedule I. CBIC Circular 199/11/2023-GST allowed third-party common services to be distributed by ISD or cross charged, and accepted the invoice value (even nil for employee costs) as open market value where the branch gets full credit. Since 2025, third-party common services must go through ISD; cross charge remains for the head office's own services.</w:t>
      </w:r>
    </w:p>
    <w:p>
      <w:pPr>
        <w:pStyle w:val="Heading2"/>
        <w:keepNext/>
        <w:spacing w:after="120" w:before="240"/>
      </w:pPr>
      <w:r>
        <w:rPr>
          <w:rFonts w:ascii="Verdana" w:cs="Verdana" w:eastAsia="Verdana" w:hAnsi="Verdana"/>
        </w:rPr>
        <w:t xml:space="preserve">18.5 Credit on zero-rated supplies</w:t>
      </w:r>
    </w:p>
    <w:p>
      <w:pPr>
        <w:spacing w:after="120" w:line="276"/>
        <w:jc w:val="both"/>
      </w:pPr>
      <w:r>
        <w:rPr>
          <w:rFonts w:ascii="Verdana" w:cs="Verdana" w:eastAsia="Verdana" w:hAnsi="Verdana"/>
        </w:rPr>
        <w:t xml:space="preserve">Section 16 of the IGST Act allows credit for zero-rated supplies. The exporter exports under a Letter of Undertaking and claims refund of unutilised credit, or pays IGST and claims its refund (Part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Refund of accumulated credit</w:t>
            </w:r>
          </w:p>
          <w:p>
            <w:pPr>
              <w:spacing w:after="60" w:line="260"/>
            </w:pPr>
            <w:r>
              <w:rPr>
                <w:rFonts w:ascii="Verdana" w:cs="Verdana" w:eastAsia="Verdana" w:hAnsi="Verdana"/>
                <w:b/>
                <w:bCs/>
                <w:sz w:val="20"/>
                <w:szCs w:val="20"/>
              </w:rPr>
              <w:t xml:space="preserve">Union of India v. VKC Footsteps India (P) Ltd. (Supreme Court, 2021):</w:t>
            </w:r>
            <w:r>
              <w:rPr>
                <w:rFonts w:ascii="Verdana" w:cs="Verdana" w:eastAsia="Verdana" w:hAnsi="Verdana"/>
                <w:sz w:val="20"/>
                <w:szCs w:val="20"/>
              </w:rPr>
              <w:t xml:space="preserve"> The Court upheld the formula in rule 89(5) for refund of unutilised credit under the inverted duty structure and held that section 54(3) permits refund only of credit on inputs, not on input services. For exports under a Letter of Undertaking, section 54(3)(i) covers credit on inputs and input services, which is why credit planning differs between exporters and domestic manufacturers with inverted rates.</w:t>
            </w:r>
          </w:p>
        </w:tc>
      </w:tr>
    </w:tbl>
    <w:p>
      <w:pPr>
        <w:spacing w:after="60"/>
      </w:pPr>
    </w:p>
    <w:p>
      <w:pPr>
        <w:pStyle w:val="Heading2"/>
        <w:keepNext/>
        <w:spacing w:after="120" w:before="240"/>
      </w:pPr>
      <w:r>
        <w:rPr>
          <w:rFonts w:ascii="Verdana" w:cs="Verdana" w:eastAsia="Verdana" w:hAnsi="Verdana"/>
        </w:rPr>
        <w:t xml:space="preserve">18.6 Fire, warranty and promotional items</w:t>
      </w:r>
    </w:p>
    <w:p>
      <w:pPr>
        <w:spacing w:after="120" w:line="276"/>
        <w:jc w:val="both"/>
      </w:pPr>
      <w:r>
        <w:rPr>
          <w:rFonts w:ascii="Verdana" w:cs="Verdana" w:eastAsia="Verdana" w:hAnsi="Verdana"/>
          <w:b/>
          <w:bCs/>
        </w:rPr>
        <w:t xml:space="preserve">Goods destroyed in fire.</w:t>
      </w:r>
      <w:r>
        <w:rPr>
          <w:rFonts w:ascii="Verdana" w:cs="Verdana" w:eastAsia="Verdana" w:hAnsi="Verdana"/>
        </w:rPr>
        <w:t xml:space="preserve"> Credit on inputs and inputs in finished goods destroyed must be reversed under section 17(5)(h) whether or not insurance is received (see the flood illustration in chapter 2). For destroyed capital goods, the department applies clause (h) too, and a common practice is to reverse credit for the remaining useful life. The point is not settled; record the basis in the working papers.</w:t>
      </w:r>
    </w:p>
    <w:p>
      <w:pPr>
        <w:spacing w:after="120" w:line="276"/>
        <w:jc w:val="both"/>
      </w:pPr>
      <w:r>
        <w:rPr>
          <w:rFonts w:ascii="Verdana" w:cs="Verdana" w:eastAsia="Verdana" w:hAnsi="Verdana"/>
          <w:b/>
          <w:bCs/>
        </w:rPr>
        <w:t xml:space="preserve">Warranty replacements.</w:t>
      </w:r>
      <w:r>
        <w:rPr>
          <w:rFonts w:ascii="Verdana" w:cs="Verdana" w:eastAsia="Verdana" w:hAnsi="Verdana"/>
        </w:rPr>
        <w:t xml:space="preserve"> CBIC Circular 195/07/2023-GST clarified that free replacement of parts or goods under warranty attracts no GST and needs no credit reversal, including where a distributor replaces from its own stock and is replenished free. If the distributor charges the manufacturer, that is a taxable supply, as is an extended warranty sold separately.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113: Warranty and extended warranty</w:t>
            </w:r>
          </w:p>
          <w:p>
            <w:pPr>
              <w:spacing w:after="60" w:line="260"/>
            </w:pPr>
            <w:r>
              <w:rPr>
                <w:rFonts w:ascii="Verdana" w:cs="Verdana" w:eastAsia="Verdana" w:hAnsi="Verdana"/>
                <w:sz w:val="20"/>
                <w:szCs w:val="20"/>
              </w:rPr>
              <w:t xml:space="preserve">Sunshine Appliances sells an air conditioner for Rs. 40,000 plus 18% (Rs. 7,200) with a one-year warranty. In the eighth month the compressor fails.</w:t>
            </w:r>
          </w:p>
          <w:p>
            <w:pPr>
              <w:spacing w:after="60" w:line="260"/>
            </w:pPr>
            <w:r>
              <w:rPr>
                <w:rFonts w:ascii="Verdana" w:cs="Verdana" w:eastAsia="Verdana" w:hAnsi="Verdana"/>
                <w:sz w:val="20"/>
                <w:szCs w:val="20"/>
              </w:rPr>
              <w:t xml:space="preserve">Step 1: The authorised dealer replaces the compressor from Sunshine's stock free of charge. No GST on the replacement; Sunshine keeps the credit on the compressor.</w:t>
            </w:r>
          </w:p>
          <w:p>
            <w:pPr>
              <w:spacing w:after="60" w:line="260"/>
            </w:pPr>
            <w:r>
              <w:rPr>
                <w:rFonts w:ascii="Verdana" w:cs="Verdana" w:eastAsia="Verdana" w:hAnsi="Verdana"/>
                <w:sz w:val="20"/>
                <w:szCs w:val="20"/>
              </w:rPr>
              <w:t xml:space="preserve">Step 2: The customer buys a two-year extended warranty for Rs. 5,000. GST at 18% = Rs. 900 is payable on it.</w:t>
            </w:r>
          </w:p>
          <w:p>
            <w:pPr>
              <w:spacing w:after="60" w:line="260"/>
            </w:pPr>
            <w:r>
              <w:rPr>
                <w:rFonts w:ascii="Verdana" w:cs="Verdana" w:eastAsia="Verdana" w:hAnsi="Verdana"/>
                <w:sz w:val="20"/>
                <w:szCs w:val="20"/>
              </w:rPr>
              <w:t xml:space="preserve">Result: Output tax on the extended warranty Rs. 900; no reversal on the warranty part.</w:t>
            </w:r>
          </w:p>
        </w:tc>
      </w:tr>
    </w:tbl>
    <w:p>
      <w:pPr>
        <w:spacing w:after="60"/>
      </w:pPr>
    </w:p>
    <w:p>
      <w:pPr>
        <w:spacing w:after="120" w:line="276"/>
        <w:jc w:val="both"/>
      </w:pPr>
      <w:r>
        <w:rPr>
          <w:rFonts w:ascii="Verdana" w:cs="Verdana" w:eastAsia="Verdana" w:hAnsi="Verdana"/>
          <w:b/>
          <w:bCs/>
        </w:rPr>
        <w:t xml:space="preserve">Promotional items.</w:t>
      </w:r>
      <w:r>
        <w:rPr>
          <w:rFonts w:ascii="Verdana" w:cs="Verdana" w:eastAsia="Verdana" w:hAnsi="Verdana"/>
        </w:rPr>
        <w:t xml:space="preserve"> Free gifts and samples are blocked (section 17(5)(h)). Items forming part of one priced supply, such as buy-one-get-one, carry full credit (Circular 92/11/2019-GST). Display stands and similar assets lent to dealers remain business assets.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Section 18(1) gives credit on opening stock on new or voluntary registration, and on stock and capital goods when leaving composition or when an exempt supply becomes taxable; claim through ITC-01 within 30 days and within one year of the invoice.</w:t>
            </w:r>
          </w:p>
          <w:p>
            <w:pPr>
              <w:spacing w:after="60" w:line="260"/>
            </w:pPr>
            <w:r>
              <w:rPr>
                <w:rFonts w:ascii="Verdana" w:cs="Verdana" w:eastAsia="Verdana" w:hAnsi="Verdana"/>
                <w:sz w:val="20"/>
                <w:szCs w:val="20"/>
              </w:rPr>
              <w:t xml:space="preserve">•  On merger, demerger or sale of business, unused credit is transferred through ITC-02; in a demerger it is split in the ratio of asset values in the scheme.</w:t>
            </w:r>
          </w:p>
          <w:p>
            <w:pPr>
              <w:spacing w:after="60" w:line="260"/>
            </w:pPr>
            <w:r>
              <w:rPr>
                <w:rFonts w:ascii="Verdana" w:cs="Verdana" w:eastAsia="Verdana" w:hAnsi="Verdana"/>
                <w:sz w:val="20"/>
                <w:szCs w:val="20"/>
              </w:rPr>
              <w:t xml:space="preserve">•  Inputs must return from job work within one year and capital goods within three years, failing which they are deemed supplied on the date of dispatch and tax is payable with interest.</w:t>
            </w:r>
          </w:p>
          <w:p>
            <w:pPr>
              <w:spacing w:after="60" w:line="260"/>
            </w:pPr>
            <w:r>
              <w:rPr>
                <w:rFonts w:ascii="Verdana" w:cs="Verdana" w:eastAsia="Verdana" w:hAnsi="Verdana"/>
                <w:sz w:val="20"/>
                <w:szCs w:val="20"/>
              </w:rPr>
              <w:t xml:space="preserve">•  ISD registration is mandatory from 1 April 2025 for distributing common third-party input service credit, including reverse charge tax, in the ratio of State turnover.</w:t>
            </w:r>
          </w:p>
          <w:p>
            <w:pPr>
              <w:spacing w:after="60" w:line="260"/>
            </w:pPr>
            <w:r>
              <w:rPr>
                <w:rFonts w:ascii="Verdana" w:cs="Verdana" w:eastAsia="Verdana" w:hAnsi="Verdana"/>
                <w:sz w:val="20"/>
                <w:szCs w:val="20"/>
              </w:rPr>
              <w:t xml:space="preserve">•  Warranty replacements without charge need no reversal; extended warranties are taxable; gifts and free samples remain blocked.</w:t>
            </w:r>
          </w:p>
        </w:tc>
      </w:tr>
    </w:tbl>
    <w:p>
      <w:pPr>
        <w:pStyle w:val="Heading1"/>
        <w:pageBreakBefore/>
        <w:spacing w:after="200" w:before="0"/>
      </w:pPr>
      <w:r>
        <w:rPr>
          <w:rFonts w:ascii="Verdana" w:cs="Verdana" w:eastAsia="Verdana" w:hAnsi="Verdana"/>
        </w:rPr>
        <w:t xml:space="preserve">19. ITC Matching, IMS and Credit Restrictions</w:t>
      </w:r>
    </w:p>
    <w:p>
      <w:pPr>
        <w:spacing w:after="120" w:line="276"/>
        <w:jc w:val="both"/>
      </w:pPr>
      <w:r>
        <w:rPr>
          <w:rFonts w:ascii="Verdana" w:cs="Verdana" w:eastAsia="Verdana" w:hAnsi="Verdana"/>
        </w:rPr>
        <w:t xml:space="preserve">The original GSTR-2 and GSTR-3 matching was never made to work, and the law has moved to a system where the portal fixes how much credit a buyer may claim. This chapter covers GSTR-2A and 2B, IMS, GSTR-3B reporting, blocking of credit, rules 88C and 88D, and a full reconciliation.</w:t>
      </w:r>
    </w:p>
    <w:p>
      <w:pPr>
        <w:pStyle w:val="Heading2"/>
        <w:keepNext/>
        <w:spacing w:after="120" w:before="240"/>
      </w:pPr>
      <w:r>
        <w:rPr>
          <w:rFonts w:ascii="Verdana" w:cs="Verdana" w:eastAsia="Verdana" w:hAnsi="Verdana"/>
        </w:rPr>
        <w:t xml:space="preserve">19.1 GSTR-2A, GSTR-2B and the history of rule 36(4)</w:t>
      </w:r>
    </w:p>
    <w:p>
      <w:pPr>
        <w:spacing w:after="120" w:line="276"/>
        <w:jc w:val="both"/>
      </w:pPr>
      <w:r>
        <w:rPr>
          <w:rFonts w:ascii="Verdana" w:cs="Verdana" w:eastAsia="Verdana" w:hAnsi="Verdana"/>
        </w:rPr>
        <w:t xml:space="preserve">GSTR-2A is dynamic and changes whenever a supplier files or amends GSTR-1. GSTR-2B is static, generated on the 14th of the following month, and shows credit available and not available. It is the basis for section 16(2)(aa).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Period</w:t>
            </w:r>
          </w:p>
        </w:tc>
        <w:tc>
          <w:tcPr>
            <w:tcW w:type="dxa" w:w="58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Credit allowed on invoices not in GSTR-2A or 2B</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8 October 2019</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restriction</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 October 2019 to 31 December 2019</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 of eligible credit in GSTR-2A</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January 2020 to 31 December 2020</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 (cumulative for February to August 2020 due to COVID relief)</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January 2021 to 31 December 2021</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 of eligible credit in GSTR-2B</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From 1 January 2022</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 only invoices in GSTR-2B (section 16(2)(aa))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Self-assessment and GSTR-2A</w:t>
            </w:r>
          </w:p>
          <w:p>
            <w:pPr>
              <w:spacing w:after="60" w:line="260"/>
            </w:pPr>
            <w:r>
              <w:rPr>
                <w:rFonts w:ascii="Verdana" w:cs="Verdana" w:eastAsia="Verdana" w:hAnsi="Verdana"/>
                <w:b/>
                <w:bCs/>
                <w:sz w:val="20"/>
                <w:szCs w:val="20"/>
              </w:rPr>
              <w:t xml:space="preserve">Union of India v. Bharti Airtel Ltd. (Supreme Court, 2021):</w:t>
            </w:r>
            <w:r>
              <w:rPr>
                <w:rFonts w:ascii="Verdana" w:cs="Verdana" w:eastAsia="Verdana" w:hAnsi="Verdana"/>
                <w:sz w:val="20"/>
                <w:szCs w:val="20"/>
              </w:rPr>
              <w:t xml:space="preserve"> The Court held that GSTR-3B is a self-assessed return based on the taxpayer's own records, and that the non-availability of GSTR-2A in the early months did not entitle the taxpayer to rectify earlier returns outside the scheme of the Act. The ruling puts the duty on the taxpayer to maintain and reconcile his own records rather than depend on portal statements.</w:t>
            </w:r>
          </w:p>
        </w:tc>
      </w:tr>
    </w:tbl>
    <w:p>
      <w:pPr>
        <w:spacing w:after="60"/>
      </w:pPr>
    </w:p>
    <w:p>
      <w:pPr>
        <w:pStyle w:val="Heading2"/>
        <w:keepNext/>
        <w:spacing w:after="120" w:before="240"/>
      </w:pPr>
      <w:r>
        <w:rPr>
          <w:rFonts w:ascii="Verdana" w:cs="Verdana" w:eastAsia="Verdana" w:hAnsi="Verdana"/>
        </w:rPr>
        <w:t xml:space="preserve">19.2 Invoice Management System (IMS)</w:t>
      </w:r>
    </w:p>
    <w:p>
      <w:pPr>
        <w:spacing w:after="120" w:line="276"/>
        <w:jc w:val="both"/>
      </w:pPr>
      <w:r>
        <w:rPr>
          <w:rFonts w:ascii="Verdana" w:cs="Verdana" w:eastAsia="Verdana" w:hAnsi="Verdana"/>
        </w:rPr>
        <w:t xml:space="preserve">IMS started from the October 2024 tax period. Every invoice, debit note and credit note uploaded by suppliers appears in the recipient's IMS dashboard. The recipient can take one of three actions:</w:t>
      </w:r>
    </w:p>
    <w:p>
      <w:pPr>
        <w:pStyle w:val="ListParagraph"/>
        <w:numPr>
          <w:ilvl w:val="0"/>
          <w:numId w:val="2"/>
        </w:numPr>
        <w:spacing w:after="60" w:line="264"/>
      </w:pPr>
      <w:r>
        <w:rPr>
          <w:rFonts w:ascii="Verdana" w:cs="Verdana" w:eastAsia="Verdana" w:hAnsi="Verdana"/>
          <w:b/>
          <w:bCs/>
        </w:rPr>
        <w:t xml:space="preserve">Accept:</w:t>
      </w:r>
      <w:r>
        <w:rPr>
          <w:rFonts w:ascii="Verdana" w:cs="Verdana" w:eastAsia="Verdana" w:hAnsi="Verdana"/>
        </w:rPr>
        <w:t xml:space="preserve"> the record goes into GSTR-2B as credit available.</w:t>
      </w:r>
    </w:p>
    <w:p>
      <w:pPr>
        <w:pStyle w:val="ListParagraph"/>
        <w:numPr>
          <w:ilvl w:val="0"/>
          <w:numId w:val="2"/>
        </w:numPr>
        <w:spacing w:after="60" w:line="264"/>
      </w:pPr>
      <w:r>
        <w:rPr>
          <w:rFonts w:ascii="Verdana" w:cs="Verdana" w:eastAsia="Verdana" w:hAnsi="Verdana"/>
          <w:b/>
          <w:bCs/>
        </w:rPr>
        <w:t xml:space="preserve">Reject:</w:t>
      </w:r>
      <w:r>
        <w:rPr>
          <w:rFonts w:ascii="Verdana" w:cs="Verdana" w:eastAsia="Verdana" w:hAnsi="Verdana"/>
        </w:rPr>
        <w:t xml:space="preserve"> the record is excluded from GSTR-2B. For a rejected invoice, the supplier can correct it through GSTR-1A or a later GSTR-1. For a rejected credit note, the supplier's output tax in the next GSTR-3B is increased.</w:t>
      </w:r>
    </w:p>
    <w:p>
      <w:pPr>
        <w:pStyle w:val="ListParagraph"/>
        <w:numPr>
          <w:ilvl w:val="0"/>
          <w:numId w:val="2"/>
        </w:numPr>
        <w:spacing w:after="60" w:line="264"/>
      </w:pPr>
      <w:r>
        <w:rPr>
          <w:rFonts w:ascii="Verdana" w:cs="Verdana" w:eastAsia="Verdana" w:hAnsi="Verdana"/>
          <w:b/>
          <w:bCs/>
        </w:rPr>
        <w:t xml:space="preserve">Pending:</w:t>
      </w:r>
      <w:r>
        <w:rPr>
          <w:rFonts w:ascii="Verdana" w:cs="Verdana" w:eastAsia="Verdana" w:hAnsi="Verdana"/>
        </w:rPr>
        <w:t xml:space="preserve"> the record is held back and does not enter the current GSTR-2B. It moves to a later period when accepted.</w:t>
      </w:r>
    </w:p>
    <w:p>
      <w:pPr>
        <w:spacing w:after="120" w:line="276"/>
        <w:jc w:val="both"/>
      </w:pPr>
      <w:r>
        <w:rPr>
          <w:rFonts w:ascii="Verdana" w:cs="Verdana" w:eastAsia="Verdana" w:hAnsi="Verdana"/>
        </w:rPr>
        <w:t xml:space="preserve">No action means </w:t>
      </w:r>
      <w:r>
        <w:rPr>
          <w:rFonts w:ascii="Verdana" w:cs="Verdana" w:eastAsia="Verdana" w:hAnsi="Verdana"/>
          <w:b/>
          <w:bCs/>
        </w:rPr>
        <w:t xml:space="preserve">deemed acceptance</w:t>
      </w:r>
      <w:r>
        <w:rPr>
          <w:rFonts w:ascii="Verdana" w:cs="Verdana" w:eastAsia="Verdana" w:hAnsi="Verdana"/>
        </w:rPr>
        <w:t xml:space="preserve"> when GSTR-2B is generated; after acting, the recipient can recompute GSTR-2B before filing GSTR-3B. The Finance Act, 2025 amended sections 38 and 39 to back this. From the October 2025 tax period, credit notes and certain amendment records can also be kept pending, but only for one tax period (one quarter for quarterly filers), and the recipient declares any credit reduction on accepting a credit note, with remarks for partial or no reversal. The features keep changing; check the latest GSTN advisory.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2238"/>
      </w:tblGrid>
      <w:tr>
        <w:trPr>
          <w:cantSplit/>
          <w:tblHeader/>
        </w:trPr>
        <w:tc>
          <w:tcPr>
            <w:tcW w:type="dxa" w:w="24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Date (for October 2026)</w:t>
            </w:r>
          </w:p>
        </w:tc>
        <w:tc>
          <w:tcPr>
            <w:tcW w:type="dxa" w:w="50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Action</w:t>
            </w:r>
          </w:p>
        </w:tc>
        <w:tc>
          <w:tcPr>
            <w:tcW w:type="dxa" w:w="22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By whom</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to 11 November</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Upload invoices in GSTR-1 (IFF for QRMP filers by 13th)</w:t>
            </w:r>
          </w:p>
        </w:tc>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Supplier</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Daily, from upload</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Review records in IMS; accept, reject or keep pending</w:t>
            </w:r>
          </w:p>
        </w:tc>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Recipient</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 November</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GSTR-2B generated</w:t>
            </w:r>
          </w:p>
        </w:tc>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Portal</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 to 20 November</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Final IMS actions; recompute GSTR-2B if needed; follow up vendors on rejections</w:t>
            </w:r>
          </w:p>
        </w:tc>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Recipient</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By 20 November</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File GSTR-3B using final GSTR-2B</w:t>
            </w:r>
          </w:p>
        </w:tc>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Recipient</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Next period</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Correct rejected invoices through GSTR-1A or GSTR-1</w:t>
            </w:r>
          </w:p>
        </w:tc>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Supplier</w:t>
            </w:r>
          </w:p>
        </w:tc>
      </w:tr>
    </w:tbl>
    <w:p>
      <w:pPr>
        <w:spacing w:after="60"/>
      </w:pPr>
    </w:p>
    <w:p>
      <w:pPr>
        <w:pStyle w:val="Heading2"/>
        <w:keepNext/>
        <w:spacing w:after="120" w:before="240"/>
      </w:pPr>
      <w:r>
        <w:rPr>
          <w:rFonts w:ascii="Verdana" w:cs="Verdana" w:eastAsia="Verdana" w:hAnsi="Verdana"/>
        </w:rPr>
        <w:t xml:space="preserve">19.3 Reporting credit in GSTR-3B Table 4</w:t>
      </w:r>
    </w:p>
    <w:p>
      <w:pPr>
        <w:spacing w:after="120" w:line="276"/>
        <w:jc w:val="both"/>
      </w:pPr>
      <w:r>
        <w:rPr>
          <w:rFonts w:ascii="Verdana" w:cs="Verdana" w:eastAsia="Verdana" w:hAnsi="Verdana"/>
        </w:rPr>
        <w:t xml:space="preserve">Under CBIC Circular 170/02/2022-GST, Table 4A shows credit from GSTR-2B: imports of goods (4A(1)), imports of services (4A(2)), reverse charge (4A(3)), ISD (4A(4)) and others (4A(5)). Table 4B(1) records permanent reversals (rule 38, rules 42 and 43, section 17(5)); Table 4B(2) records reversals that may be reclaimed (rules 37 and 37A, goods not received). A reclaim of an earlier 4B(2) amount is taken in Table 4A(5) and disclosed in Table 4D(1); Table 4D(2) shows credit barred by section 16(4) or place of supply rules. The Electronic Credit Reversal and Re-claimed Statement tracks the 4B(2) balance.</w:t>
      </w:r>
    </w:p>
    <w:p>
      <w:pPr>
        <w:pStyle w:val="Heading2"/>
        <w:keepNext/>
        <w:spacing w:after="120" w:before="240"/>
      </w:pPr>
      <w:r>
        <w:rPr>
          <w:rFonts w:ascii="Verdana" w:cs="Verdana" w:eastAsia="Verdana" w:hAnsi="Verdana"/>
        </w:rPr>
        <w:t xml:space="preserve">19.4 Full monthly reconciliation</w:t>
      </w:r>
    </w:p>
    <w:p>
      <w:pPr>
        <w:spacing w:after="120" w:line="276"/>
        <w:jc w:val="both"/>
      </w:pPr>
      <w:r>
        <w:rPr>
          <w:rFonts w:ascii="Verdana" w:cs="Verdana" w:eastAsia="Verdana" w:hAnsi="Verdana"/>
        </w:rPr>
        <w:t xml:space="preserve">Every month the finance team should reconcile three sets of figures: credit in the books (purchase register), credit in GSTR-2B, and credit claimed in GSTR-3B. Differences are normal; unexplained differences are what cause notices.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114: Books, GSTR-2B and GSTR-3B for October 2026</w:t>
            </w:r>
          </w:p>
          <w:p>
            <w:pPr>
              <w:spacing w:after="60" w:line="260"/>
            </w:pPr>
            <w:r>
              <w:rPr>
                <w:rFonts w:ascii="Verdana" w:cs="Verdana" w:eastAsia="Verdana" w:hAnsi="Verdana"/>
                <w:sz w:val="20"/>
                <w:szCs w:val="20"/>
              </w:rPr>
              <w:t xml:space="preserve">Pioneer Auto Parts Pvt. Ltd. records GST of Rs. 12,40,000 on purchases in October 2026, including Rs. 18,000 on repair of a director's car (blocked). Eligible credit in the books = Rs. 12,22,000.</w:t>
            </w:r>
          </w:p>
          <w:p>
            <w:pPr>
              <w:spacing w:after="60" w:line="260"/>
            </w:pPr>
            <w:r>
              <w:rPr>
                <w:rFonts w:ascii="Verdana" w:cs="Verdana" w:eastAsia="Verdana" w:hAnsi="Verdana"/>
                <w:sz w:val="20"/>
                <w:szCs w:val="20"/>
              </w:rPr>
              <w:t xml:space="preserve">Step 1: Items in books but not in GSTR-2B: supplier Arya Metals has not filed GSTR-1 (Rs. 60,000); supplier Deepak Tools uploaded late and it will appear next month (Rs. 35,000). Total Rs. 95,000.</w:t>
            </w:r>
          </w:p>
          <w:p>
            <w:pPr>
              <w:spacing w:after="60" w:line="260"/>
            </w:pPr>
            <w:r>
              <w:rPr>
                <w:rFonts w:ascii="Verdana" w:cs="Verdana" w:eastAsia="Verdana" w:hAnsi="Verdana"/>
                <w:sz w:val="20"/>
                <w:szCs w:val="20"/>
              </w:rPr>
              <w:t xml:space="preserve">Step 2: Items in GSTR-2B but not in October books: a September invoice accounted in September but uploaded late by the supplier (Rs. 22,000); an invoice for goods in transit, not yet received (Rs. 25,000); a credit note from a supplier not yet accounted (minus Rs. 12,000).</w:t>
            </w:r>
          </w:p>
          <w:p>
            <w:pPr>
              <w:spacing w:after="60" w:line="260"/>
            </w:pPr>
            <w:r>
              <w:rPr>
                <w:rFonts w:ascii="Verdana" w:cs="Verdana" w:eastAsia="Verdana" w:hAnsi="Verdana"/>
                <w:sz w:val="20"/>
                <w:szCs w:val="20"/>
              </w:rPr>
              <w:t xml:space="preserve">Step 3: GSTR-2B credit = Rs. 12,40,000 minus Rs. 95,000 plus Rs. 22,000 plus Rs. 25,000 minus Rs. 12,000 = Rs. 11,80,000.</w:t>
            </w:r>
          </w:p>
          <w:p>
            <w:pPr>
              <w:spacing w:after="60" w:line="260"/>
            </w:pPr>
            <w:r>
              <w:rPr>
                <w:rFonts w:ascii="Verdana" w:cs="Verdana" w:eastAsia="Verdana" w:hAnsi="Verdana"/>
                <w:sz w:val="20"/>
                <w:szCs w:val="20"/>
              </w:rPr>
              <w:t xml:space="preserve">Step 4: GSTR-3B: Table 4A Rs. 11,80,000; Table 4B(1) blocked Rs. 18,000; Table 4B(2) goods in transit Rs. 25,000. Net credit (4C) = Rs. 11,37,000.</w:t>
            </w:r>
          </w:p>
          <w:p>
            <w:pPr>
              <w:spacing w:after="60" w:line="260"/>
            </w:pPr>
            <w:r>
              <w:rPr>
                <w:rFonts w:ascii="Verdana" w:cs="Verdana" w:eastAsia="Verdana" w:hAnsi="Verdana"/>
                <w:sz w:val="20"/>
                <w:szCs w:val="20"/>
              </w:rPr>
              <w:t xml:space="preserve">Step 5: Check from the books: Rs. 12,22,000 minus Rs. 95,000 plus Rs. 22,000 minus Rs. 12,000 = Rs. 11,37,000. The figures agree.</w:t>
            </w:r>
          </w:p>
          <w:p>
            <w:pPr>
              <w:spacing w:after="60" w:line="260"/>
            </w:pPr>
            <w:r>
              <w:rPr>
                <w:rFonts w:ascii="Verdana" w:cs="Verdana" w:eastAsia="Verdana" w:hAnsi="Verdana"/>
                <w:sz w:val="20"/>
                <w:szCs w:val="20"/>
              </w:rPr>
              <w:t xml:space="preserve">Result: Rs. 95,000 is carried as "credit awaiting upload" and followed up; Rs. 25,000 is reclaimed through Table 4A(5) and disclosed in Table 4D(1) when the goods arrive; the credit note is booked in the purchase ledger.</w:t>
            </w:r>
          </w:p>
        </w:tc>
      </w:tr>
    </w:tbl>
    <w:p>
      <w:pPr>
        <w:spacing w:after="60"/>
      </w:pPr>
    </w:p>
    <w:p>
      <w:pPr>
        <w:pStyle w:val="Heading2"/>
        <w:keepNext/>
        <w:spacing w:after="120" w:before="240"/>
      </w:pPr>
      <w:r>
        <w:rPr>
          <w:rFonts w:ascii="Verdana" w:cs="Verdana" w:eastAsia="Verdana" w:hAnsi="Verdana"/>
        </w:rPr>
        <w:t xml:space="preserve">19.5 Blocking of the credit ledger: rule 86A</w:t>
      </w:r>
    </w:p>
    <w:p>
      <w:pPr>
        <w:spacing w:after="120" w:line="276"/>
        <w:jc w:val="both"/>
      </w:pPr>
      <w:r>
        <w:rPr>
          <w:rFonts w:ascii="Verdana" w:cs="Verdana" w:eastAsia="Verdana" w:hAnsi="Verdana"/>
        </w:rPr>
        <w:t xml:space="preserve">Under rule 86A, the Commissioner or an authorised officer not below Assistant Commissioner may block credit in the ledger where he has </w:t>
      </w:r>
      <w:r>
        <w:rPr>
          <w:rFonts w:ascii="Verdana" w:cs="Verdana" w:eastAsia="Verdana" w:hAnsi="Verdana"/>
          <w:b/>
          <w:bCs/>
        </w:rPr>
        <w:t xml:space="preserve">reasons to believe</w:t>
      </w:r>
      <w:r>
        <w:rPr>
          <w:rFonts w:ascii="Verdana" w:cs="Verdana" w:eastAsia="Verdana" w:hAnsi="Verdana"/>
        </w:rPr>
        <w:t xml:space="preserve"> it was fraudulently availed or is ineligible: for example invoices from non-existent suppliers, credit without receipt of goods, or tax not paid by the supplier. Blocked credit cannot be used or refunded. The block lapses after one year and can be lifted earlier.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Negative blocking under rule 86A</w:t>
            </w:r>
          </w:p>
          <w:p>
            <w:pPr>
              <w:spacing w:after="60" w:line="260"/>
            </w:pPr>
            <w:r>
              <w:rPr>
                <w:rFonts w:ascii="Verdana" w:cs="Verdana" w:eastAsia="Verdana" w:hAnsi="Verdana"/>
                <w:b/>
                <w:bCs/>
                <w:sz w:val="20"/>
                <w:szCs w:val="20"/>
              </w:rPr>
              <w:t xml:space="preserve">Samay Alloys India (P) Ltd. v. State of Gujarat (Gujarat High Court, 2022):</w:t>
            </w:r>
            <w:r>
              <w:rPr>
                <w:rFonts w:ascii="Verdana" w:cs="Verdana" w:eastAsia="Verdana" w:hAnsi="Verdana"/>
                <w:sz w:val="20"/>
                <w:szCs w:val="20"/>
              </w:rPr>
              <w:t xml:space="preserve"> The Court held that rule 86A allows blocking only of credit available in the ledger. Where the credit had already been used, the officer cannot block an equal amount of later credit by showing a negative balance. The Punjab and Haryana High Court took the same view, and on 18 June 2026 the Supreme Court dismissed the Revenue's special leave petition against that ruling in Union of India v. K.K. Alloys. The remedy for credit already used is a proper demand under section 73, 74 or 74A.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115: Extent of blocking</w:t>
            </w:r>
          </w:p>
          <w:p>
            <w:pPr>
              <w:spacing w:after="60" w:line="260"/>
            </w:pPr>
            <w:r>
              <w:rPr>
                <w:rFonts w:ascii="Verdana" w:cs="Verdana" w:eastAsia="Verdana" w:hAnsi="Verdana"/>
                <w:sz w:val="20"/>
                <w:szCs w:val="20"/>
              </w:rPr>
              <w:t xml:space="preserve">The department suspects that Sona Traders took Rs. 12,00,000 of credit on invoices from a non-existent supplier. On the date of the order, Sona's credit ledger has a balance of Rs. 8,00,000.</w:t>
            </w:r>
          </w:p>
          <w:p>
            <w:pPr>
              <w:spacing w:after="60" w:line="260"/>
            </w:pPr>
            <w:r>
              <w:rPr>
                <w:rFonts w:ascii="Verdana" w:cs="Verdana" w:eastAsia="Verdana" w:hAnsi="Verdana"/>
                <w:sz w:val="20"/>
                <w:szCs w:val="20"/>
              </w:rPr>
              <w:t xml:space="preserve">Step 1: The officer may block up to Rs. 8,00,000, recording reasons to believe.</w:t>
            </w:r>
          </w:p>
          <w:p>
            <w:pPr>
              <w:spacing w:after="60" w:line="260"/>
            </w:pPr>
            <w:r>
              <w:rPr>
                <w:rFonts w:ascii="Verdana" w:cs="Verdana" w:eastAsia="Verdana" w:hAnsi="Verdana"/>
                <w:sz w:val="20"/>
                <w:szCs w:val="20"/>
              </w:rPr>
              <w:t xml:space="preserve">Step 2: The remaining Rs. 4,00,000 cannot be blocked against future credit.</w:t>
            </w:r>
          </w:p>
          <w:p>
            <w:pPr>
              <w:spacing w:after="60" w:line="260"/>
            </w:pPr>
            <w:r>
              <w:rPr>
                <w:rFonts w:ascii="Verdana" w:cs="Verdana" w:eastAsia="Verdana" w:hAnsi="Verdana"/>
                <w:sz w:val="20"/>
                <w:szCs w:val="20"/>
              </w:rPr>
              <w:t xml:space="preserve">Result: Sona should give the officer evidence of receipt and payment and, if the order lacks reasons, consider a writ petition.</w:t>
            </w:r>
          </w:p>
        </w:tc>
      </w:tr>
    </w:tbl>
    <w:p>
      <w:pPr>
        <w:spacing w:after="60"/>
      </w:pPr>
    </w:p>
    <w:p>
      <w:pPr>
        <w:pStyle w:val="Heading2"/>
        <w:keepNext/>
        <w:spacing w:after="120" w:before="240"/>
      </w:pPr>
      <w:r>
        <w:rPr>
          <w:rFonts w:ascii="Verdana" w:cs="Verdana" w:eastAsia="Verdana" w:hAnsi="Verdana"/>
        </w:rPr>
        <w:t xml:space="preserve">19.6 Minimum cash payment: rule 86B</w:t>
      </w:r>
    </w:p>
    <w:p>
      <w:pPr>
        <w:spacing w:after="120" w:line="276"/>
        <w:jc w:val="both"/>
      </w:pPr>
      <w:r>
        <w:rPr>
          <w:rFonts w:ascii="Verdana" w:cs="Verdana" w:eastAsia="Verdana" w:hAnsi="Verdana"/>
        </w:rPr>
        <w:t xml:space="preserve">Rule 86B applies where taxable supplies (other than exempt and zero-rated) exceed Rs. 50 lakh in a month: credit cannot pay more than 99% of output tax. It does not apply where the proprietor, karta, managing director, any two partners or whole-time directors (or the person itself) paid income tax above Rs. 1 lakh in each of the last two years; where refund of unutilised credit above Rs. 1 lakh was received in the preceding year; where cash paid in the year exceeds 1% of output tax; or to Government bodies, PSUs and local authorities.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116: Applying rule 86B</w:t>
            </w:r>
          </w:p>
          <w:p>
            <w:pPr>
              <w:spacing w:after="60" w:line="260"/>
            </w:pPr>
            <w:r>
              <w:rPr>
                <w:rFonts w:ascii="Verdana" w:cs="Verdana" w:eastAsia="Verdana" w:hAnsi="Verdana"/>
                <w:sz w:val="20"/>
                <w:szCs w:val="20"/>
              </w:rPr>
              <w:t xml:space="preserve">Rajdhani Steel Traders, a partnership, has taxable supplies of Rs. 80,00,000 in October 2026. Output tax at 18% = Rs. 14,40,000. Credit available Rs. 15,00,000. Only one partner has paid income tax above Rs. 1 lakh, so the exception does not apply.</w:t>
            </w:r>
          </w:p>
          <w:p>
            <w:pPr>
              <w:spacing w:after="60" w:line="260"/>
            </w:pPr>
            <w:r>
              <w:rPr>
                <w:rFonts w:ascii="Verdana" w:cs="Verdana" w:eastAsia="Verdana" w:hAnsi="Verdana"/>
                <w:sz w:val="20"/>
                <w:szCs w:val="20"/>
              </w:rPr>
              <w:t xml:space="preserve">Step 1: Maximum use of credit = 99% x Rs. 14,40,000 = Rs. 14,25,600.</w:t>
            </w:r>
          </w:p>
          <w:p>
            <w:pPr>
              <w:spacing w:after="60" w:line="260"/>
            </w:pPr>
            <w:r>
              <w:rPr>
                <w:rFonts w:ascii="Verdana" w:cs="Verdana" w:eastAsia="Verdana" w:hAnsi="Verdana"/>
                <w:sz w:val="20"/>
                <w:szCs w:val="20"/>
              </w:rPr>
              <w:t xml:space="preserve">Step 2: Minimum cash payment = Rs. 14,40,000 minus Rs. 14,25,600 = Rs. 14,400.</w:t>
            </w:r>
          </w:p>
          <w:p>
            <w:pPr>
              <w:spacing w:after="60" w:line="260"/>
            </w:pPr>
            <w:r>
              <w:rPr>
                <w:rFonts w:ascii="Verdana" w:cs="Verdana" w:eastAsia="Verdana" w:hAnsi="Verdana"/>
                <w:sz w:val="20"/>
                <w:szCs w:val="20"/>
              </w:rPr>
              <w:t xml:space="preserve">Result: Rajdhani pays Rs. 14,400 in cash and carries forward Rs. 74,400 of credit (Rs. 15,00,000 minus Rs. 14,25,600).</w:t>
            </w:r>
          </w:p>
        </w:tc>
      </w:tr>
    </w:tbl>
    <w:p>
      <w:pPr>
        <w:spacing w:after="60"/>
      </w:pPr>
    </w:p>
    <w:p>
      <w:pPr>
        <w:pStyle w:val="Heading2"/>
        <w:keepNext/>
        <w:spacing w:after="120" w:before="240"/>
      </w:pPr>
      <w:r>
        <w:rPr>
          <w:rFonts w:ascii="Verdana" w:cs="Verdana" w:eastAsia="Verdana" w:hAnsi="Verdana"/>
        </w:rPr>
        <w:t xml:space="preserve">19.7 Intimations under rules 88C and 88D</w:t>
      </w:r>
    </w:p>
    <w:p>
      <w:pPr>
        <w:spacing w:after="120" w:line="276"/>
        <w:jc w:val="both"/>
      </w:pPr>
      <w:r>
        <w:rPr>
          <w:rFonts w:ascii="Verdana" w:cs="Verdana" w:eastAsia="Verdana" w:hAnsi="Verdana"/>
        </w:rPr>
        <w:t xml:space="preserve">Under rule 88C, where GSTR-1 liability exceeds GSTR-3B liability beyond the notified limit, form DRC-01B is issued. Under rule 88D, where GSTR-3B credit exceeds GSTR-2B credit beyond the notified limit, form DRC-01C is issued. The limits in use are more than Rs. 25 lakh and more than 20%; check the current notification. Within seven days the taxpayer must pay through DRC-03 with interest or explain in Part B, failing which GSTR-1 for the next period is blocked (rule 59(6)).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117: Responding to DRC-01C</w:t>
            </w:r>
          </w:p>
          <w:p>
            <w:pPr>
              <w:spacing w:after="60" w:line="260"/>
            </w:pPr>
            <w:r>
              <w:rPr>
                <w:rFonts w:ascii="Verdana" w:cs="Verdana" w:eastAsia="Verdana" w:hAnsi="Verdana"/>
                <w:sz w:val="20"/>
                <w:szCs w:val="20"/>
              </w:rPr>
              <w:t xml:space="preserve">In October 2026 Metro Builders Supplies claimed credit of Rs. 1,60,00,000 in GSTR-3B against Rs. 1,25,00,000 in GSTR-2B. Difference Rs. 35,00,000, which is 28% of the GSTR-2B figure.</w:t>
            </w:r>
          </w:p>
          <w:p>
            <w:pPr>
              <w:spacing w:after="60" w:line="260"/>
            </w:pPr>
            <w:r>
              <w:rPr>
                <w:rFonts w:ascii="Verdana" w:cs="Verdana" w:eastAsia="Verdana" w:hAnsi="Verdana"/>
                <w:sz w:val="20"/>
                <w:szCs w:val="20"/>
              </w:rPr>
              <w:t xml:space="preserve">Step 1: Rs. 20,00,000 is credit reversed in Table 4B(2) in earlier months (unpaid invoices under rule 37 and goods in transit) and reclaimed in October through Table 4A(5) and Table 4D(1). It does not appear in the October GSTR-2B. Explain with the Electronic Credit Reversal and Re-claimed Statement and the payment and receipt records.</w:t>
            </w:r>
          </w:p>
          <w:p>
            <w:pPr>
              <w:spacing w:after="60" w:line="260"/>
            </w:pPr>
            <w:r>
              <w:rPr>
                <w:rFonts w:ascii="Verdana" w:cs="Verdana" w:eastAsia="Verdana" w:hAnsi="Verdana"/>
                <w:sz w:val="20"/>
                <w:szCs w:val="20"/>
              </w:rPr>
              <w:t xml:space="preserve">Step 2: Rs. 15,00,000 relates to invoices of a supplier who has not filed GSTR-1. This is not allowed under section 16(2)(aa). Pay Rs. 15,00,000 through DRC-03 (or reverse), with interest if the credit was used.</w:t>
            </w:r>
          </w:p>
          <w:p>
            <w:pPr>
              <w:spacing w:after="60" w:line="260"/>
            </w:pPr>
            <w:r>
              <w:rPr>
                <w:rFonts w:ascii="Verdana" w:cs="Verdana" w:eastAsia="Verdana" w:hAnsi="Verdana"/>
                <w:sz w:val="20"/>
                <w:szCs w:val="20"/>
              </w:rPr>
              <w:t xml:space="preserve">Result: Part B filed within seven days, showing the explanation for Rs. 20,00,000 and payment for Rs. 15,00,000. GSTR-1 filing stays open.</w:t>
            </w:r>
          </w:p>
        </w:tc>
      </w:tr>
    </w:tbl>
    <w:p>
      <w:pPr>
        <w:spacing w:after="60"/>
      </w:pPr>
    </w:p>
    <w:p>
      <w:pPr>
        <w:pStyle w:val="Heading2"/>
        <w:keepNext/>
        <w:spacing w:after="120" w:before="240"/>
      </w:pPr>
      <w:r>
        <w:rPr>
          <w:rFonts w:ascii="Verdana" w:cs="Verdana" w:eastAsia="Verdana" w:hAnsi="Verdana"/>
        </w:rPr>
        <w:t xml:space="preserve">19.8 Year-end cut-off and vendor compliance</w:t>
      </w:r>
    </w:p>
    <w:p>
      <w:pPr>
        <w:spacing w:after="120" w:line="276"/>
        <w:jc w:val="both"/>
      </w:pPr>
      <w:r>
        <w:rPr>
          <w:rFonts w:ascii="Verdana" w:cs="Verdana" w:eastAsia="Verdana" w:hAnsi="Verdana"/>
        </w:rPr>
        <w:t xml:space="preserve">The period from September to November after the year end is where credit is lost or saved. The dates below are for FY 2025-26.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Date</w:t>
            </w:r>
          </w:p>
        </w:tc>
        <w:tc>
          <w:tcPr>
            <w:tcW w:type="dxa" w:w="70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Action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September 2026</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Rule 37A test: identify suppliers who have not filed GSTR-3B for FY 2025-26 periods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By 20 October 2026</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Rule 42 annual true-up (before the due date of the September return)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By 30 November 2026</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Last date to claim missed FY 2025-26 credit (or GSTR-9 filing date if earlier); rule 37A reversals; credit notes and GSTR-1 amendments for FY 2025-26</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By 31 December 2026</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GSTR-9 and GSTR-9C for FY 2025-26; annual credit reconciliation in Table 8</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Rate vendors each month on GSTR-1 upload, GSTR-3B filing and rejections in IMS. Hold back the GST element of payment for vendors in default, and move volume away from repeat defaulters.</w:t>
            </w:r>
          </w:p>
          <w:p>
            <w:pPr>
              <w:spacing w:after="60" w:line="260"/>
            </w:pPr>
            <w:r>
              <w:rPr>
                <w:rFonts w:ascii="Verdana" w:cs="Verdana" w:eastAsia="Verdana" w:hAnsi="Verdana"/>
                <w:sz w:val="20"/>
                <w:szCs w:val="20"/>
              </w:rPr>
              <w:t xml:space="preserve">Before filing GSTR-9, run one last check of FY 2025-26 invoices still pending in IMS or missing from GSTR-2B. Filing GSTR-9 early closes the window for missed credit under section 16(4).</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GSTR-2B, generated on the 14th, is the ceiling for credit on domestic invoices since 1 January 2022; the provisional credit under rule 36(4) is history.</w:t>
            </w:r>
          </w:p>
          <w:p>
            <w:pPr>
              <w:spacing w:after="60" w:line="260"/>
            </w:pPr>
            <w:r>
              <w:rPr>
                <w:rFonts w:ascii="Verdana" w:cs="Verdana" w:eastAsia="Verdana" w:hAnsi="Verdana"/>
                <w:sz w:val="20"/>
                <w:szCs w:val="20"/>
              </w:rPr>
              <w:t xml:space="preserve">•  IMS lets the recipient accept, reject or keep invoices pending; no action means deemed acceptance, and credit note reversals are now declared by the recipient.</w:t>
            </w:r>
          </w:p>
          <w:p>
            <w:pPr>
              <w:spacing w:after="60" w:line="260"/>
            </w:pPr>
            <w:r>
              <w:rPr>
                <w:rFonts w:ascii="Verdana" w:cs="Verdana" w:eastAsia="Verdana" w:hAnsi="Verdana"/>
                <w:sz w:val="20"/>
                <w:szCs w:val="20"/>
              </w:rPr>
              <w:t xml:space="preserve">•  Report permanent reversals in Table 4B(1), reclaimable reversals in 4B(2) and reclaims in 4D(1) (Circular 170/02/2022).</w:t>
            </w:r>
          </w:p>
          <w:p>
            <w:pPr>
              <w:spacing w:after="60" w:line="260"/>
            </w:pPr>
            <w:r>
              <w:rPr>
                <w:rFonts w:ascii="Verdana" w:cs="Verdana" w:eastAsia="Verdana" w:hAnsi="Verdana"/>
                <w:sz w:val="20"/>
                <w:szCs w:val="20"/>
              </w:rPr>
              <w:t xml:space="preserve">•  Rule 86A blocks only the credit available in the ledger, for up to one year; rule 86B requires 1% cash payment above Rs. 50 lakh monthly taxable supplies unless an exception applies.</w:t>
            </w:r>
          </w:p>
          <w:p>
            <w:pPr>
              <w:spacing w:after="60" w:line="260"/>
            </w:pPr>
            <w:r>
              <w:rPr>
                <w:rFonts w:ascii="Verdana" w:cs="Verdana" w:eastAsia="Verdana" w:hAnsi="Verdana"/>
                <w:sz w:val="20"/>
                <w:szCs w:val="20"/>
              </w:rPr>
              <w:t xml:space="preserve">•  DRC-01B and DRC-01C intimations must be answered within seven days, or GSTR-1 filing is blocked.</w:t>
            </w:r>
          </w:p>
          <w:p>
            <w:pPr>
              <w:spacing w:after="60" w:line="260"/>
            </w:pPr>
            <w:r>
              <w:rPr>
                <w:rFonts w:ascii="Verdana" w:cs="Verdana" w:eastAsia="Verdana" w:hAnsi="Verdana"/>
                <w:sz w:val="20"/>
                <w:szCs w:val="20"/>
              </w:rPr>
              <w:t xml:space="preserve">•  Reconcile books, GSTR-2B and GSTR-3B every month, and finish FY 2025-26 credit work before 30 November 2026 or before filing GSTR-9, whichever is earlier.</w:t>
            </w:r>
          </w:p>
        </w:tc>
      </w:tr>
    </w:tbl>
    <w:p>
      <w:pPr>
        <w:pStyle w:val="TocPart"/>
        <w:pageBreakBefore/>
        <w:shd w:fill="92400E" w:color="auto" w:val="clear"/>
        <w:spacing w:after="0" w:before="0"/>
        <w:ind w:left="0"/>
      </w:pPr>
      <w:r>
        <w:rPr>
          <w:rFonts w:ascii="Verdana" w:cs="Verdana" w:eastAsia="Verdana" w:hAnsi="Verdana"/>
          <w:b/>
          <w:bCs/>
          <w:color w:val="FFFFFF"/>
          <w:sz w:val="26"/>
          <w:szCs w:val="26"/>
        </w:rPr>
        <w:t xml:space="preserve">  PART E: REGISTRATION, INVOICES AND RECORDS</w:t>
      </w:r>
    </w:p>
    <w:p>
      <w:pPr>
        <w:shd w:fill="F6E8D2" w:color="auto" w:val="clear"/>
        <w:spacing w:after="200"/>
      </w:pPr>
      <w:r>
        <w:rPr>
          <w:rFonts w:ascii="Verdana" w:cs="Verdana" w:eastAsia="Verdana" w:hAnsi="Verdana"/>
          <w:i/>
          <w:iCs/>
          <w:color w:val="92400E"/>
          <w:sz w:val="20"/>
          <w:szCs w:val="20"/>
        </w:rPr>
        <w:t xml:space="preserve">  Getting into the system and documenting every supply</w:t>
      </w:r>
    </w:p>
    <w:p>
      <w:pPr>
        <w:spacing w:after="240" w:line="276"/>
        <w:jc w:val="both"/>
      </w:pPr>
      <w:r>
        <w:rPr>
          <w:rFonts w:ascii="Verdana" w:cs="Verdana" w:eastAsia="Verdana" w:hAnsi="Verdana"/>
          <w:i/>
          <w:iCs/>
          <w:color w:val="404040"/>
          <w:sz w:val="21"/>
          <w:szCs w:val="21"/>
        </w:rPr>
        <w:t xml:space="preserve">Registration is the gateway to GST: without it a business cannot charge tax, take credit or pass credit to its customers. Once registered, every supply must be documented in the prescribed way, reported electronically where required, and backed by records an officer can verify years later. This Part covers registration, invoices and notes, e-invoicing and e-way bills, and books of account.</w:t>
      </w:r>
    </w:p>
    <w:p>
      <w:pPr>
        <w:pStyle w:val="Heading1"/>
        <w:spacing w:after="200" w:before="120"/>
      </w:pPr>
      <w:r>
        <w:rPr>
          <w:rFonts w:ascii="Verdana" w:cs="Verdana" w:eastAsia="Verdana" w:hAnsi="Verdana"/>
        </w:rPr>
        <w:t xml:space="preserve">20. Registration (Sections 22 to 30)</w:t>
      </w:r>
    </w:p>
    <w:p>
      <w:pPr>
        <w:spacing w:after="120" w:line="276"/>
        <w:jc w:val="both"/>
      </w:pPr>
      <w:r>
        <w:rPr>
          <w:rFonts w:ascii="Verdana" w:cs="Verdana" w:eastAsia="Verdana" w:hAnsi="Verdana"/>
        </w:rPr>
        <w:t xml:space="preserve">Registration under GST is PAN-based and State-wise. A business operating in three States needs three registrations, each with its own GSTIN, though the PAN is the same. The law is in sections 22 to 30 of the CGST Act and rules 8 to 26 of the CGST Rules.</w:t>
      </w:r>
    </w:p>
    <w:p>
      <w:pPr>
        <w:pStyle w:val="Heading2"/>
        <w:keepNext/>
        <w:spacing w:after="120" w:before="240"/>
      </w:pPr>
      <w:r>
        <w:rPr>
          <w:rFonts w:ascii="Verdana" w:cs="Verdana" w:eastAsia="Verdana" w:hAnsi="Verdana"/>
        </w:rPr>
        <w:t xml:space="preserve">20.1 Who must register: the threshold test</w:t>
      </w:r>
    </w:p>
    <w:p>
      <w:pPr>
        <w:spacing w:after="120" w:line="276"/>
        <w:jc w:val="both"/>
      </w:pPr>
      <w:r>
        <w:rPr>
          <w:rFonts w:ascii="Verdana" w:cs="Verdana" w:eastAsia="Verdana" w:hAnsi="Verdana"/>
        </w:rPr>
        <w:t xml:space="preserve">Section 22(1) requires a supplier to register in each State or Union territory from where he makes a taxable supply, once his </w:t>
      </w:r>
      <w:r>
        <w:rPr>
          <w:rFonts w:ascii="Verdana" w:cs="Verdana" w:eastAsia="Verdana" w:hAnsi="Verdana"/>
          <w:b/>
          <w:bCs/>
        </w:rPr>
        <w:t xml:space="preserve">aggregate turnover</w:t>
      </w:r>
      <w:r>
        <w:rPr>
          <w:rFonts w:ascii="Verdana" w:cs="Verdana" w:eastAsia="Verdana" w:hAnsi="Verdana"/>
        </w:rPr>
        <w:t xml:space="preserve"> in a financial year exceeds the threshold. Aggregate turnover (section 2(6)) covers taxable, exempt, export and inter-State supplies of all persons with the same PAN across India, excluding reverse charge inward supplies and the taxes.</w:t>
      </w:r>
    </w:p>
    <w:p>
      <w:pPr>
        <w:spacing w:after="120" w:line="276"/>
        <w:jc w:val="both"/>
      </w:pPr>
      <w:r>
        <w:rPr>
          <w:rFonts w:ascii="Verdana" w:cs="Verdana" w:eastAsia="Verdana" w:hAnsi="Verdana"/>
        </w:rPr>
        <w:t xml:space="preserve">The basic limit is Rs. 20 lakh. From 1 April 2019 it was raised to Rs. 40 lakh for persons engaged exclusively in supply of goods (Notification 10/2019-Central Tax), except suppliers of ice cream, pan masala, tobacco and, later, bricks and certain tiles. Some States did not adopt the higher limit.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1807"/>
        <w:gridCol w:w="2409"/>
        <w:gridCol w:w="2210"/>
      </w:tblGrid>
      <w:tr>
        <w:trPr>
          <w:cantSplit/>
          <w:tblHeader/>
        </w:trPr>
        <w:tc>
          <w:tcPr>
            <w:tcW w:type="dxa" w:w="321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Category of supplier</w:t>
            </w:r>
          </w:p>
        </w:tc>
        <w:tc>
          <w:tcPr>
            <w:tcW w:type="dxa" w:w="180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General States</w:t>
            </w:r>
          </w:p>
        </w:tc>
        <w:tc>
          <w:tcPr>
            <w:tcW w:type="dxa" w:w="240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States that did not adopt Rs. 40 lakh</w:t>
            </w:r>
          </w:p>
        </w:tc>
        <w:tc>
          <w:tcPr>
            <w:tcW w:type="dxa" w:w="221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Manipur, Mizoram, Nagaland, Tripura</w:t>
            </w:r>
          </w:p>
        </w:tc>
      </w:tr>
      <w:tr>
        <w:trPr>
          <w:cantSplit/>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Exclusively goods</w:t>
            </w:r>
          </w:p>
        </w:tc>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40 lakh</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20 lakh</w:t>
            </w:r>
          </w:p>
        </w:tc>
        <w:tc>
          <w:tcPr>
            <w:tcW w:type="dxa" w:w="22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10 lakh</w:t>
            </w:r>
          </w:p>
        </w:tc>
      </w:tr>
      <w:tr>
        <w:trPr>
          <w:cantSplit/>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Services, or goods and services</w:t>
            </w:r>
          </w:p>
        </w:tc>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20 lakh</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20 lakh</w:t>
            </w:r>
          </w:p>
        </w:tc>
        <w:tc>
          <w:tcPr>
            <w:tcW w:type="dxa" w:w="22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10 lakh</w:t>
            </w:r>
          </w:p>
        </w:tc>
      </w:tr>
      <w:tr>
        <w:trPr>
          <w:cantSplit/>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Excluded goods (ice cream, pan masala, tobacco, bricks)</w:t>
            </w:r>
          </w:p>
        </w:tc>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20 lakh</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20 lakh</w:t>
            </w:r>
          </w:p>
        </w:tc>
        <w:tc>
          <w:tcPr>
            <w:tcW w:type="dxa" w:w="22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10 lakh</w:t>
            </w:r>
          </w:p>
        </w:tc>
      </w:tr>
    </w:tbl>
    <w:p>
      <w:pPr>
        <w:spacing w:after="60"/>
      </w:pPr>
    </w:p>
    <w:p>
      <w:pPr>
        <w:spacing w:after="120" w:line="276"/>
        <w:jc w:val="both"/>
      </w:pPr>
      <w:r>
        <w:rPr>
          <w:rFonts w:ascii="Verdana" w:cs="Verdana" w:eastAsia="Verdana" w:hAnsi="Verdana"/>
        </w:rPr>
        <w:t xml:space="preserve">When the notification was issued, Arunachal Pradesh, Meghalaya, Puducherry, Sikkim, Telangana and Uttarakhand kept Rs. 20 lakh for goods. The four States in the last column are special category States for section 22. A State can change its choice, so check the current position before advising a client near the limit. A person earning interest on deposits or loans is still treated as exclusively supplying goods.</w:t>
      </w:r>
    </w:p>
    <w:p>
      <w:pPr>
        <w:spacing w:after="120" w:line="276"/>
        <w:jc w:val="both"/>
      </w:pPr>
      <w:r>
        <w:rPr>
          <w:rFonts w:ascii="Verdana" w:cs="Verdana" w:eastAsia="Verdana" w:hAnsi="Verdana"/>
        </w:rPr>
        <w:t xml:space="preserve">Application must be made within 30 days of becoming liable (section 25(1)). A late application gives registration only from the date of grant, leaving the gap exposed to tax, interest and penalty.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118: Aggregate turnover of a goods trader</w:t>
            </w:r>
          </w:p>
          <w:p>
            <w:pPr>
              <w:spacing w:after="60" w:line="260"/>
            </w:pPr>
            <w:r>
              <w:rPr>
                <w:rFonts w:ascii="Verdana" w:cs="Verdana" w:eastAsia="Verdana" w:hAnsi="Verdana"/>
                <w:sz w:val="20"/>
                <w:szCs w:val="20"/>
              </w:rPr>
              <w:t xml:space="preserve">Kavya Traders, Surat, deals only in goods. In FY 2025-26 up to December it sells packaged foods (5%) of Rs. 34,00,000 and fresh vegetables (exempt) of Rs. 7,50,000, all within Gujarat.</w:t>
            </w:r>
          </w:p>
          <w:p>
            <w:pPr>
              <w:spacing w:after="60" w:line="260"/>
            </w:pPr>
            <w:r>
              <w:rPr>
                <w:rFonts w:ascii="Verdana" w:cs="Verdana" w:eastAsia="Verdana" w:hAnsi="Verdana"/>
                <w:sz w:val="20"/>
                <w:szCs w:val="20"/>
              </w:rPr>
              <w:t xml:space="preserve">Step 1: Aggregate turnover includes exempt supplies: Rs. 34,00,000 + Rs. 7,50,000 = Rs. 41,50,000.</w:t>
            </w:r>
          </w:p>
          <w:p>
            <w:pPr>
              <w:spacing w:after="60" w:line="260"/>
            </w:pPr>
            <w:r>
              <w:rPr>
                <w:rFonts w:ascii="Verdana" w:cs="Verdana" w:eastAsia="Verdana" w:hAnsi="Verdana"/>
                <w:sz w:val="20"/>
                <w:szCs w:val="20"/>
              </w:rPr>
              <w:t xml:space="preserve">Result: Rs. 41,50,000 is more than Rs. 40,00,000, so registration is required within 30 days, though taxable sales alone are below the limit.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119: Supplier of both goods and services</w:t>
            </w:r>
          </w:p>
          <w:p>
            <w:pPr>
              <w:spacing w:after="60" w:line="260"/>
            </w:pPr>
            <w:r>
              <w:rPr>
                <w:rFonts w:ascii="Verdana" w:cs="Verdana" w:eastAsia="Verdana" w:hAnsi="Verdana"/>
                <w:sz w:val="20"/>
                <w:szCs w:val="20"/>
              </w:rPr>
              <w:t xml:space="preserve">Ansari Electricals, Lucknow, sells fittings of Rs. 15,00,000 and earns Rs. 6,00,000 from wiring services.</w:t>
            </w:r>
          </w:p>
          <w:p>
            <w:pPr>
              <w:spacing w:after="60" w:line="260"/>
            </w:pPr>
            <w:r>
              <w:rPr>
                <w:rFonts w:ascii="Verdana" w:cs="Verdana" w:eastAsia="Verdana" w:hAnsi="Verdana"/>
                <w:sz w:val="20"/>
                <w:szCs w:val="20"/>
              </w:rPr>
              <w:t xml:space="preserve">Step 1: It is not an exclusive goods supplier, so the limit is Rs. 20 lakh.</w:t>
            </w:r>
          </w:p>
          <w:p>
            <w:pPr>
              <w:spacing w:after="60" w:line="260"/>
            </w:pPr>
            <w:r>
              <w:rPr>
                <w:rFonts w:ascii="Verdana" w:cs="Verdana" w:eastAsia="Verdana" w:hAnsi="Verdana"/>
                <w:sz w:val="20"/>
                <w:szCs w:val="20"/>
              </w:rPr>
              <w:t xml:space="preserve">Step 2: Aggregate turnover = Rs. 15,00,000 + Rs. 6,00,000 = Rs. 21,00,000, more than Rs. 20,00,000.</w:t>
            </w:r>
          </w:p>
          <w:p>
            <w:pPr>
              <w:spacing w:after="60" w:line="260"/>
            </w:pPr>
            <w:r>
              <w:rPr>
                <w:rFonts w:ascii="Verdana" w:cs="Verdana" w:eastAsia="Verdana" w:hAnsi="Verdana"/>
                <w:sz w:val="20"/>
                <w:szCs w:val="20"/>
              </w:rPr>
              <w:t xml:space="preserve">Result: Registration is required, though each activity alone is below Rs. 20 lakh.</w:t>
            </w:r>
          </w:p>
        </w:tc>
      </w:tr>
    </w:tbl>
    <w:p>
      <w:pPr>
        <w:spacing w:after="60"/>
      </w:pPr>
    </w:p>
    <w:p>
      <w:pPr>
        <w:pStyle w:val="Heading2"/>
        <w:keepNext/>
        <w:spacing w:after="120" w:before="240"/>
      </w:pPr>
      <w:r>
        <w:rPr>
          <w:rFonts w:ascii="Verdana" w:cs="Verdana" w:eastAsia="Verdana" w:hAnsi="Verdana"/>
        </w:rPr>
        <w:t xml:space="preserve">20.2 Persons not liable to register</w:t>
      </w:r>
    </w:p>
    <w:p>
      <w:pPr>
        <w:spacing w:after="120" w:line="276"/>
        <w:jc w:val="both"/>
      </w:pPr>
      <w:r>
        <w:rPr>
          <w:rFonts w:ascii="Verdana" w:cs="Verdana" w:eastAsia="Verdana" w:hAnsi="Verdana"/>
        </w:rPr>
        <w:t xml:space="preserve">Section 23 excludes a person supplying only goods or services that are not taxable or wholly exempt (a fresh fruit dealer, a school), and an </w:t>
      </w:r>
      <w:r>
        <w:rPr>
          <w:rFonts w:ascii="Verdana" w:cs="Verdana" w:eastAsia="Verdana" w:hAnsi="Verdana"/>
          <w:b/>
          <w:bCs/>
        </w:rPr>
        <w:t xml:space="preserve">agriculturist</w:t>
      </w:r>
      <w:r>
        <w:rPr>
          <w:rFonts w:ascii="Verdana" w:cs="Verdana" w:eastAsia="Verdana" w:hAnsi="Verdana"/>
        </w:rPr>
        <w:t xml:space="preserve"> to the extent of supply of produce from cultivation of land (section 2(7)). A farmer selling his own paddy is outside; if he also buys and trades in other farmers' paddy, that trade is a business.</w:t>
      </w:r>
    </w:p>
    <w:p>
      <w:pPr>
        <w:pStyle w:val="Heading2"/>
        <w:keepNext/>
        <w:spacing w:after="120" w:before="240"/>
      </w:pPr>
      <w:r>
        <w:rPr>
          <w:rFonts w:ascii="Verdana" w:cs="Verdana" w:eastAsia="Verdana" w:hAnsi="Verdana"/>
        </w:rPr>
        <w:t xml:space="preserve">20.3 Compulsory registration under section 24</w:t>
      </w:r>
    </w:p>
    <w:p>
      <w:pPr>
        <w:spacing w:after="120" w:line="276"/>
        <w:jc w:val="both"/>
      </w:pPr>
      <w:r>
        <w:rPr>
          <w:rFonts w:ascii="Verdana" w:cs="Verdana" w:eastAsia="Verdana" w:hAnsi="Verdana"/>
        </w:rPr>
        <w:t xml:space="preserve">Section 24 persons must register regardless of turnover.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4517"/>
        <w:gridCol w:w="3816"/>
      </w:tblGrid>
      <w:tr>
        <w:trPr>
          <w:cantSplit/>
          <w:tblHeader/>
        </w:trPr>
        <w:tc>
          <w:tcPr>
            <w:tcW w:type="dxa" w:w="130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Clause</w:t>
            </w:r>
          </w:p>
        </w:tc>
        <w:tc>
          <w:tcPr>
            <w:tcW w:type="dxa" w:w="451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Person required to register</w:t>
            </w:r>
          </w:p>
        </w:tc>
        <w:tc>
          <w:tcPr>
            <w:tcW w:type="dxa" w:w="381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Relief by notification</w:t>
            </w:r>
          </w:p>
        </w:tc>
      </w:tr>
      <w:tr>
        <w:trPr>
          <w:cantSplit/>
        </w:trPr>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w:t>
            </w:r>
          </w:p>
        </w:tc>
        <w:tc>
          <w:tcPr>
            <w:tcW w:type="dxa" w:w="45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Persons making inter-State taxable supply</w:t>
            </w:r>
          </w:p>
        </w:tc>
        <w:tc>
          <w:tcPr>
            <w:tcW w:type="dxa" w:w="38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 providers within threshold; inter-State job workers; handicraft makers</w:t>
            </w:r>
          </w:p>
        </w:tc>
      </w:tr>
      <w:tr>
        <w:trPr>
          <w:cantSplit/>
        </w:trPr>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(ii)</w:t>
            </w:r>
          </w:p>
        </w:tc>
        <w:tc>
          <w:tcPr>
            <w:tcW w:type="dxa" w:w="45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Casual taxable persons</w:t>
            </w:r>
          </w:p>
        </w:tc>
        <w:tc>
          <w:tcPr>
            <w:tcW w:type="dxa" w:w="38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Handicraft suppliers within threshold</w:t>
            </w:r>
          </w:p>
        </w:tc>
      </w:tr>
      <w:tr>
        <w:trPr>
          <w:cantSplit/>
        </w:trPr>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(iii)</w:t>
            </w:r>
          </w:p>
        </w:tc>
        <w:tc>
          <w:tcPr>
            <w:tcW w:type="dxa" w:w="45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Persons liable to pay tax under reverse charge</w:t>
            </w:r>
          </w:p>
        </w:tc>
        <w:tc>
          <w:tcPr>
            <w:tcW w:type="dxa" w:w="38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None</w:t>
            </w:r>
          </w:p>
        </w:tc>
      </w:tr>
      <w:tr>
        <w:trPr>
          <w:cantSplit/>
        </w:trPr>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(iv)</w:t>
            </w:r>
          </w:p>
        </w:tc>
        <w:tc>
          <w:tcPr>
            <w:tcW w:type="dxa" w:w="45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E-commerce operators liable under section 9(5)</w:t>
            </w:r>
          </w:p>
        </w:tc>
        <w:tc>
          <w:tcPr>
            <w:tcW w:type="dxa" w:w="38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None</w:t>
            </w:r>
          </w:p>
        </w:tc>
      </w:tr>
      <w:tr>
        <w:trPr>
          <w:cantSplit/>
        </w:trPr>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w:t>
            </w:r>
          </w:p>
        </w:tc>
        <w:tc>
          <w:tcPr>
            <w:tcW w:type="dxa" w:w="45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Non-resident taxable persons</w:t>
            </w:r>
          </w:p>
        </w:tc>
        <w:tc>
          <w:tcPr>
            <w:tcW w:type="dxa" w:w="38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None</w:t>
            </w:r>
          </w:p>
        </w:tc>
      </w:tr>
      <w:tr>
        <w:trPr>
          <w:cantSplit/>
        </w:trPr>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(vi), (x)</w:t>
            </w:r>
          </w:p>
        </w:tc>
        <w:tc>
          <w:tcPr>
            <w:tcW w:type="dxa" w:w="45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deductors under section 51; e-commerce operators collecting TCS</w:t>
            </w:r>
          </w:p>
        </w:tc>
        <w:tc>
          <w:tcPr>
            <w:tcW w:type="dxa" w:w="38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None</w:t>
            </w:r>
          </w:p>
        </w:tc>
      </w:tr>
      <w:tr>
        <w:trPr>
          <w:cantSplit/>
        </w:trPr>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(vii), (viii)</w:t>
            </w:r>
          </w:p>
        </w:tc>
        <w:tc>
          <w:tcPr>
            <w:tcW w:type="dxa" w:w="45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Agents supplying on behalf of principals; Input Service Distributors</w:t>
            </w:r>
          </w:p>
        </w:tc>
        <w:tc>
          <w:tcPr>
            <w:tcW w:type="dxa" w:w="38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None</w:t>
            </w:r>
          </w:p>
        </w:tc>
      </w:tr>
      <w:tr>
        <w:trPr>
          <w:cantSplit/>
        </w:trPr>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(ix)</w:t>
            </w:r>
          </w:p>
        </w:tc>
        <w:tc>
          <w:tcPr>
            <w:tcW w:type="dxa" w:w="45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Persons supplying through an e-commerce operator collecting TCS</w:t>
            </w:r>
          </w:p>
        </w:tc>
        <w:tc>
          <w:tcPr>
            <w:tcW w:type="dxa" w:w="38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 providers within threshold; goods sellers within threshold from 1 October 2023 (conditions)</w:t>
            </w:r>
          </w:p>
        </w:tc>
      </w:tr>
      <w:tr>
        <w:trPr>
          <w:cantSplit/>
        </w:trPr>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(xi)</w:t>
            </w:r>
          </w:p>
        </w:tc>
        <w:tc>
          <w:tcPr>
            <w:tcW w:type="dxa" w:w="45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Foreign suppliers of online information and database access services to unregistered persons</w:t>
            </w:r>
          </w:p>
        </w:tc>
        <w:tc>
          <w:tcPr>
            <w:tcW w:type="dxa" w:w="38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None</w:t>
            </w:r>
          </w:p>
        </w:tc>
      </w:tr>
    </w:tbl>
    <w:p>
      <w:pPr>
        <w:spacing w:after="60"/>
      </w:pPr>
    </w:p>
    <w:p>
      <w:pPr>
        <w:spacing w:after="120" w:line="276"/>
        <w:jc w:val="both"/>
      </w:pPr>
      <w:r>
        <w:rPr>
          <w:rFonts w:ascii="Verdana" w:cs="Verdana" w:eastAsia="Verdana" w:hAnsi="Verdana"/>
        </w:rPr>
        <w:t xml:space="preserve">Service providers making inter-State supplies need not register within the services threshold, but a goods trader who ships even one consignment to another State must register. From 1 October 2023 a goods seller on an e-commerce platform is exempt if he is within the threshold, makes no inter-State supplies, sells in only one State, and obtains an enrolment number on the portal using his PAN.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The Rs. 40 lakh limit and the reliefs answer only the threshold question. A person covered by section 24 must register even with a turnover of Rs. 1. A common error is a small goods trader who begins supplying across the State border and continues unregistered because his turnover is small.</w:t>
            </w:r>
          </w:p>
        </w:tc>
      </w:tr>
    </w:tbl>
    <w:p>
      <w:pPr>
        <w:spacing w:after="60"/>
      </w:pPr>
    </w:p>
    <w:p>
      <w:pPr>
        <w:pStyle w:val="Heading2"/>
        <w:keepNext/>
        <w:spacing w:after="120" w:before="240"/>
      </w:pPr>
      <w:r>
        <w:rPr>
          <w:rFonts w:ascii="Verdana" w:cs="Verdana" w:eastAsia="Verdana" w:hAnsi="Verdana"/>
        </w:rPr>
        <w:t xml:space="preserve">20.4 Voluntary registration, places of business and distinct persons</w:t>
      </w:r>
    </w:p>
    <w:p>
      <w:pPr>
        <w:spacing w:after="120" w:line="276"/>
        <w:jc w:val="both"/>
      </w:pPr>
      <w:r>
        <w:rPr>
          <w:rFonts w:ascii="Verdana" w:cs="Verdana" w:eastAsia="Verdana" w:hAnsi="Verdana"/>
        </w:rPr>
        <w:t xml:space="preserve">Any person may register voluntarily (section 25(3)), taking on all obligations, usually because buyers want credit or exporters want refunds. One registration covers all places of business in a State; separate registrations for different places in the same State are optional (rule 11).</w:t>
      </w:r>
    </w:p>
    <w:p>
      <w:pPr>
        <w:spacing w:after="120" w:line="276"/>
        <w:jc w:val="both"/>
      </w:pPr>
      <w:r>
        <w:rPr>
          <w:rFonts w:ascii="Verdana" w:cs="Verdana" w:eastAsia="Verdana" w:hAnsi="Verdana"/>
        </w:rPr>
        <w:t xml:space="preserve">Each registration under the same PAN is a </w:t>
      </w:r>
      <w:r>
        <w:rPr>
          <w:rFonts w:ascii="Verdana" w:cs="Verdana" w:eastAsia="Verdana" w:hAnsi="Verdana"/>
          <w:b/>
          <w:bCs/>
        </w:rPr>
        <w:t xml:space="preserve">distinct person</w:t>
      </w:r>
      <w:r>
        <w:rPr>
          <w:rFonts w:ascii="Verdana" w:cs="Verdana" w:eastAsia="Verdana" w:hAnsi="Verdana"/>
        </w:rPr>
        <w:t xml:space="preserve"> (section 25(4)). A supply between distinct persons is taxable even without consideration (Schedule I, paragraph 2) and is valued under rule 28. An </w:t>
      </w:r>
      <w:r>
        <w:rPr>
          <w:rFonts w:ascii="Verdana" w:cs="Verdana" w:eastAsia="Verdana" w:hAnsi="Verdana"/>
          <w:b/>
          <w:bCs/>
        </w:rPr>
        <w:t xml:space="preserve">SEZ unit or developer</w:t>
      </w:r>
      <w:r>
        <w:rPr>
          <w:rFonts w:ascii="Verdana" w:cs="Verdana" w:eastAsia="Verdana" w:hAnsi="Verdana"/>
        </w:rPr>
        <w:t xml:space="preserve"> must take a registration for the SEZ separate from its other places in the State (proviso to rule 8(1)), keeping the zero-rated SEZ regime apart from domestic operations.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120: Stock transfer between distinct persons</w:t>
            </w:r>
          </w:p>
          <w:p>
            <w:pPr>
              <w:spacing w:after="60" w:line="260"/>
            </w:pPr>
            <w:r>
              <w:rPr>
                <w:rFonts w:ascii="Verdana" w:cs="Verdana" w:eastAsia="Verdana" w:hAnsi="Verdana"/>
                <w:sz w:val="20"/>
                <w:szCs w:val="20"/>
              </w:rPr>
              <w:t xml:space="preserve">Sharma Textiles Pvt. Ltd. transfers shirting from Ahmedabad to its registered Mumbai depot. Cost is Rs. 8,00,000; the Mumbai depot is eligible for full ITC. The goods are taxed at 5%.</w:t>
            </w:r>
          </w:p>
          <w:p>
            <w:pPr>
              <w:spacing w:after="60" w:line="260"/>
            </w:pPr>
            <w:r>
              <w:rPr>
                <w:rFonts w:ascii="Verdana" w:cs="Verdana" w:eastAsia="Verdana" w:hAnsi="Verdana"/>
                <w:sz w:val="20"/>
                <w:szCs w:val="20"/>
              </w:rPr>
              <w:t xml:space="preserve">Step 1: Inter-State supply between distinct persons: IGST applies.</w:t>
            </w:r>
          </w:p>
          <w:p>
            <w:pPr>
              <w:spacing w:after="60" w:line="260"/>
            </w:pPr>
            <w:r>
              <w:rPr>
                <w:rFonts w:ascii="Verdana" w:cs="Verdana" w:eastAsia="Verdana" w:hAnsi="Verdana"/>
                <w:sz w:val="20"/>
                <w:szCs w:val="20"/>
              </w:rPr>
              <w:t xml:space="preserve">Step 2: Under the second proviso to rule 28(1), the invoice value is deemed open market value where the recipient gets full ITC. Value = Rs. 8,00,000.</w:t>
            </w:r>
          </w:p>
          <w:p>
            <w:pPr>
              <w:spacing w:after="60" w:line="260"/>
            </w:pPr>
            <w:r>
              <w:rPr>
                <w:rFonts w:ascii="Verdana" w:cs="Verdana" w:eastAsia="Verdana" w:hAnsi="Verdana"/>
                <w:sz w:val="20"/>
                <w:szCs w:val="20"/>
              </w:rPr>
              <w:t xml:space="preserve">Step 3: IGST = 5% of Rs. 8,00,000 = Rs. 40,000, paid in Gujarat and taken as ITC in Mumbai.</w:t>
            </w:r>
          </w:p>
          <w:p>
            <w:pPr>
              <w:spacing w:after="60" w:line="260"/>
            </w:pPr>
            <w:r>
              <w:rPr>
                <w:rFonts w:ascii="Verdana" w:cs="Verdana" w:eastAsia="Verdana" w:hAnsi="Verdana"/>
                <w:sz w:val="20"/>
                <w:szCs w:val="20"/>
              </w:rPr>
              <w:t xml:space="preserve">Step 4: Mumbai sells for Rs. 10,00,000: CGST Rs. 25,000 + SGST Rs. 25,000 = Rs. 50,000, less ITC Rs. 40,000 = Rs. 10,000 payable.</w:t>
            </w:r>
          </w:p>
        </w:tc>
      </w:tr>
    </w:tbl>
    <w:p>
      <w:pPr>
        <w:spacing w:after="60"/>
      </w:pPr>
    </w:p>
    <w:p>
      <w:pPr>
        <w:pStyle w:val="Heading2"/>
        <w:keepNext/>
        <w:spacing w:after="120" w:before="240"/>
      </w:pPr>
      <w:r>
        <w:rPr>
          <w:rFonts w:ascii="Verdana" w:cs="Verdana" w:eastAsia="Verdana" w:hAnsi="Verdana"/>
        </w:rPr>
        <w:t xml:space="preserve">20.5 The registration process</w:t>
      </w:r>
    </w:p>
    <w:p>
      <w:pPr>
        <w:spacing w:after="120" w:line="276"/>
        <w:jc w:val="both"/>
      </w:pPr>
      <w:r>
        <w:rPr>
          <w:rFonts w:ascii="Verdana" w:cs="Verdana" w:eastAsia="Verdana" w:hAnsi="Verdana"/>
        </w:rPr>
        <w:t xml:space="preserve">The application is made in </w:t>
      </w:r>
      <w:r>
        <w:rPr>
          <w:rFonts w:ascii="Verdana" w:cs="Verdana" w:eastAsia="Verdana" w:hAnsi="Verdana"/>
          <w:b/>
          <w:bCs/>
        </w:rPr>
        <w:t xml:space="preserve">REG-01</w:t>
      </w:r>
      <w:r>
        <w:rPr>
          <w:rFonts w:ascii="Verdana" w:cs="Verdana" w:eastAsia="Verdana" w:hAnsi="Verdana"/>
        </w:rPr>
        <w:t xml:space="preserve"> (rule 8). Part A captures PAN, mobile and e-mail, verified by OTP; Part B captures business, promoter, place of business and bank details, and an ARN is generated. </w:t>
      </w:r>
      <w:r>
        <w:rPr>
          <w:rFonts w:ascii="Verdana" w:cs="Verdana" w:eastAsia="Verdana" w:hAnsi="Verdana"/>
          <w:b/>
          <w:bCs/>
        </w:rPr>
        <w:t xml:space="preserve">Aadhaar authentication</w:t>
      </w:r>
      <w:r>
        <w:rPr>
          <w:rFonts w:ascii="Verdana" w:cs="Verdana" w:eastAsia="Verdana" w:hAnsi="Verdana"/>
        </w:rPr>
        <w:t xml:space="preserve"> of the proprietor, partners, directors or authorised signatory is required (section 25(6B), rule 8(4A)). Where the system flags an application on risk parameters, the applicant must visit a </w:t>
      </w:r>
      <w:r>
        <w:rPr>
          <w:rFonts w:ascii="Verdana" w:cs="Verdana" w:eastAsia="Verdana" w:hAnsi="Verdana"/>
          <w:b/>
          <w:bCs/>
        </w:rPr>
        <w:t xml:space="preserve">GST Suvidha Kendra</w:t>
      </w:r>
      <w:r>
        <w:rPr>
          <w:rFonts w:ascii="Verdana" w:cs="Verdana" w:eastAsia="Verdana" w:hAnsi="Verdana"/>
        </w:rPr>
        <w:t xml:space="preserve"> for biometric authentication, photograph and verification of original documents. This targets fake registrations used for bogus invoicing.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5"/>
        <w:gridCol w:w="3413"/>
        <w:gridCol w:w="2210"/>
      </w:tblGrid>
      <w:tr>
        <w:trPr>
          <w:cantSplit/>
          <w:tblHeader/>
        </w:trPr>
        <w:tc>
          <w:tcPr>
            <w:tcW w:type="dxa" w:w="401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Stage</w:t>
            </w:r>
          </w:p>
        </w:tc>
        <w:tc>
          <w:tcPr>
            <w:tcW w:type="dxa" w:w="341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Time limit</w:t>
            </w:r>
          </w:p>
        </w:tc>
        <w:tc>
          <w:tcPr>
            <w:tcW w:type="dxa" w:w="221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Form</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Approval, Aadhaar authenticated</w:t>
            </w:r>
          </w:p>
        </w:tc>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 working days</w:t>
            </w:r>
          </w:p>
        </w:tc>
        <w:tc>
          <w:tcPr>
            <w:tcW w:type="dxa" w:w="22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REG-06</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Approval with physical verification</w:t>
            </w:r>
          </w:p>
        </w:tc>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days</w:t>
            </w:r>
          </w:p>
        </w:tc>
        <w:tc>
          <w:tcPr>
            <w:tcW w:type="dxa" w:w="22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REG-06</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Query by officer / reply by applicant</w:t>
            </w:r>
          </w:p>
        </w:tc>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Within the above period / 7 working days</w:t>
            </w:r>
          </w:p>
        </w:tc>
        <w:tc>
          <w:tcPr>
            <w:tcW w:type="dxa" w:w="22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REG-03 / REG-04</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Order after reply</w:t>
            </w:r>
          </w:p>
        </w:tc>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 working days</w:t>
            </w:r>
          </w:p>
        </w:tc>
        <w:tc>
          <w:tcPr>
            <w:tcW w:type="dxa" w:w="22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REG-06 or REG-05</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Rule 14A and system-identified low-risk cases</w:t>
            </w:r>
          </w:p>
        </w:tc>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 working days</w:t>
            </w:r>
          </w:p>
        </w:tc>
        <w:tc>
          <w:tcPr>
            <w:tcW w:type="dxa" w:w="22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REG-06</w:t>
            </w:r>
          </w:p>
        </w:tc>
      </w:tr>
    </w:tbl>
    <w:p>
      <w:pPr>
        <w:spacing w:after="60"/>
      </w:pPr>
    </w:p>
    <w:p>
      <w:pPr>
        <w:spacing w:after="120" w:line="276"/>
        <w:jc w:val="both"/>
      </w:pPr>
      <w:r>
        <w:rPr>
          <w:rFonts w:ascii="Verdana" w:cs="Verdana" w:eastAsia="Verdana" w:hAnsi="Verdana"/>
        </w:rPr>
        <w:t xml:space="preserve">If the officer does not act within these periods, the registration is </w:t>
      </w:r>
      <w:r>
        <w:rPr>
          <w:rFonts w:ascii="Verdana" w:cs="Verdana" w:eastAsia="Verdana" w:hAnsi="Verdana"/>
          <w:b/>
          <w:bCs/>
        </w:rPr>
        <w:t xml:space="preserve">deemed approved</w:t>
      </w:r>
      <w:r>
        <w:rPr>
          <w:rFonts w:ascii="Verdana" w:cs="Verdana" w:eastAsia="Verdana" w:hAnsi="Verdana"/>
        </w:rPr>
        <w:t xml:space="preserve"> (rule 9(5)). From 1 November 2025, applicants identified by the system as low risk are registered within 3 working days. On the same date </w:t>
      </w:r>
      <w:r>
        <w:rPr>
          <w:rFonts w:ascii="Verdana" w:cs="Verdana" w:eastAsia="Verdana" w:hAnsi="Verdana"/>
          <w:b/>
          <w:bCs/>
        </w:rPr>
        <w:t xml:space="preserve">rule 14A</w:t>
      </w:r>
      <w:r>
        <w:rPr>
          <w:rFonts w:ascii="Verdana" w:cs="Verdana" w:eastAsia="Verdana" w:hAnsi="Verdana"/>
        </w:rPr>
        <w:t xml:space="preserve"> introduced an optional simplified registration for an applicant whose output tax on supplies to registered persons will not exceed </w:t>
      </w:r>
      <w:r>
        <w:rPr>
          <w:rFonts w:ascii="Verdana" w:cs="Verdana" w:eastAsia="Verdana" w:hAnsi="Verdana"/>
          <w:b/>
          <w:bCs/>
        </w:rPr>
        <w:t xml:space="preserve">Rs. 2.5 lakh a month</w:t>
      </w:r>
      <w:r>
        <w:rPr>
          <w:rFonts w:ascii="Verdana" w:cs="Verdana" w:eastAsia="Verdana" w:hAnsi="Verdana"/>
        </w:rPr>
        <w:t xml:space="preserve">. Aadhaar authentication is compulsory, only one rule 14A registration per PAN is allowed in a State, and registration is granted within 3 working days. A person who outgrows the limit withdraws through </w:t>
      </w:r>
      <w:r>
        <w:rPr>
          <w:rFonts w:ascii="Verdana" w:cs="Verdana" w:eastAsia="Verdana" w:hAnsi="Verdana"/>
          <w:b/>
          <w:bCs/>
        </w:rPr>
        <w:t xml:space="preserve">REG-32</w:t>
      </w:r>
      <w:r>
        <w:rPr>
          <w:rFonts w:ascii="Verdana" w:cs="Verdana" w:eastAsia="Verdana" w:hAnsi="Verdana"/>
        </w:rPr>
        <w:t xml:space="preserve">, after filing all returns due, covering at least three months (withdrawal before 1 April 2026) or at least one tax period (thereafter), and only if no amendment or cancellation is pending.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Most rejections come from mismatched address documents, unsigned rent agreements or photographs without the name board. Keep proofs ready and reply to REG-03 within 7 working days.</w:t>
            </w:r>
          </w:p>
        </w:tc>
      </w:tr>
    </w:tbl>
    <w:p>
      <w:pPr>
        <w:spacing w:after="60"/>
      </w:pPr>
    </w:p>
    <w:p>
      <w:pPr>
        <w:pStyle w:val="Heading2"/>
        <w:keepNext/>
        <w:spacing w:after="120" w:before="240"/>
      </w:pPr>
      <w:r>
        <w:rPr>
          <w:rFonts w:ascii="Verdana" w:cs="Verdana" w:eastAsia="Verdana" w:hAnsi="Verdana"/>
        </w:rPr>
        <w:t xml:space="preserve">20.6 Casual and non-resident taxable persons, and UIN</w:t>
      </w:r>
    </w:p>
    <w:p>
      <w:pPr>
        <w:spacing w:after="120" w:line="276"/>
        <w:jc w:val="both"/>
      </w:pPr>
      <w:r>
        <w:rPr>
          <w:rFonts w:ascii="Verdana" w:cs="Verdana" w:eastAsia="Verdana" w:hAnsi="Verdana"/>
        </w:rPr>
        <w:t xml:space="preserve">A </w:t>
      </w:r>
      <w:r>
        <w:rPr>
          <w:rFonts w:ascii="Verdana" w:cs="Verdana" w:eastAsia="Verdana" w:hAnsi="Verdana"/>
          <w:b/>
          <w:bCs/>
        </w:rPr>
        <w:t xml:space="preserve">casual taxable person</w:t>
      </w:r>
      <w:r>
        <w:rPr>
          <w:rFonts w:ascii="Verdana" w:cs="Verdana" w:eastAsia="Verdana" w:hAnsi="Verdana"/>
        </w:rPr>
        <w:t xml:space="preserve"> occasionally supplies in a State without a fixed place of business there (a trade fair stall). A </w:t>
      </w:r>
      <w:r>
        <w:rPr>
          <w:rFonts w:ascii="Verdana" w:cs="Verdana" w:eastAsia="Verdana" w:hAnsi="Verdana"/>
          <w:b/>
          <w:bCs/>
        </w:rPr>
        <w:t xml:space="preserve">non-resident taxable person</w:t>
      </w:r>
      <w:r>
        <w:rPr>
          <w:rFonts w:ascii="Verdana" w:cs="Verdana" w:eastAsia="Verdana" w:hAnsi="Verdana"/>
        </w:rPr>
        <w:t xml:space="preserve"> does so in India, applying in REG-09 through a resident signatory. Both must apply at least 5 days before starting, get registration for up to 90 days (extendable by up to 90 days in REG-11), and must deposit </w:t>
      </w:r>
      <w:r>
        <w:rPr>
          <w:rFonts w:ascii="Verdana" w:cs="Verdana" w:eastAsia="Verdana" w:hAnsi="Verdana"/>
          <w:b/>
          <w:bCs/>
        </w:rPr>
        <w:t xml:space="preserve">tax equal to the estimated liability</w:t>
      </w:r>
      <w:r>
        <w:rPr>
          <w:rFonts w:ascii="Verdana" w:cs="Verdana" w:eastAsia="Verdana" w:hAnsi="Verdana"/>
        </w:rPr>
        <w:t xml:space="preserve"> in advance (section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121: Advance deposit by a casual taxable person</w:t>
            </w:r>
          </w:p>
          <w:p>
            <w:pPr>
              <w:spacing w:after="60" w:line="260"/>
            </w:pPr>
            <w:r>
              <w:rPr>
                <w:rFonts w:ascii="Verdana" w:cs="Verdana" w:eastAsia="Verdana" w:hAnsi="Verdana"/>
                <w:sz w:val="20"/>
                <w:szCs w:val="20"/>
              </w:rPr>
              <w:t xml:space="preserve">Rao Handloom Weavers, Andhra Pradesh, takes a stall at a 20-day exhibition in Bengaluru. Expected sales: garments priced up to Rs. 2,500 a piece (5%) Rs. 12,00,000 and furnishings priced above Rs. 2,500 a piece (18%) Rs. 3,00,000.</w:t>
            </w:r>
          </w:p>
          <w:p>
            <w:pPr>
              <w:spacing w:after="60" w:line="260"/>
            </w:pPr>
            <w:r>
              <w:rPr>
                <w:rFonts w:ascii="Verdana" w:cs="Verdana" w:eastAsia="Verdana" w:hAnsi="Verdana"/>
                <w:sz w:val="20"/>
                <w:szCs w:val="20"/>
              </w:rPr>
              <w:t xml:space="preserve">Step 1: Tax on garments = Rs. 60,000 (CGST Rs. 30,000 + SGST Rs. 30,000).</w:t>
            </w:r>
          </w:p>
          <w:p>
            <w:pPr>
              <w:spacing w:after="60" w:line="260"/>
            </w:pPr>
            <w:r>
              <w:rPr>
                <w:rFonts w:ascii="Verdana" w:cs="Verdana" w:eastAsia="Verdana" w:hAnsi="Verdana"/>
                <w:sz w:val="20"/>
                <w:szCs w:val="20"/>
              </w:rPr>
              <w:t xml:space="preserve">Step 2: Tax on furnishings = Rs. 54,000 (CGST Rs. 27,000 + SGST Rs. 27,000).</w:t>
            </w:r>
          </w:p>
          <w:p>
            <w:pPr>
              <w:spacing w:after="60" w:line="260"/>
            </w:pPr>
            <w:r>
              <w:rPr>
                <w:rFonts w:ascii="Verdana" w:cs="Verdana" w:eastAsia="Verdana" w:hAnsi="Verdana"/>
                <w:sz w:val="20"/>
                <w:szCs w:val="20"/>
              </w:rPr>
              <w:t xml:space="preserve">Result: Advance deposit = Rs. 1,14,000. It is used against actual liability, and any balance is refunded after the final return.</w:t>
            </w:r>
          </w:p>
        </w:tc>
      </w:tr>
    </w:tbl>
    <w:p>
      <w:pPr>
        <w:spacing w:after="60"/>
      </w:pPr>
    </w:p>
    <w:p>
      <w:pPr>
        <w:spacing w:after="120" w:line="276"/>
        <w:jc w:val="both"/>
      </w:pPr>
      <w:r>
        <w:rPr>
          <w:rFonts w:ascii="Verdana" w:cs="Verdana" w:eastAsia="Verdana" w:hAnsi="Verdana"/>
        </w:rPr>
        <w:t xml:space="preserve">UN agencies, embassies and notified bodies receive a </w:t>
      </w:r>
      <w:r>
        <w:rPr>
          <w:rFonts w:ascii="Verdana" w:cs="Verdana" w:eastAsia="Verdana" w:hAnsi="Verdana"/>
          <w:b/>
          <w:bCs/>
        </w:rPr>
        <w:t xml:space="preserve">Unique Identity Number</w:t>
      </w:r>
      <w:r>
        <w:rPr>
          <w:rFonts w:ascii="Verdana" w:cs="Verdana" w:eastAsia="Verdana" w:hAnsi="Verdana"/>
        </w:rPr>
        <w:t xml:space="preserve"> (section 25(9), REG-13) to claim refund of tax on their purchases under section 55. Suppliers show the UIN on invoices and in GSTR-1.</w:t>
      </w:r>
    </w:p>
    <w:p>
      <w:pPr>
        <w:pStyle w:val="Heading2"/>
        <w:keepNext/>
        <w:spacing w:after="120" w:before="240"/>
      </w:pPr>
      <w:r>
        <w:rPr>
          <w:rFonts w:ascii="Verdana" w:cs="Verdana" w:eastAsia="Verdana" w:hAnsi="Verdana"/>
        </w:rPr>
        <w:t xml:space="preserve">20.7 Amendment and suspension</w:t>
      </w:r>
    </w:p>
    <w:p>
      <w:pPr>
        <w:spacing w:after="120" w:line="276"/>
        <w:jc w:val="both"/>
      </w:pPr>
      <w:r>
        <w:rPr>
          <w:rFonts w:ascii="Verdana" w:cs="Verdana" w:eastAsia="Verdana" w:hAnsi="Verdana"/>
        </w:rPr>
        <w:t xml:space="preserve">Changes are filed in </w:t>
      </w:r>
      <w:r>
        <w:rPr>
          <w:rFonts w:ascii="Verdana" w:cs="Verdana" w:eastAsia="Verdana" w:hAnsi="Verdana"/>
          <w:b/>
          <w:bCs/>
        </w:rPr>
        <w:t xml:space="preserve">REG-14</w:t>
      </w:r>
      <w:r>
        <w:rPr>
          <w:rFonts w:ascii="Verdana" w:cs="Verdana" w:eastAsia="Verdana" w:hAnsi="Verdana"/>
        </w:rPr>
        <w:t xml:space="preserve"> within 15 days (rule 19). Core fields (legal name without change of PAN, principal or additional place of business, partners or directors) need approval within 15 working days; other fields are self-amended. A change of PAN, as when a proprietorship becomes a company, needs a fresh registration, with transfer of credit under section 18(3).</w:t>
      </w:r>
    </w:p>
    <w:p>
      <w:pPr>
        <w:spacing w:after="120" w:line="276"/>
        <w:jc w:val="both"/>
      </w:pPr>
      <w:r>
        <w:rPr>
          <w:rFonts w:ascii="Verdana" w:cs="Verdana" w:eastAsia="Verdana" w:hAnsi="Verdana"/>
          <w:b/>
          <w:bCs/>
        </w:rPr>
        <w:t xml:space="preserve">Suspension (rule 21A)</w:t>
      </w:r>
      <w:r>
        <w:rPr>
          <w:rFonts w:ascii="Verdana" w:cs="Verdana" w:eastAsia="Verdana" w:hAnsi="Verdana"/>
        </w:rPr>
        <w:t xml:space="preserve"> is an interim stage while cancellation is considered, from the date of the application or of the officer's proceedings. During suspension the person makes no taxable supplies, need not file returns and gets no refund. The system may also suspend where GSTR-1 exceeds GSTR-3B liability or GSTR-3B credit exceeds GSTR-2B (rule 21A(2A)), with an intimation in REG-31 to be answered within 30 days. If the proceedings are dropped, the suspension is revoked from its start.</w:t>
      </w:r>
    </w:p>
    <w:p>
      <w:pPr>
        <w:pStyle w:val="Heading2"/>
        <w:keepNext/>
        <w:spacing w:after="120" w:before="240"/>
      </w:pPr>
      <w:r>
        <w:rPr>
          <w:rFonts w:ascii="Verdana" w:cs="Verdana" w:eastAsia="Verdana" w:hAnsi="Verdana"/>
        </w:rPr>
        <w:t xml:space="preserve">20.8 Cancellation (section 29)</w:t>
      </w:r>
    </w:p>
    <w:p>
      <w:pPr>
        <w:spacing w:after="120" w:line="276"/>
        <w:jc w:val="both"/>
      </w:pPr>
      <w:r>
        <w:rPr>
          <w:rFonts w:ascii="Verdana" w:cs="Verdana" w:eastAsia="Verdana" w:hAnsi="Verdana"/>
        </w:rPr>
        <w:t xml:space="preserve">A taxpayer may apply in </w:t>
      </w:r>
      <w:r>
        <w:rPr>
          <w:rFonts w:ascii="Verdana" w:cs="Verdana" w:eastAsia="Verdana" w:hAnsi="Verdana"/>
          <w:b/>
          <w:bCs/>
        </w:rPr>
        <w:t xml:space="preserve">REG-16</w:t>
      </w:r>
      <w:r>
        <w:rPr>
          <w:rFonts w:ascii="Verdana" w:cs="Verdana" w:eastAsia="Verdana" w:hAnsi="Verdana"/>
        </w:rPr>
        <w:t xml:space="preserve"> within 30 days where the business is discontinued, transferred, amalgamated or demerged, the constitution changes, or he is no longer liable. The officer may cancel under section 29(2) for contravention of the law, non-filing of returns for a continuous period (six months for a monthly filer and two consecutive tax periods for a quarterly filer under rule 21; for a composition taxpayer, the annual return not filed within three months of its due date), failure of a voluntary registrant to start business within six months, or registration obtained by fraud. The procedure is a notice in </w:t>
      </w:r>
      <w:r>
        <w:rPr>
          <w:rFonts w:ascii="Verdana" w:cs="Verdana" w:eastAsia="Verdana" w:hAnsi="Verdana"/>
          <w:b/>
          <w:bCs/>
        </w:rPr>
        <w:t xml:space="preserve">REG-17</w:t>
      </w:r>
      <w:r>
        <w:rPr>
          <w:rFonts w:ascii="Verdana" w:cs="Verdana" w:eastAsia="Verdana" w:hAnsi="Verdana"/>
        </w:rPr>
        <w:t xml:space="preserve">, reply in </w:t>
      </w:r>
      <w:r>
        <w:rPr>
          <w:rFonts w:ascii="Verdana" w:cs="Verdana" w:eastAsia="Verdana" w:hAnsi="Verdana"/>
          <w:b/>
          <w:bCs/>
        </w:rPr>
        <w:t xml:space="preserve">REG-18</w:t>
      </w:r>
      <w:r>
        <w:rPr>
          <w:rFonts w:ascii="Verdana" w:cs="Verdana" w:eastAsia="Verdana" w:hAnsi="Verdana"/>
        </w:rPr>
        <w:t xml:space="preserve"> within 7 working days, and an order in </w:t>
      </w:r>
      <w:r>
        <w:rPr>
          <w:rFonts w:ascii="Verdana" w:cs="Verdana" w:eastAsia="Verdana" w:hAnsi="Verdana"/>
          <w:b/>
          <w:bCs/>
        </w:rPr>
        <w:t xml:space="preserve">REG-19</w:t>
      </w:r>
      <w:r>
        <w:rPr>
          <w:rFonts w:ascii="Verdana" w:cs="Verdana" w:eastAsia="Verdana" w:hAnsi="Verdana"/>
        </w:rPr>
        <w:t xml:space="preserve"> within 30 days (or REG-20 dropping proceedings). A final return in </w:t>
      </w:r>
      <w:r>
        <w:rPr>
          <w:rFonts w:ascii="Verdana" w:cs="Verdana" w:eastAsia="Verdana" w:hAnsi="Verdana"/>
          <w:b/>
          <w:bCs/>
        </w:rPr>
        <w:t xml:space="preserve">GSTR-10</w:t>
      </w:r>
      <w:r>
        <w:rPr>
          <w:rFonts w:ascii="Verdana" w:cs="Verdana" w:eastAsia="Verdana" w:hAnsi="Verdana"/>
        </w:rPr>
        <w:t xml:space="preserve"> is due within three months of the cancellation date or order date, whichever is later.</w:t>
      </w:r>
    </w:p>
    <w:p>
      <w:pPr>
        <w:spacing w:after="120" w:line="276"/>
        <w:jc w:val="both"/>
      </w:pPr>
      <w:r>
        <w:rPr>
          <w:rFonts w:ascii="Verdana" w:cs="Verdana" w:eastAsia="Verdana" w:hAnsi="Verdana"/>
        </w:rPr>
        <w:t xml:space="preserve">On cancellation, section 29(5) requires payment of the higher of the ITC on inputs in stock (as such or in semi-finished or finished goods) and the output tax on them. For capital goods, rule 44 takes ITC for the remaining life on a five-year basis, or tax on transaction value, if higher. Details are filed in </w:t>
      </w:r>
      <w:r>
        <w:rPr>
          <w:rFonts w:ascii="Verdana" w:cs="Verdana" w:eastAsia="Verdana" w:hAnsi="Verdana"/>
          <w:b/>
          <w:bCs/>
        </w:rPr>
        <w:t xml:space="preserve">ITC-03</w:t>
      </w:r>
      <w:r>
        <w:rPr>
          <w:rFonts w:ascii="Verdana" w:cs="Verdana" w:eastAsia="Verdana" w:hAnsi="Verdana"/>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122: Payment under section 29(5)</w:t>
            </w:r>
          </w:p>
          <w:p>
            <w:pPr>
              <w:spacing w:after="60" w:line="260"/>
            </w:pPr>
            <w:r>
              <w:rPr>
                <w:rFonts w:ascii="Verdana" w:cs="Verdana" w:eastAsia="Verdana" w:hAnsi="Verdana"/>
                <w:sz w:val="20"/>
                <w:szCs w:val="20"/>
              </w:rPr>
              <w:t xml:space="preserve">Joshi Plastics, Rajkot, has its registration cancelled from 1 October 2026. It holds raw material with ITC of Rs. 45,000 (tax at market value Rs. 40,000) and a machine bought on 1 October 2024 with GST of Rs. 1,80,000, now worth Rs. 5,50,000.</w:t>
            </w:r>
          </w:p>
          <w:p>
            <w:pPr>
              <w:spacing w:after="60" w:line="260"/>
            </w:pPr>
            <w:r>
              <w:rPr>
                <w:rFonts w:ascii="Verdana" w:cs="Verdana" w:eastAsia="Verdana" w:hAnsi="Verdana"/>
                <w:sz w:val="20"/>
                <w:szCs w:val="20"/>
              </w:rPr>
              <w:t xml:space="preserve">Step 1 (inputs): Higher of Rs. 45,000 and Rs. 40,000 = Rs. 45,000.</w:t>
            </w:r>
          </w:p>
          <w:p>
            <w:pPr>
              <w:spacing w:after="60" w:line="260"/>
            </w:pPr>
            <w:r>
              <w:rPr>
                <w:rFonts w:ascii="Verdana" w:cs="Verdana" w:eastAsia="Verdana" w:hAnsi="Verdana"/>
                <w:sz w:val="20"/>
                <w:szCs w:val="20"/>
              </w:rPr>
              <w:t xml:space="preserve">Step 2 (machine): Used 24 months; remaining life 60 minus 24 = 36 months. ITC = Rs. 1,80,000 x 36 / 60 = Rs. 1,08,000. Tax on transaction value = 18% of Rs. 5,50,000 = Rs. 99,000. Higher = Rs. 1,08,000.</w:t>
            </w:r>
          </w:p>
          <w:p>
            <w:pPr>
              <w:spacing w:after="60" w:line="260"/>
            </w:pPr>
            <w:r>
              <w:rPr>
                <w:rFonts w:ascii="Verdana" w:cs="Verdana" w:eastAsia="Verdana" w:hAnsi="Verdana"/>
                <w:sz w:val="20"/>
                <w:szCs w:val="20"/>
              </w:rPr>
              <w:t xml:space="preserve">Result: Total payable = Rs. 45,000 + Rs. 1,08,000 = Rs. 1,53,000.</w:t>
            </w:r>
          </w:p>
        </w:tc>
      </w:tr>
    </w:tbl>
    <w:p>
      <w:pPr>
        <w:spacing w:after="60"/>
      </w:pPr>
    </w:p>
    <w:p>
      <w:pPr>
        <w:pStyle w:val="Heading2"/>
        <w:keepNext/>
        <w:spacing w:after="120" w:before="240"/>
      </w:pPr>
      <w:r>
        <w:rPr>
          <w:rFonts w:ascii="Verdana" w:cs="Verdana" w:eastAsia="Verdana" w:hAnsi="Verdana"/>
        </w:rPr>
        <w:t xml:space="preserve">20.9 Retrospective cancellation and the buyer</w:t>
      </w:r>
    </w:p>
    <w:p>
      <w:pPr>
        <w:spacing w:after="120" w:line="276"/>
        <w:jc w:val="both"/>
      </w:pPr>
      <w:r>
        <w:rPr>
          <w:rFonts w:ascii="Verdana" w:cs="Verdana" w:eastAsia="Verdana" w:hAnsi="Verdana"/>
        </w:rPr>
        <w:t xml:space="preserve">Section 29(2) allows cancellation "from such date, including any retrospective date". Back-dating exposes the taxpayer and his customers' credit.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Retrospective cancellation needs reasons</w:t>
            </w:r>
          </w:p>
          <w:p>
            <w:pPr>
              <w:spacing w:after="60" w:line="260"/>
            </w:pPr>
            <w:r>
              <w:rPr>
                <w:rFonts w:ascii="Verdana" w:cs="Verdana" w:eastAsia="Verdana" w:hAnsi="Verdana"/>
                <w:b/>
                <w:bCs/>
                <w:sz w:val="20"/>
                <w:szCs w:val="20"/>
              </w:rPr>
              <w:t xml:space="preserve">Riddhi Siddhi Enterprises v. Commissioner of Goods and Services Tax (Delhi High Court, 2024):</w:t>
            </w:r>
            <w:r>
              <w:rPr>
                <w:rFonts w:ascii="Verdana" w:cs="Verdana" w:eastAsia="Verdana" w:hAnsi="Verdana"/>
                <w:sz w:val="20"/>
                <w:szCs w:val="20"/>
              </w:rPr>
              <w:t xml:space="preserve"> Registration was cancelled from 2017 without any reason for back-dating. The Court held that the power cannot be used mechanically; the order must record the reasons and objective material that justify the earlier date, since customers lose credit. The order was quashed with liberty to proceed afresh.</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Buyer's credit when the supplier defaults</w:t>
            </w:r>
          </w:p>
          <w:p>
            <w:pPr>
              <w:spacing w:after="60" w:line="260"/>
            </w:pPr>
            <w:r>
              <w:rPr>
                <w:rFonts w:ascii="Verdana" w:cs="Verdana" w:eastAsia="Verdana" w:hAnsi="Verdana"/>
                <w:b/>
                <w:bCs/>
                <w:sz w:val="20"/>
                <w:szCs w:val="20"/>
              </w:rPr>
              <w:t xml:space="preserve">Suncraft Energy (P) Ltd. v. Assistant Commissioner, State Tax (Calcutta High Court, 2023; SLP dismissed 2023):</w:t>
            </w:r>
            <w:r>
              <w:rPr>
                <w:rFonts w:ascii="Verdana" w:cs="Verdana" w:eastAsia="Verdana" w:hAnsi="Verdana"/>
                <w:sz w:val="20"/>
                <w:szCs w:val="20"/>
              </w:rPr>
              <w:t xml:space="preserve"> The department should first proceed against the defaulting supplier before denying credit to a buyer with valid invoices and proof of payment.</w:t>
            </w:r>
          </w:p>
          <w:p>
            <w:pPr>
              <w:spacing w:after="60" w:line="260"/>
            </w:pPr>
            <w:r>
              <w:rPr>
                <w:rFonts w:ascii="Verdana" w:cs="Verdana" w:eastAsia="Verdana" w:hAnsi="Verdana"/>
                <w:b/>
                <w:bCs/>
                <w:sz w:val="20"/>
                <w:szCs w:val="20"/>
              </w:rPr>
              <w:t xml:space="preserve">Bhandari Scrap Traders v. Union of India (Supreme Court, 2026):</w:t>
            </w:r>
            <w:r>
              <w:rPr>
                <w:rFonts w:ascii="Verdana" w:cs="Verdana" w:eastAsia="Verdana" w:hAnsi="Verdana"/>
                <w:sz w:val="20"/>
                <w:szCs w:val="20"/>
              </w:rPr>
              <w:t xml:space="preserve"> The Supreme Court affirmed the Gujarat High Court and upheld section 16(2)(c): there is no ground to strike it down or read it down. Credit can be denied where the supplier has not paid, and is restored when he pays. Earlier rulings such as Suncraft Energy must be read subject to this.</w:t>
            </w:r>
          </w:p>
          <w:p>
            <w:pPr>
              <w:spacing w:after="60" w:line="260"/>
            </w:pPr>
            <w:r>
              <w:rPr>
                <w:rFonts w:ascii="Verdana" w:cs="Verdana" w:eastAsia="Verdana" w:hAnsi="Verdana"/>
                <w:b/>
                <w:bCs/>
                <w:sz w:val="20"/>
                <w:szCs w:val="20"/>
              </w:rPr>
              <w:t xml:space="preserve">Practical relevance:</w:t>
            </w:r>
            <w:r>
              <w:rPr>
                <w:rFonts w:ascii="Verdana" w:cs="Verdana" w:eastAsia="Verdana" w:hAnsi="Verdana"/>
                <w:sz w:val="20"/>
                <w:szCs w:val="20"/>
              </w:rPr>
              <w:t xml:space="preserve"> Check supplier registration and return filing before onboarding, monitor GSTR-2B and supplier GSTR-3B, and keep payment terms that allow holding back the tax portion where a supplier stops filing.</w:t>
            </w:r>
          </w:p>
        </w:tc>
      </w:tr>
    </w:tbl>
    <w:p>
      <w:pPr>
        <w:spacing w:after="60"/>
      </w:pPr>
    </w:p>
    <w:p>
      <w:pPr>
        <w:pStyle w:val="Heading2"/>
        <w:keepNext/>
        <w:spacing w:after="120" w:before="240"/>
      </w:pPr>
      <w:r>
        <w:rPr>
          <w:rFonts w:ascii="Verdana" w:cs="Verdana" w:eastAsia="Verdana" w:hAnsi="Verdana"/>
        </w:rPr>
        <w:t xml:space="preserve">20.10 Revocation (section 30)</w:t>
      </w:r>
    </w:p>
    <w:p>
      <w:pPr>
        <w:spacing w:after="120" w:line="276"/>
        <w:jc w:val="both"/>
      </w:pPr>
      <w:r>
        <w:rPr>
          <w:rFonts w:ascii="Verdana" w:cs="Verdana" w:eastAsia="Verdana" w:hAnsi="Verdana"/>
        </w:rPr>
        <w:t xml:space="preserve">Where the officer cancels on his own motion, the person may apply in </w:t>
      </w:r>
      <w:r>
        <w:rPr>
          <w:rFonts w:ascii="Verdana" w:cs="Verdana" w:eastAsia="Verdana" w:hAnsi="Verdana"/>
          <w:b/>
          <w:bCs/>
        </w:rPr>
        <w:t xml:space="preserve">REG-21</w:t>
      </w:r>
      <w:r>
        <w:rPr>
          <w:rFonts w:ascii="Verdana" w:cs="Verdana" w:eastAsia="Verdana" w:hAnsi="Verdana"/>
        </w:rPr>
        <w:t xml:space="preserve"> within </w:t>
      </w:r>
      <w:r>
        <w:rPr>
          <w:rFonts w:ascii="Verdana" w:cs="Verdana" w:eastAsia="Verdana" w:hAnsi="Verdana"/>
          <w:b/>
          <w:bCs/>
        </w:rPr>
        <w:t xml:space="preserve">90 days</w:t>
      </w:r>
      <w:r>
        <w:rPr>
          <w:rFonts w:ascii="Verdana" w:cs="Verdana" w:eastAsia="Verdana" w:hAnsi="Verdana"/>
        </w:rPr>
        <w:t xml:space="preserve"> of service of the order, extendable on sufficient cause by the Commissioner or an authorised Additional or Joint Commissioner for a further period of </w:t>
      </w:r>
      <w:r>
        <w:rPr>
          <w:rFonts w:ascii="Verdana" w:cs="Verdana" w:eastAsia="Verdana" w:hAnsi="Verdana"/>
          <w:b/>
          <w:bCs/>
        </w:rPr>
        <w:t xml:space="preserve">up to 180 days</w:t>
      </w:r>
      <w:r>
        <w:rPr>
          <w:rFonts w:ascii="Verdana" w:cs="Verdana" w:eastAsia="Verdana" w:hAnsi="Verdana"/>
        </w:rPr>
        <w:t xml:space="preserve"> (rule 23, as amended in 2023; the earlier limit was 30 days). Pending returns must be filed and dues paid first. The officer revokes in REG-22, or issues a notice in REG-23 and decides after the reply in REG-24. Rejection is appealable under section 107.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123: Last date for revocation</w:t>
            </w:r>
          </w:p>
          <w:p>
            <w:pPr>
              <w:spacing w:after="60" w:line="260"/>
            </w:pPr>
            <w:r>
              <w:rPr>
                <w:rFonts w:ascii="Verdana" w:cs="Verdana" w:eastAsia="Verdana" w:hAnsi="Verdana"/>
                <w:sz w:val="20"/>
                <w:szCs w:val="20"/>
              </w:rPr>
              <w:t xml:space="preserve">Nair Stores, Kochi, was served a cancellation order on 10 March 2026 for non-filing of returns.</w:t>
            </w:r>
          </w:p>
          <w:p>
            <w:pPr>
              <w:spacing w:after="60" w:line="260"/>
            </w:pPr>
            <w:r>
              <w:rPr>
                <w:rFonts w:ascii="Verdana" w:cs="Verdana" w:eastAsia="Verdana" w:hAnsi="Verdana"/>
                <w:sz w:val="20"/>
                <w:szCs w:val="20"/>
              </w:rPr>
              <w:t xml:space="preserve">Step 1: 90 days end on 8 June 2026.</w:t>
            </w:r>
          </w:p>
          <w:p>
            <w:pPr>
              <w:spacing w:after="60" w:line="260"/>
            </w:pPr>
            <w:r>
              <w:rPr>
                <w:rFonts w:ascii="Verdana" w:cs="Verdana" w:eastAsia="Verdana" w:hAnsi="Verdana"/>
                <w:sz w:val="20"/>
                <w:szCs w:val="20"/>
              </w:rPr>
              <w:t xml:space="preserve">Step 2: With extension, a further 180 days end on 5 December 2026.</w:t>
            </w:r>
          </w:p>
          <w:p>
            <w:pPr>
              <w:spacing w:after="60" w:line="260"/>
            </w:pPr>
            <w:r>
              <w:rPr>
                <w:rFonts w:ascii="Verdana" w:cs="Verdana" w:eastAsia="Verdana" w:hAnsi="Verdana"/>
                <w:sz w:val="20"/>
                <w:szCs w:val="20"/>
              </w:rPr>
              <w:t xml:space="preserve">Result: An application on 28 September 2026 is in time only if the extension is granted on documented cause.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Registration is PAN-based and State-wise; each GSTIN is a distinct person, and supplies between them are taxable.</w:t>
            </w:r>
          </w:p>
          <w:p>
            <w:pPr>
              <w:spacing w:after="60" w:line="260"/>
            </w:pPr>
            <w:r>
              <w:rPr>
                <w:rFonts w:ascii="Verdana" w:cs="Verdana" w:eastAsia="Verdana" w:hAnsi="Verdana"/>
                <w:sz w:val="20"/>
                <w:szCs w:val="20"/>
              </w:rPr>
              <w:t xml:space="preserve">•  Threshold is on aggregate turnover including exempt supplies: Rs. 40 lakh for exclusive goods suppliers in most States, Rs. 20 lakh for services, Rs. 10 lakh in Manipur, Mizoram, Nagaland and Tripura.</w:t>
            </w:r>
          </w:p>
          <w:p>
            <w:pPr>
              <w:spacing w:after="60" w:line="260"/>
            </w:pPr>
            <w:r>
              <w:rPr>
                <w:rFonts w:ascii="Verdana" w:cs="Verdana" w:eastAsia="Verdana" w:hAnsi="Verdana"/>
                <w:sz w:val="20"/>
                <w:szCs w:val="20"/>
              </w:rPr>
              <w:t xml:space="preserve">•  Section 24 persons must register regardless of turnover, subject to specific notifications for services and e-commerce goods sellers.</w:t>
            </w:r>
          </w:p>
          <w:p>
            <w:pPr>
              <w:spacing w:after="60" w:line="260"/>
            </w:pPr>
            <w:r>
              <w:rPr>
                <w:rFonts w:ascii="Verdana" w:cs="Verdana" w:eastAsia="Verdana" w:hAnsi="Verdana"/>
                <w:sz w:val="20"/>
                <w:szCs w:val="20"/>
              </w:rPr>
              <w:t xml:space="preserve">•  Approval within 7 working days, or 30 days with physical verification, else deemed; 3 working days under rule 14A and for low-risk applicants from 1 November 2025.</w:t>
            </w:r>
          </w:p>
          <w:p>
            <w:pPr>
              <w:spacing w:after="60" w:line="260"/>
            </w:pPr>
            <w:r>
              <w:rPr>
                <w:rFonts w:ascii="Verdana" w:cs="Verdana" w:eastAsia="Verdana" w:hAnsi="Verdana"/>
                <w:sz w:val="20"/>
                <w:szCs w:val="20"/>
              </w:rPr>
              <w:t xml:space="preserve">•  Casual and non-resident persons deposit estimated tax in advance for registration of up to 90 days.</w:t>
            </w:r>
          </w:p>
          <w:p>
            <w:pPr>
              <w:spacing w:after="60" w:line="260"/>
            </w:pPr>
            <w:r>
              <w:rPr>
                <w:rFonts w:ascii="Verdana" w:cs="Verdana" w:eastAsia="Verdana" w:hAnsi="Verdana"/>
                <w:sz w:val="20"/>
                <w:szCs w:val="20"/>
              </w:rPr>
              <w:t xml:space="preserve">•  Cancellation requires payment on stock and capital goods and a GSTR-10; revocation within 90 days, extendable by up to 180 days.</w:t>
            </w:r>
          </w:p>
          <w:p>
            <w:pPr>
              <w:spacing w:after="60" w:line="260"/>
            </w:pPr>
            <w:r>
              <w:rPr>
                <w:rFonts w:ascii="Verdana" w:cs="Verdana" w:eastAsia="Verdana" w:hAnsi="Verdana"/>
                <w:sz w:val="20"/>
                <w:szCs w:val="20"/>
              </w:rPr>
              <w:t xml:space="preserve">•  Retrospective cancellation needs recorded reasons; buyers bear supplier default after Bhandari Scrap Traders.</w:t>
            </w:r>
          </w:p>
        </w:tc>
      </w:tr>
    </w:tbl>
    <w:p>
      <w:pPr>
        <w:pStyle w:val="Heading1"/>
        <w:pageBreakBefore/>
        <w:spacing w:after="200" w:before="0"/>
      </w:pPr>
      <w:r>
        <w:rPr>
          <w:rFonts w:ascii="Verdana" w:cs="Verdana" w:eastAsia="Verdana" w:hAnsi="Verdana"/>
        </w:rPr>
        <w:t xml:space="preserve">21. Tax Invoice, Credit and Debit Notes (Sections 31 to 34)</w:t>
      </w:r>
    </w:p>
    <w:p>
      <w:pPr>
        <w:spacing w:after="120" w:line="276"/>
        <w:jc w:val="both"/>
      </w:pPr>
      <w:r>
        <w:rPr>
          <w:rFonts w:ascii="Verdana" w:cs="Verdana" w:eastAsia="Verdana" w:hAnsi="Verdana"/>
        </w:rPr>
        <w:t xml:space="preserve">The invoice is the base document of GST: the supplier's liability, the recipient's credit and the officer's audit all start from it. Section 31 says when it is issued, rules 46 to 55 what it contains, and section 34 governs credit and debit notes.</w:t>
      </w:r>
    </w:p>
    <w:p>
      <w:pPr>
        <w:pStyle w:val="Heading2"/>
        <w:keepNext/>
        <w:spacing w:after="120" w:before="240"/>
      </w:pPr>
      <w:r>
        <w:rPr>
          <w:rFonts w:ascii="Verdana" w:cs="Verdana" w:eastAsia="Verdana" w:hAnsi="Verdana"/>
        </w:rPr>
        <w:t xml:space="preserve">21.1 Contents of a tax invoice (rule 46)</w:t>
      </w:r>
    </w:p>
    <w:p>
      <w:pPr>
        <w:spacing w:after="120" w:line="276"/>
        <w:jc w:val="both"/>
      </w:pPr>
      <w:r>
        <w:rPr>
          <w:rFonts w:ascii="Verdana" w:cs="Verdana" w:eastAsia="Verdana" w:hAnsi="Verdana"/>
        </w:rPr>
        <w:t xml:space="preserve">The table below is a specimen layout under rule 46 for checking a client's invoice 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cantSplit/>
          <w:tblHeader/>
        </w:trPr>
        <w:tc>
          <w:tcPr>
            <w:tcW w:type="dxa" w:w="261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Part of invoice</w:t>
            </w:r>
          </w:p>
        </w:tc>
        <w:tc>
          <w:tcPr>
            <w:tcW w:type="dxa" w:w="702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Particulars required</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Header</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Name, address and GSTIN of supplier; the words "Tax Invoice"</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Serial number and date</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Consecutive number, up to 16 characters, unique for the financial year (letters, numerals, hyphen and slash allowed); date of issue</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Recipient</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Name, address and GSTIN or UIN if registered; for unregistered recipient, name, address and delivery address with State name and code where value is Rs. 50,000 or more</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Line items</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HSN code (goods) or SAC (services), description, quantity and unit, total value, taxable value after discount</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Rate and amount of CGST, SGST or UTGST, IGST and cess shown separately</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Place of supply</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State name and code, for inter-State supplies</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Other</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Delivery address if different; whether tax is payable on reverse charge; signature or digital signature (not needed for e-invoices)</w:t>
            </w:r>
          </w:p>
        </w:tc>
      </w:tr>
    </w:tbl>
    <w:p>
      <w:pPr>
        <w:spacing w:after="60"/>
      </w:pPr>
    </w:p>
    <w:p>
      <w:pPr>
        <w:spacing w:after="120" w:line="276"/>
        <w:jc w:val="both"/>
      </w:pPr>
      <w:r>
        <w:rPr>
          <w:rFonts w:ascii="Verdana" w:cs="Verdana" w:eastAsia="Verdana" w:hAnsi="Verdana"/>
          <w:b/>
          <w:bCs/>
        </w:rPr>
        <w:t xml:space="preserve">HSN digits.</w:t>
      </w:r>
      <w:r>
        <w:rPr>
          <w:rFonts w:ascii="Verdana" w:cs="Verdana" w:eastAsia="Verdana" w:hAnsi="Verdana"/>
        </w:rPr>
        <w:t xml:space="preserve"> Taxpayers with aggregate turnover up to Rs. 5 crore in the previous year must show at least 4-digit HSN on B2B invoices (optional on B2C). Taxpayers above Rs. 5 crore must show 6 digits on all invoices. Supplies below Rs. 200 to an unregistered person may be covered by a consolidated invoice at day end.</w:t>
      </w:r>
    </w:p>
    <w:p>
      <w:pPr>
        <w:spacing w:after="120" w:line="276"/>
        <w:jc w:val="both"/>
      </w:pPr>
      <w:r>
        <w:rPr>
          <w:rFonts w:ascii="Verdana" w:cs="Verdana" w:eastAsia="Verdana" w:hAnsi="Verdana"/>
          <w:b/>
          <w:bCs/>
        </w:rPr>
        <w:t xml:space="preserve">Copies.</w:t>
      </w:r>
      <w:r>
        <w:rPr>
          <w:rFonts w:ascii="Verdana" w:cs="Verdana" w:eastAsia="Verdana" w:hAnsi="Verdana"/>
        </w:rPr>
        <w:t xml:space="preserve"> Goods invoices are in triplicate (recipient, transporter, supplier); services in duplicate.</w:t>
      </w:r>
    </w:p>
    <w:p>
      <w:pPr>
        <w:pStyle w:val="Heading2"/>
        <w:keepNext/>
        <w:spacing w:after="120" w:before="240"/>
      </w:pPr>
      <w:r>
        <w:rPr>
          <w:rFonts w:ascii="Verdana" w:cs="Verdana" w:eastAsia="Verdana" w:hAnsi="Verdana"/>
        </w:rPr>
        <w:t xml:space="preserve">21.2 Time limit for issue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cantSplit/>
          <w:tblHeader/>
        </w:trPr>
        <w:tc>
          <w:tcPr>
            <w:tcW w:type="dxa" w:w="3614"/>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Situation</w:t>
            </w:r>
          </w:p>
        </w:tc>
        <w:tc>
          <w:tcPr>
            <w:tcW w:type="dxa" w:w="6024"/>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Invoice to be issued</w:t>
            </w:r>
          </w:p>
        </w:tc>
      </w:tr>
      <w:tr>
        <w:trPr>
          <w:cantSplit/>
        </w:trP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involving movement</w:t>
            </w:r>
          </w:p>
        </w:tc>
        <w:tc>
          <w:tcPr>
            <w:tcW w:type="dxa" w:w="60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 or at the time of removal (section 31(1)(a))</w:t>
            </w:r>
          </w:p>
        </w:tc>
      </w:tr>
      <w:tr>
        <w:trPr>
          <w:cantSplit/>
        </w:trP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Other goods</w:t>
            </w:r>
          </w:p>
        </w:tc>
        <w:tc>
          <w:tcPr>
            <w:tcW w:type="dxa" w:w="60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 or at the time of delivery or making available</w:t>
            </w:r>
          </w:p>
        </w:tc>
      </w:tr>
      <w:tr>
        <w:trPr>
          <w:cantSplit/>
        </w:trP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Services</w:t>
            </w:r>
          </w:p>
        </w:tc>
        <w:tc>
          <w:tcPr>
            <w:tcW w:type="dxa" w:w="60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Within 30 days of supply (rule 47); banks, insurers and NBFCs within 45 days</w:t>
            </w:r>
          </w:p>
        </w:tc>
      </w:tr>
      <w:tr>
        <w:trPr>
          <w:cantSplit/>
        </w:trP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Continuous supply of goods</w:t>
            </w:r>
          </w:p>
        </w:tc>
        <w:tc>
          <w:tcPr>
            <w:tcW w:type="dxa" w:w="60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 or at the time of each statement or payment (section 31(4))</w:t>
            </w:r>
          </w:p>
        </w:tc>
      </w:tr>
      <w:tr>
        <w:trPr>
          <w:cantSplit/>
        </w:trP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Continuous supply of services</w:t>
            </w:r>
          </w:p>
        </w:tc>
        <w:tc>
          <w:tcPr>
            <w:tcW w:type="dxa" w:w="60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 or before the due date of payment; if not ascertainable, at receipt of payment; if linked to an event, on or before its completion (section 31(5))</w:t>
            </w:r>
          </w:p>
        </w:tc>
      </w:tr>
      <w:tr>
        <w:trPr>
          <w:cantSplit/>
        </w:trP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sent on approval</w:t>
            </w:r>
          </w:p>
        </w:tc>
        <w:tc>
          <w:tcPr>
            <w:tcW w:type="dxa" w:w="60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When supply is accepted or 6 months from removal, whichever is earlier (section 31(7))</w:t>
            </w:r>
          </w:p>
        </w:tc>
      </w:tr>
      <w:tr>
        <w:trPr>
          <w:cantSplit/>
        </w:trP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RCM from unregistered supplier</w:t>
            </w:r>
          </w:p>
        </w:tc>
        <w:tc>
          <w:tcPr>
            <w:tcW w:type="dxa" w:w="60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Self-invoice within 30 days of receipt of supply (section 31(3)(f), rule 47A)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124: Last date for a service invoice</w:t>
            </w:r>
          </w:p>
          <w:p>
            <w:pPr>
              <w:spacing w:after="60" w:line="260"/>
            </w:pPr>
            <w:r>
              <w:rPr>
                <w:rFonts w:ascii="Verdana" w:cs="Verdana" w:eastAsia="Verdana" w:hAnsi="Verdana"/>
                <w:sz w:val="20"/>
                <w:szCs w:val="20"/>
              </w:rPr>
              <w:t xml:space="preserve">Mehta and Co., chartered accountants, complete a stock audit on 5 May 2026; an NBFC completes a service the same day.</w:t>
            </w:r>
          </w:p>
          <w:p>
            <w:pPr>
              <w:spacing w:after="60" w:line="260"/>
            </w:pPr>
            <w:r>
              <w:rPr>
                <w:rFonts w:ascii="Verdana" w:cs="Verdana" w:eastAsia="Verdana" w:hAnsi="Verdana"/>
                <w:sz w:val="20"/>
                <w:szCs w:val="20"/>
              </w:rPr>
              <w:t xml:space="preserve">Step 1: Mehta and Co. must invoice by 4 June 2026 (30 days); the NBFC by 19 June 2026 (45 days).</w:t>
            </w:r>
          </w:p>
          <w:p>
            <w:pPr>
              <w:spacing w:after="60" w:line="260"/>
            </w:pPr>
            <w:r>
              <w:rPr>
                <w:rFonts w:ascii="Verdana" w:cs="Verdana" w:eastAsia="Verdana" w:hAnsi="Verdana"/>
                <w:sz w:val="20"/>
                <w:szCs w:val="20"/>
              </w:rPr>
              <w:t xml:space="preserve">Result: If Mehta and Co. invoices on 20 June 2026, the time of supply stays 5 May 2026 (date of provision), and tax paid in the June return carries interest.</w:t>
            </w:r>
          </w:p>
        </w:tc>
      </w:tr>
    </w:tbl>
    <w:p>
      <w:pPr>
        <w:spacing w:after="60"/>
      </w:pPr>
    </w:p>
    <w:p>
      <w:pPr>
        <w:pStyle w:val="Heading2"/>
        <w:keepNext/>
        <w:spacing w:after="120" w:before="240"/>
      </w:pPr>
      <w:r>
        <w:rPr>
          <w:rFonts w:ascii="Verdana" w:cs="Verdana" w:eastAsia="Verdana" w:hAnsi="Verdana"/>
        </w:rPr>
        <w:t xml:space="preserve">21.3 Other documents: bill of supply, vouchers and challans</w:t>
      </w:r>
    </w:p>
    <w:p>
      <w:pPr>
        <w:pStyle w:val="ListParagraph"/>
        <w:numPr>
          <w:ilvl w:val="0"/>
          <w:numId w:val="2"/>
        </w:numPr>
        <w:spacing w:after="60" w:line="264"/>
      </w:pPr>
      <w:r>
        <w:rPr>
          <w:rFonts w:ascii="Verdana" w:cs="Verdana" w:eastAsia="Verdana" w:hAnsi="Verdana"/>
          <w:b/>
          <w:bCs/>
        </w:rPr>
        <w:t xml:space="preserve">Bill of supply (rule 49):</w:t>
      </w:r>
      <w:r>
        <w:rPr>
          <w:rFonts w:ascii="Verdana" w:cs="Verdana" w:eastAsia="Verdana" w:hAnsi="Verdana"/>
        </w:rPr>
        <w:t xml:space="preserve"> issued instead of a tax invoice for exempt supplies and by composition taxpayers. No tax is shown. A composition taxpayer must write "composition taxable person, not eligible to collect tax on supplies" on it.</w:t>
      </w:r>
    </w:p>
    <w:p>
      <w:pPr>
        <w:pStyle w:val="ListParagraph"/>
        <w:numPr>
          <w:ilvl w:val="0"/>
          <w:numId w:val="2"/>
        </w:numPr>
        <w:spacing w:after="60" w:line="264"/>
      </w:pPr>
      <w:r>
        <w:rPr>
          <w:rFonts w:ascii="Verdana" w:cs="Verdana" w:eastAsia="Verdana" w:hAnsi="Verdana"/>
          <w:b/>
          <w:bCs/>
        </w:rPr>
        <w:t xml:space="preserve">Receipt voucher (rule 50):</w:t>
      </w:r>
      <w:r>
        <w:rPr>
          <w:rFonts w:ascii="Verdana" w:cs="Verdana" w:eastAsia="Verdana" w:hAnsi="Verdana"/>
        </w:rPr>
        <w:t xml:space="preserve"> issued on receipt of an advance for services. If the rate is not known, 18% applies; if the nature is not known, it is treated as inter-State. Advances for goods are not taxed.</w:t>
      </w:r>
    </w:p>
    <w:p>
      <w:pPr>
        <w:pStyle w:val="ListParagraph"/>
        <w:numPr>
          <w:ilvl w:val="0"/>
          <w:numId w:val="2"/>
        </w:numPr>
        <w:spacing w:after="60" w:line="264"/>
      </w:pPr>
      <w:r>
        <w:rPr>
          <w:rFonts w:ascii="Verdana" w:cs="Verdana" w:eastAsia="Verdana" w:hAnsi="Verdana"/>
          <w:b/>
          <w:bCs/>
        </w:rPr>
        <w:t xml:space="preserve">Refund voucher (rule 51):</w:t>
      </w:r>
      <w:r>
        <w:rPr>
          <w:rFonts w:ascii="Verdana" w:cs="Verdana" w:eastAsia="Verdana" w:hAnsi="Verdana"/>
        </w:rPr>
        <w:t xml:space="preserve"> issued when an advance is returned and no supply is made. It supports reduction of the tax paid on the advance.</w:t>
      </w:r>
    </w:p>
    <w:p>
      <w:pPr>
        <w:pStyle w:val="ListParagraph"/>
        <w:numPr>
          <w:ilvl w:val="0"/>
          <w:numId w:val="2"/>
        </w:numPr>
        <w:spacing w:after="60" w:line="264"/>
      </w:pPr>
      <w:r>
        <w:rPr>
          <w:rFonts w:ascii="Verdana" w:cs="Verdana" w:eastAsia="Verdana" w:hAnsi="Verdana"/>
          <w:b/>
          <w:bCs/>
        </w:rPr>
        <w:t xml:space="preserve">Payment voucher (rule 52):</w:t>
      </w:r>
      <w:r>
        <w:rPr>
          <w:rFonts w:ascii="Verdana" w:cs="Verdana" w:eastAsia="Verdana" w:hAnsi="Verdana"/>
        </w:rPr>
        <w:t xml:space="preserve"> issued by a recipient paying tax under reverse charge, at the time of payment to the supplier.</w:t>
      </w:r>
    </w:p>
    <w:p>
      <w:pPr>
        <w:pStyle w:val="ListParagraph"/>
        <w:numPr>
          <w:ilvl w:val="0"/>
          <w:numId w:val="2"/>
        </w:numPr>
        <w:spacing w:after="60" w:line="264"/>
      </w:pPr>
      <w:r>
        <w:rPr>
          <w:rFonts w:ascii="Verdana" w:cs="Verdana" w:eastAsia="Verdana" w:hAnsi="Verdana"/>
          <w:b/>
          <w:bCs/>
        </w:rPr>
        <w:t xml:space="preserve">Revised tax invoice (rule 53):</w:t>
      </w:r>
      <w:r>
        <w:rPr>
          <w:rFonts w:ascii="Verdana" w:cs="Verdana" w:eastAsia="Verdana" w:hAnsi="Verdana"/>
        </w:rPr>
        <w:t xml:space="preserve"> issued within one month of grant of registration for supplies made between the effective date of registration and the date of the certificate (section 31(3)(a)).</w:t>
      </w:r>
    </w:p>
    <w:p>
      <w:pPr>
        <w:pStyle w:val="ListParagraph"/>
        <w:numPr>
          <w:ilvl w:val="0"/>
          <w:numId w:val="2"/>
        </w:numPr>
        <w:spacing w:after="60" w:line="264"/>
      </w:pPr>
      <w:r>
        <w:rPr>
          <w:rFonts w:ascii="Verdana" w:cs="Verdana" w:eastAsia="Verdana" w:hAnsi="Verdana"/>
          <w:b/>
          <w:bCs/>
        </w:rPr>
        <w:t xml:space="preserve">ISD invoice (rule 54):</w:t>
      </w:r>
      <w:r>
        <w:rPr>
          <w:rFonts w:ascii="Verdana" w:cs="Verdana" w:eastAsia="Verdana" w:hAnsi="Verdana"/>
        </w:rPr>
        <w:t xml:space="preserve"> issued by an Input Service Distributor to distribute credit, including tax paid under reverse charge after the Finance Act, 2025.</w:t>
      </w:r>
    </w:p>
    <w:p>
      <w:pPr>
        <w:pStyle w:val="ListParagraph"/>
        <w:numPr>
          <w:ilvl w:val="0"/>
          <w:numId w:val="2"/>
        </w:numPr>
        <w:spacing w:after="60" w:line="264"/>
      </w:pPr>
      <w:r>
        <w:rPr>
          <w:rFonts w:ascii="Verdana" w:cs="Verdana" w:eastAsia="Verdana" w:hAnsi="Verdana"/>
          <w:b/>
          <w:bCs/>
        </w:rPr>
        <w:t xml:space="preserve">Delivery challan (rule 55):</w:t>
      </w:r>
      <w:r>
        <w:rPr>
          <w:rFonts w:ascii="Verdana" w:cs="Verdana" w:eastAsia="Verdana" w:hAnsi="Verdana"/>
        </w:rPr>
        <w:t xml:space="preserve"> used where goods move without a supply or before the invoice: job work, liquid gas where quantity is not known at removal, goods sent for exhibition, goods in completely or semi knocked down condition sent in lots, and transport for reasons other than supply.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125: Advance for services and refund voucher</w:t>
            </w:r>
          </w:p>
          <w:p>
            <w:pPr>
              <w:spacing w:after="60" w:line="260"/>
            </w:pPr>
            <w:r>
              <w:rPr>
                <w:rFonts w:ascii="Verdana" w:cs="Verdana" w:eastAsia="Verdana" w:hAnsi="Verdana"/>
                <w:sz w:val="20"/>
                <w:szCs w:val="20"/>
              </w:rPr>
              <w:t xml:space="preserve">Sharma Textiles Pvt. Ltd., Ahmedabad, receives Rs. 1,18,000 on 12 June 2026 as advance for a design service taxable at 18%, from a buyer in Ahmedabad.</w:t>
            </w:r>
          </w:p>
          <w:p>
            <w:pPr>
              <w:spacing w:after="60" w:line="260"/>
            </w:pPr>
            <w:r>
              <w:rPr>
                <w:rFonts w:ascii="Verdana" w:cs="Verdana" w:eastAsia="Verdana" w:hAnsi="Verdana"/>
                <w:sz w:val="20"/>
                <w:szCs w:val="20"/>
              </w:rPr>
              <w:t xml:space="preserve">Step 1: Tax in the advance = Rs. 1,18,000 x 18 / 118 = Rs. 18,000. Value = Rs. 1,00,000.</w:t>
            </w:r>
          </w:p>
          <w:p>
            <w:pPr>
              <w:spacing w:after="60" w:line="260"/>
            </w:pPr>
            <w:r>
              <w:rPr>
                <w:rFonts w:ascii="Verdana" w:cs="Verdana" w:eastAsia="Verdana" w:hAnsi="Verdana"/>
                <w:sz w:val="20"/>
                <w:szCs w:val="20"/>
              </w:rPr>
              <w:t xml:space="preserve">Step 2: Receipt voucher issued; CGST Rs. 9,000 and SGST Rs. 9,000 paid in the June 2026 return.</w:t>
            </w:r>
          </w:p>
          <w:p>
            <w:pPr>
              <w:spacing w:after="60" w:line="260"/>
            </w:pPr>
            <w:r>
              <w:rPr>
                <w:rFonts w:ascii="Verdana" w:cs="Verdana" w:eastAsia="Verdana" w:hAnsi="Verdana"/>
                <w:sz w:val="20"/>
                <w:szCs w:val="20"/>
              </w:rPr>
              <w:t xml:space="preserve">Step 3: The contract is cancelled in August 2026 and the advance returned. A refund voucher is issued and Rs. 18,000 adjusted against output tax.</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126: Self-invoice and payment voucher under reverse charge</w:t>
            </w:r>
          </w:p>
          <w:p>
            <w:pPr>
              <w:spacing w:after="60" w:line="260"/>
            </w:pPr>
            <w:r>
              <w:rPr>
                <w:rFonts w:ascii="Verdana" w:cs="Verdana" w:eastAsia="Verdana" w:hAnsi="Verdana"/>
                <w:sz w:val="20"/>
                <w:szCs w:val="20"/>
              </w:rPr>
              <w:t xml:space="preserve">Sharma Textiles receives legal services from an individual advocate, who is unregistered, for a fee of Rs. 50,000. The service is received on 3 July 2026 and paid on 28 July 2026.</w:t>
            </w:r>
          </w:p>
          <w:p>
            <w:pPr>
              <w:spacing w:after="60" w:line="260"/>
            </w:pPr>
            <w:r>
              <w:rPr>
                <w:rFonts w:ascii="Verdana" w:cs="Verdana" w:eastAsia="Verdana" w:hAnsi="Verdana"/>
                <w:sz w:val="20"/>
                <w:szCs w:val="20"/>
              </w:rPr>
              <w:t xml:space="preserve">Step 1: Legal services by an advocate to a business entity are under reverse charge (section 9(3)). As the supplier is unregistered, Sharma Textiles issues a self-invoice within 30 days of receipt, that is by 2 August 2026.</w:t>
            </w:r>
          </w:p>
          <w:p>
            <w:pPr>
              <w:spacing w:after="60" w:line="260"/>
            </w:pPr>
            <w:r>
              <w:rPr>
                <w:rFonts w:ascii="Verdana" w:cs="Verdana" w:eastAsia="Verdana" w:hAnsi="Verdana"/>
                <w:sz w:val="20"/>
                <w:szCs w:val="20"/>
              </w:rPr>
              <w:t xml:space="preserve">Step 2: On 28 July 2026 it issues a payment voucher.</w:t>
            </w:r>
          </w:p>
          <w:p>
            <w:pPr>
              <w:spacing w:after="60" w:line="260"/>
            </w:pPr>
            <w:r>
              <w:rPr>
                <w:rFonts w:ascii="Verdana" w:cs="Verdana" w:eastAsia="Verdana" w:hAnsi="Verdana"/>
                <w:sz w:val="20"/>
                <w:szCs w:val="20"/>
              </w:rPr>
              <w:t xml:space="preserve">Step 3: Tax = CGST 9% Rs. 4,500 + SGST 9% Rs. 4,500 = Rs. 9,000, paid in cash in the July 2026 GSTR-3B.</w:t>
            </w:r>
          </w:p>
          <w:p>
            <w:pPr>
              <w:spacing w:after="60" w:line="260"/>
            </w:pPr>
            <w:r>
              <w:rPr>
                <w:rFonts w:ascii="Verdana" w:cs="Verdana" w:eastAsia="Verdana" w:hAnsi="Verdana"/>
                <w:sz w:val="20"/>
                <w:szCs w:val="20"/>
              </w:rPr>
              <w:t xml:space="preserve">Step 4: The same Rs. 9,000 is taken as ITC in that return, being used for business.</w:t>
            </w:r>
          </w:p>
        </w:tc>
      </w:tr>
    </w:tbl>
    <w:p>
      <w:pPr>
        <w:spacing w:after="60"/>
      </w:pPr>
    </w:p>
    <w:p>
      <w:pPr>
        <w:pStyle w:val="Heading2"/>
        <w:keepNext/>
        <w:spacing w:after="120" w:before="240"/>
      </w:pPr>
      <w:r>
        <w:rPr>
          <w:rFonts w:ascii="Verdana" w:cs="Verdana" w:eastAsia="Verdana" w:hAnsi="Verdana"/>
        </w:rPr>
        <w:t xml:space="preserve">21.4 Credit notes and debit notes (section 34)</w:t>
      </w:r>
    </w:p>
    <w:p>
      <w:pPr>
        <w:spacing w:after="120" w:line="276"/>
        <w:jc w:val="both"/>
      </w:pPr>
      <w:r>
        <w:rPr>
          <w:rFonts w:ascii="Verdana" w:cs="Verdana" w:eastAsia="Verdana" w:hAnsi="Verdana"/>
        </w:rPr>
        <w:t xml:space="preserve">A </w:t>
      </w:r>
      <w:r>
        <w:rPr>
          <w:rFonts w:ascii="Verdana" w:cs="Verdana" w:eastAsia="Verdana" w:hAnsi="Verdana"/>
          <w:b/>
          <w:bCs/>
        </w:rPr>
        <w:t xml:space="preserve">credit note</w:t>
      </w:r>
      <w:r>
        <w:rPr>
          <w:rFonts w:ascii="Verdana" w:cs="Verdana" w:eastAsia="Verdana" w:hAnsi="Verdana"/>
        </w:rPr>
        <w:t xml:space="preserve"> is issued where value or tax in an invoice is excessive, goods are returned or services are deficient; a </w:t>
      </w:r>
      <w:r>
        <w:rPr>
          <w:rFonts w:ascii="Verdana" w:cs="Verdana" w:eastAsia="Verdana" w:hAnsi="Verdana"/>
          <w:b/>
          <w:bCs/>
        </w:rPr>
        <w:t xml:space="preserve">debit note</w:t>
      </w:r>
      <w:r>
        <w:rPr>
          <w:rFonts w:ascii="Verdana" w:cs="Verdana" w:eastAsia="Verdana" w:hAnsi="Verdana"/>
        </w:rPr>
        <w:t xml:space="preserve"> where value or tax is short. Both are reported in GSTR-1.</w:t>
      </w:r>
    </w:p>
    <w:p>
      <w:pPr>
        <w:spacing w:after="120" w:line="276"/>
        <w:jc w:val="both"/>
      </w:pPr>
      <w:r>
        <w:rPr>
          <w:rFonts w:ascii="Verdana" w:cs="Verdana" w:eastAsia="Verdana" w:hAnsi="Verdana"/>
          <w:b/>
          <w:bCs/>
        </w:rPr>
        <w:t xml:space="preserve">Time limit.</w:t>
      </w:r>
      <w:r>
        <w:rPr>
          <w:rFonts w:ascii="Verdana" w:cs="Verdana" w:eastAsia="Verdana" w:hAnsi="Verdana"/>
        </w:rPr>
        <w:t xml:space="preserve"> A credit note for a supply in a financial year must be declared not later than </w:t>
      </w:r>
      <w:r>
        <w:rPr>
          <w:rFonts w:ascii="Verdana" w:cs="Verdana" w:eastAsia="Verdana" w:hAnsi="Verdana"/>
          <w:b/>
          <w:bCs/>
        </w:rPr>
        <w:t xml:space="preserve">30 November following the end of that year</w:t>
      </w:r>
      <w:r>
        <w:rPr>
          <w:rFonts w:ascii="Verdana" w:cs="Verdana" w:eastAsia="Verdana" w:hAnsi="Verdana"/>
        </w:rPr>
        <w:t xml:space="preserve">, or the date of filing the annual return, whichever is earlier (section 34(2), as amended by the Finance Act, 2022). There is no time limit for issuing a debit note; for the recipient, ITC on a debit note is governed by the date of the debit note under section 16(4).</w:t>
      </w:r>
    </w:p>
    <w:p>
      <w:pPr>
        <w:spacing w:after="120" w:line="276"/>
        <w:jc w:val="both"/>
      </w:pPr>
      <w:r>
        <w:rPr>
          <w:rFonts w:ascii="Verdana" w:cs="Verdana" w:eastAsia="Verdana" w:hAnsi="Verdana"/>
          <w:b/>
          <w:bCs/>
        </w:rPr>
        <w:t xml:space="preserve">Recipient must reverse.</w:t>
      </w:r>
      <w:r>
        <w:rPr>
          <w:rFonts w:ascii="Verdana" w:cs="Verdana" w:eastAsia="Verdana" w:hAnsi="Verdana"/>
        </w:rPr>
        <w:t xml:space="preserve"> After the Finance Act, 2025, the supplier can reduce his output tax on a credit note only if the recipient has reversed the corresponding ITC. This works through IMS: the recipient accepts the credit note and declares the ITC reversed, and the supplier's liability falls to that extent.</w:t>
      </w:r>
    </w:p>
    <w:p>
      <w:pPr>
        <w:spacing w:after="120" w:line="276"/>
        <w:jc w:val="both"/>
      </w:pPr>
      <w:r>
        <w:rPr>
          <w:rFonts w:ascii="Verdana" w:cs="Verdana" w:eastAsia="Verdana" w:hAnsi="Verdana"/>
          <w:b/>
          <w:bCs/>
        </w:rPr>
        <w:t xml:space="preserve">Financial versus GST credit notes.</w:t>
      </w:r>
      <w:r>
        <w:rPr>
          <w:rFonts w:ascii="Verdana" w:cs="Verdana" w:eastAsia="Verdana" w:hAnsi="Verdana"/>
        </w:rPr>
        <w:t xml:space="preserve"> A post-sale discount that was not agreed before or at the time of supply and linked to specific invoices cannot reduce the value under section 15(3)(b) as it stands today. The supplier may issue a </w:t>
      </w:r>
      <w:r>
        <w:rPr>
          <w:rFonts w:ascii="Verdana" w:cs="Verdana" w:eastAsia="Verdana" w:hAnsi="Verdana"/>
          <w:b/>
          <w:bCs/>
        </w:rPr>
        <w:t xml:space="preserve">financial (commercial) credit note</w:t>
      </w:r>
      <w:r>
        <w:rPr>
          <w:rFonts w:ascii="Verdana" w:cs="Verdana" w:eastAsia="Verdana" w:hAnsi="Verdana"/>
        </w:rPr>
        <w:t xml:space="preserve"> without GST: his tax liability stays as it is and the recipient keeps his full credit. The Finance Act, 2026 amendments that would remove the prior-agreement condition were not notified as on 28 September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127: Sales return and the credit note time limit</w:t>
            </w:r>
          </w:p>
          <w:p>
            <w:pPr>
              <w:spacing w:after="60" w:line="260"/>
            </w:pPr>
            <w:r>
              <w:rPr>
                <w:rFonts w:ascii="Verdana" w:cs="Verdana" w:eastAsia="Verdana" w:hAnsi="Verdana"/>
                <w:sz w:val="20"/>
                <w:szCs w:val="20"/>
              </w:rPr>
              <w:t xml:space="preserve">Patel Pumps, Rajkot, sold industrial pumps to a dealer in Indore on 15 January 2026 for Rs. 5,00,000 plus IGST Rs. 90,000. On 5 October 2026 the dealer returns 20% of the pumps. Patel Pumps files GSTR-9 for FY 2025-26 on 20 November 2026.</w:t>
            </w:r>
          </w:p>
          <w:p>
            <w:pPr>
              <w:spacing w:after="60" w:line="260"/>
            </w:pPr>
            <w:r>
              <w:rPr>
                <w:rFonts w:ascii="Verdana" w:cs="Verdana" w:eastAsia="Verdana" w:hAnsi="Verdana"/>
                <w:sz w:val="20"/>
                <w:szCs w:val="20"/>
              </w:rPr>
              <w:t xml:space="preserve">Step 1: Value returned = 20% of Rs. 5,00,000 = Rs. 1,00,000; IGST = Rs. 18,000.</w:t>
            </w:r>
          </w:p>
          <w:p>
            <w:pPr>
              <w:spacing w:after="60" w:line="260"/>
            </w:pPr>
            <w:r>
              <w:rPr>
                <w:rFonts w:ascii="Verdana" w:cs="Verdana" w:eastAsia="Verdana" w:hAnsi="Verdana"/>
                <w:sz w:val="20"/>
                <w:szCs w:val="20"/>
              </w:rPr>
              <w:t xml:space="preserve">Step 2: Last date to declare the credit note = earlier of 30 November 2026 and 20 November 2026 = 20 November 2026.</w:t>
            </w:r>
          </w:p>
          <w:p>
            <w:pPr>
              <w:spacing w:after="60" w:line="260"/>
            </w:pPr>
            <w:r>
              <w:rPr>
                <w:rFonts w:ascii="Verdana" w:cs="Verdana" w:eastAsia="Verdana" w:hAnsi="Verdana"/>
                <w:sz w:val="20"/>
                <w:szCs w:val="20"/>
              </w:rPr>
              <w:t xml:space="preserve">Result: A credit note issued on 10 October 2026 and declared in GSTR-1 for October 2026 (filed by 11 November 2026), accepted on IMS with reversal of Rs. 18,000, reduces output IGST by Rs. 18,000. A credit note that cannot be declared by 20 November 2026 can only be a financial credit note.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Credit notes issued at year-end for volume discounts are the usual problem. If the discount scheme was not agreed in advance and linked to invoices, a GST credit note is not valid, and the supplier's reduction of output tax will be reversed in audit with interest. Keep the dealer agreement or scheme circular, dated before the supplies, on file.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Rule 46 lists invoice contents: GSTIN, 16-character serial number, HSN (4 digits up to Rs. 5 crore turnover, 6 digits above), taxable value, tax by head, place of supply and reverse charge flag.</w:t>
            </w:r>
          </w:p>
          <w:p>
            <w:pPr>
              <w:spacing w:after="60" w:line="260"/>
            </w:pPr>
            <w:r>
              <w:rPr>
                <w:rFonts w:ascii="Verdana" w:cs="Verdana" w:eastAsia="Verdana" w:hAnsi="Verdana"/>
                <w:sz w:val="20"/>
                <w:szCs w:val="20"/>
              </w:rPr>
              <w:t xml:space="preserve">•  Goods invoices are issued at removal or delivery; services within 30 days (45 days for banks, insurers and NBFCs).</w:t>
            </w:r>
          </w:p>
          <w:p>
            <w:pPr>
              <w:spacing w:after="60" w:line="260"/>
            </w:pPr>
            <w:r>
              <w:rPr>
                <w:rFonts w:ascii="Verdana" w:cs="Verdana" w:eastAsia="Verdana" w:hAnsi="Verdana"/>
                <w:sz w:val="20"/>
                <w:szCs w:val="20"/>
              </w:rPr>
              <w:t xml:space="preserve">•  Bill of supply for exempt and composition supplies; receipt, refund and payment vouchers for advances and RCM; self-invoice within 30 days for RCM from unregistered suppliers.</w:t>
            </w:r>
          </w:p>
          <w:p>
            <w:pPr>
              <w:spacing w:after="60" w:line="260"/>
            </w:pPr>
            <w:r>
              <w:rPr>
                <w:rFonts w:ascii="Verdana" w:cs="Verdana" w:eastAsia="Verdana" w:hAnsi="Verdana"/>
                <w:sz w:val="20"/>
                <w:szCs w:val="20"/>
              </w:rPr>
              <w:t xml:space="preserve">•  Credit notes must be declared by 30 November after the year end or the annual return date, whichever is earlier; the supplier reduces tax only if the recipient reverses ITC.</w:t>
            </w:r>
          </w:p>
          <w:p>
            <w:pPr>
              <w:spacing w:after="60" w:line="260"/>
            </w:pPr>
            <w:r>
              <w:rPr>
                <w:rFonts w:ascii="Verdana" w:cs="Verdana" w:eastAsia="Verdana" w:hAnsi="Verdana"/>
                <w:sz w:val="20"/>
                <w:szCs w:val="20"/>
              </w:rPr>
              <w:t xml:space="preserve">•  Discounts not agreed in advance go through financial credit notes without tax adjustment.</w:t>
            </w:r>
          </w:p>
        </w:tc>
      </w:tr>
    </w:tbl>
    <w:p>
      <w:pPr>
        <w:pStyle w:val="Heading1"/>
        <w:pageBreakBefore/>
        <w:spacing w:after="200" w:before="0"/>
      </w:pPr>
      <w:r>
        <w:rPr>
          <w:rFonts w:ascii="Verdana" w:cs="Verdana" w:eastAsia="Verdana" w:hAnsi="Verdana"/>
        </w:rPr>
        <w:t xml:space="preserve">22. E-Invoicing and E-Way Bills</w:t>
      </w:r>
    </w:p>
    <w:p>
      <w:pPr>
        <w:spacing w:after="120" w:line="276"/>
        <w:jc w:val="both"/>
      </w:pPr>
      <w:r>
        <w:rPr>
          <w:rFonts w:ascii="Verdana" w:cs="Verdana" w:eastAsia="Verdana" w:hAnsi="Verdana"/>
        </w:rPr>
        <w:t xml:space="preserve">E-invoicing validates B2B invoices on a Government portal before they reach the customer; the e-way bill tracks goods on the road. Both feed returns automatically and both carry penalties when ignored.</w:t>
      </w:r>
    </w:p>
    <w:p>
      <w:pPr>
        <w:pStyle w:val="Heading2"/>
        <w:keepNext/>
        <w:spacing w:after="120" w:before="240"/>
      </w:pPr>
      <w:r>
        <w:rPr>
          <w:rFonts w:ascii="Verdana" w:cs="Verdana" w:eastAsia="Verdana" w:hAnsi="Verdana"/>
        </w:rPr>
        <w:t xml:space="preserve">22.1 E-invoicing: scope and thresholds</w:t>
      </w:r>
    </w:p>
    <w:p>
      <w:pPr>
        <w:spacing w:after="120" w:line="276"/>
        <w:jc w:val="both"/>
      </w:pPr>
      <w:r>
        <w:rPr>
          <w:rFonts w:ascii="Verdana" w:cs="Verdana" w:eastAsia="Verdana" w:hAnsi="Verdana"/>
        </w:rPr>
        <w:t xml:space="preserve">Under rule 48(4) of the CGST Rules, notified persons must prepare invoices and credit and debit notes for B2B supplies, exports and supplies to SEZs by uploading them to an </w:t>
      </w:r>
      <w:r>
        <w:rPr>
          <w:rFonts w:ascii="Verdana" w:cs="Verdana" w:eastAsia="Verdana" w:hAnsi="Verdana"/>
          <w:b/>
          <w:bCs/>
        </w:rPr>
        <w:t xml:space="preserve">Invoice Registration Portal (IRP)</w:t>
      </w:r>
      <w:r>
        <w:rPr>
          <w:rFonts w:ascii="Verdana" w:cs="Verdana" w:eastAsia="Verdana" w:hAnsi="Verdana"/>
        </w:rPr>
        <w:t xml:space="preserve">. The IRP validates the data, generates a unique </w:t>
      </w:r>
      <w:r>
        <w:rPr>
          <w:rFonts w:ascii="Verdana" w:cs="Verdana" w:eastAsia="Verdana" w:hAnsi="Verdana"/>
          <w:b/>
          <w:bCs/>
        </w:rPr>
        <w:t xml:space="preserve">Invoice Reference Number (IRN)</w:t>
      </w:r>
      <w:r>
        <w:rPr>
          <w:rFonts w:ascii="Verdana" w:cs="Verdana" w:eastAsia="Verdana" w:hAnsi="Verdana"/>
        </w:rPr>
        <w:t xml:space="preserve">, signs the invoice and returns it with a </w:t>
      </w:r>
      <w:r>
        <w:rPr>
          <w:rFonts w:ascii="Verdana" w:cs="Verdana" w:eastAsia="Verdana" w:hAnsi="Verdana"/>
          <w:b/>
          <w:bCs/>
        </w:rPr>
        <w:t xml:space="preserve">QR code</w:t>
      </w:r>
      <w:r>
        <w:rPr>
          <w:rFonts w:ascii="Verdana" w:cs="Verdana" w:eastAsia="Verdana" w:hAnsi="Verdana"/>
        </w:rPr>
        <w:t xml:space="preserve">; the details flow to GSTR-1 and the e-way bill system. An invoice that should have been an e-invoice but was issued without an IRN is not a valid invoice (rule 48(5)).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5"/>
        <w:gridCol w:w="5623"/>
      </w:tblGrid>
      <w:tr>
        <w:trPr>
          <w:cantSplit/>
          <w:tblHeader/>
        </w:trPr>
        <w:tc>
          <w:tcPr>
            <w:tcW w:type="dxa" w:w="401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Effective from</w:t>
            </w:r>
          </w:p>
        </w:tc>
        <w:tc>
          <w:tcPr>
            <w:tcW w:type="dxa" w:w="562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Aggregate turnover in any year from 2017-18 more than</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October 2020</w:t>
            </w:r>
          </w:p>
        </w:tc>
        <w:tc>
          <w:tcPr>
            <w:tcW w:type="dxa" w:w="56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500 crore</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January 2021</w:t>
            </w:r>
          </w:p>
        </w:tc>
        <w:tc>
          <w:tcPr>
            <w:tcW w:type="dxa" w:w="56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100 crore</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April 2021</w:t>
            </w:r>
          </w:p>
        </w:tc>
        <w:tc>
          <w:tcPr>
            <w:tcW w:type="dxa" w:w="56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50 crore</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April 2022</w:t>
            </w:r>
          </w:p>
        </w:tc>
        <w:tc>
          <w:tcPr>
            <w:tcW w:type="dxa" w:w="56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20 crore</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October 2022</w:t>
            </w:r>
          </w:p>
        </w:tc>
        <w:tc>
          <w:tcPr>
            <w:tcW w:type="dxa" w:w="56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10 crore</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August 2023</w:t>
            </w:r>
          </w:p>
        </w:tc>
        <w:tc>
          <w:tcPr>
            <w:tcW w:type="dxa" w:w="56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5 crore</w:t>
            </w:r>
          </w:p>
        </w:tc>
      </w:tr>
    </w:tbl>
    <w:p>
      <w:pPr>
        <w:spacing w:after="60"/>
      </w:pPr>
    </w:p>
    <w:p>
      <w:pPr>
        <w:spacing w:after="120" w:line="276"/>
        <w:jc w:val="both"/>
      </w:pPr>
      <w:r>
        <w:rPr>
          <w:rFonts w:ascii="Verdana" w:cs="Verdana" w:eastAsia="Verdana" w:hAnsi="Verdana"/>
        </w:rPr>
        <w:t xml:space="preserve">The test is whether aggregate turnover (PAN level) exceeded the limit in </w:t>
      </w:r>
      <w:r>
        <w:rPr>
          <w:rFonts w:ascii="Verdana" w:cs="Verdana" w:eastAsia="Verdana" w:hAnsi="Verdana"/>
          <w:b/>
          <w:bCs/>
        </w:rPr>
        <w:t xml:space="preserve">any</w:t>
      </w:r>
      <w:r>
        <w:rPr>
          <w:rFonts w:ascii="Verdana" w:cs="Verdana" w:eastAsia="Verdana" w:hAnsi="Verdana"/>
        </w:rPr>
        <w:t xml:space="preserve"> financial year from 2017-18. Once covered, a person stays covered even if turnover later falls. Exempt whatever their turnover: SEZ units (not developers), insurers, banks, financial institutions and NBFCs, goods transport agencies, passenger transport, cinema admission in multiplexes, and Government departments and local authorities.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128: Is e-invoicing applicable?</w:t>
            </w:r>
          </w:p>
          <w:p>
            <w:pPr>
              <w:spacing w:after="60" w:line="260"/>
            </w:pPr>
            <w:r>
              <w:rPr>
                <w:rFonts w:ascii="Verdana" w:cs="Verdana" w:eastAsia="Verdana" w:hAnsi="Verdana"/>
                <w:sz w:val="20"/>
                <w:szCs w:val="20"/>
              </w:rPr>
              <w:t xml:space="preserve">Verma Auto Parts Pvt. Ltd. had aggregate turnover of Rs. 4.2 crore in FY 2019-20, Rs. 5.4 crore in FY 2021-22 and Rs. 4.8 crore in FY 2025-26.</w:t>
            </w:r>
          </w:p>
          <w:p>
            <w:pPr>
              <w:spacing w:after="60" w:line="260"/>
            </w:pPr>
            <w:r>
              <w:rPr>
                <w:rFonts w:ascii="Verdana" w:cs="Verdana" w:eastAsia="Verdana" w:hAnsi="Verdana"/>
                <w:sz w:val="20"/>
                <w:szCs w:val="20"/>
              </w:rPr>
              <w:t xml:space="preserve">Step 1: Turnover exceeded Rs. 5 crore in FY 2021-22.</w:t>
            </w:r>
          </w:p>
          <w:p>
            <w:pPr>
              <w:spacing w:after="60" w:line="260"/>
            </w:pPr>
            <w:r>
              <w:rPr>
                <w:rFonts w:ascii="Verdana" w:cs="Verdana" w:eastAsia="Verdana" w:hAnsi="Verdana"/>
                <w:sz w:val="20"/>
                <w:szCs w:val="20"/>
              </w:rPr>
              <w:t xml:space="preserve">Step 2: The Rs. 5 crore threshold applies from 1 August 2023.</w:t>
            </w:r>
          </w:p>
          <w:p>
            <w:pPr>
              <w:spacing w:after="60" w:line="260"/>
            </w:pPr>
            <w:r>
              <w:rPr>
                <w:rFonts w:ascii="Verdana" w:cs="Verdana" w:eastAsia="Verdana" w:hAnsi="Verdana"/>
                <w:sz w:val="20"/>
                <w:szCs w:val="20"/>
              </w:rPr>
              <w:t xml:space="preserve">Result: E-invoicing applies from 1 August 2023, though the latest turnover is Rs. 4.8 crore.</w:t>
            </w:r>
          </w:p>
        </w:tc>
      </w:tr>
    </w:tbl>
    <w:p>
      <w:pPr>
        <w:spacing w:after="60"/>
      </w:pPr>
    </w:p>
    <w:p>
      <w:pPr>
        <w:pStyle w:val="Heading3"/>
        <w:keepNext/>
        <w:spacing w:after="80" w:before="160"/>
      </w:pPr>
      <w:r>
        <w:rPr>
          <w:rFonts w:ascii="Verdana" w:cs="Verdana" w:eastAsia="Verdana" w:hAnsi="Verdana"/>
        </w:rPr>
        <w:t xml:space="preserve">The 30-day reporting limit</w:t>
      </w:r>
    </w:p>
    <w:p>
      <w:pPr>
        <w:spacing w:after="120" w:line="276"/>
        <w:jc w:val="both"/>
      </w:pPr>
      <w:r>
        <w:rPr>
          <w:rFonts w:ascii="Verdana" w:cs="Verdana" w:eastAsia="Verdana" w:hAnsi="Verdana"/>
        </w:rPr>
        <w:t xml:space="preserve">From 1 April 2025, taxpayers with </w:t>
      </w:r>
      <w:r>
        <w:rPr>
          <w:rFonts w:ascii="Verdana" w:cs="Verdana" w:eastAsia="Verdana" w:hAnsi="Verdana"/>
          <w:b/>
          <w:bCs/>
        </w:rPr>
        <w:t xml:space="preserve">aggregate annual turnover (AATO) of Rs. 10 crore or more</w:t>
      </w:r>
      <w:r>
        <w:rPr>
          <w:rFonts w:ascii="Verdana" w:cs="Verdana" w:eastAsia="Verdana" w:hAnsi="Verdana"/>
        </w:rPr>
        <w:t xml:space="preserve"> cannot report a document to the IRP after 30 days from the document date. The restriction covers invoices, credit notes and debit notes. (From 1 November 2023 it applied at Rs. 100 crore.) The IRP rejects late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129: 30-day limit</w:t>
            </w:r>
          </w:p>
          <w:p>
            <w:pPr>
              <w:spacing w:after="60" w:line="260"/>
            </w:pPr>
            <w:r>
              <w:rPr>
                <w:rFonts w:ascii="Verdana" w:cs="Verdana" w:eastAsia="Verdana" w:hAnsi="Verdana"/>
                <w:sz w:val="20"/>
                <w:szCs w:val="20"/>
              </w:rPr>
              <w:t xml:space="preserve">Gupta Steel Pvt. Ltd. has AATO of Rs. 12 crore. An invoice dated 25 August 2026 was not uploaded because of a system error.</w:t>
            </w:r>
          </w:p>
          <w:p>
            <w:pPr>
              <w:spacing w:after="60" w:line="260"/>
            </w:pPr>
            <w:r>
              <w:rPr>
                <w:rFonts w:ascii="Verdana" w:cs="Verdana" w:eastAsia="Verdana" w:hAnsi="Verdana"/>
                <w:sz w:val="20"/>
                <w:szCs w:val="20"/>
              </w:rPr>
              <w:t xml:space="preserve">Step 1: The 30 days counted from the invoice date (25 August 2026 being day 1) end on 23 September 2026.</w:t>
            </w:r>
          </w:p>
          <w:p>
            <w:pPr>
              <w:spacing w:after="60" w:line="260"/>
            </w:pPr>
            <w:r>
              <w:rPr>
                <w:rFonts w:ascii="Verdana" w:cs="Verdana" w:eastAsia="Verdana" w:hAnsi="Verdana"/>
                <w:sz w:val="20"/>
                <w:szCs w:val="20"/>
              </w:rPr>
              <w:t xml:space="preserve">Result: An upload on 25 September 2026 is rejected. A fresh invoice with a current date and new number must be issued and reported; interest for the delayed time of supply is examined separately.</w:t>
            </w:r>
          </w:p>
        </w:tc>
      </w:tr>
    </w:tbl>
    <w:p>
      <w:pPr>
        <w:spacing w:after="60"/>
      </w:pPr>
    </w:p>
    <w:p>
      <w:pPr>
        <w:pStyle w:val="Heading3"/>
        <w:keepNext/>
        <w:spacing w:after="80" w:before="160"/>
      </w:pPr>
      <w:r>
        <w:rPr>
          <w:rFonts w:ascii="Verdana" w:cs="Verdana" w:eastAsia="Verdana" w:hAnsi="Verdana"/>
        </w:rPr>
        <w:t xml:space="preserve">Cancellation, B2C dynamic QR and consequences</w:t>
      </w:r>
    </w:p>
    <w:p>
      <w:pPr>
        <w:spacing w:after="120" w:line="276"/>
        <w:jc w:val="both"/>
      </w:pPr>
      <w:r>
        <w:rPr>
          <w:rFonts w:ascii="Verdana" w:cs="Verdana" w:eastAsia="Verdana" w:hAnsi="Verdana"/>
        </w:rPr>
        <w:t xml:space="preserve">An IRN can be cancelled, in full only, within </w:t>
      </w:r>
      <w:r>
        <w:rPr>
          <w:rFonts w:ascii="Verdana" w:cs="Verdana" w:eastAsia="Verdana" w:hAnsi="Verdana"/>
          <w:b/>
          <w:bCs/>
        </w:rPr>
        <w:t xml:space="preserve">24 hours</w:t>
      </w:r>
      <w:r>
        <w:rPr>
          <w:rFonts w:ascii="Verdana" w:cs="Verdana" w:eastAsia="Verdana" w:hAnsi="Verdana"/>
        </w:rPr>
        <w:t xml:space="preserve"> of generation on the IRP. An active e-way bill must be cancelled first. After 24 hours, correction is by credit note or GSTR-1 amendment, and the cancelled number cannot be reused.</w:t>
      </w:r>
    </w:p>
    <w:p>
      <w:pPr>
        <w:spacing w:after="120" w:line="276"/>
        <w:jc w:val="both"/>
      </w:pPr>
      <w:r>
        <w:rPr>
          <w:rFonts w:ascii="Verdana" w:cs="Verdana" w:eastAsia="Verdana" w:hAnsi="Verdana"/>
        </w:rPr>
        <w:t xml:space="preserve">Taxpayers with aggregate turnover above </w:t>
      </w:r>
      <w:r>
        <w:rPr>
          <w:rFonts w:ascii="Verdana" w:cs="Verdana" w:eastAsia="Verdana" w:hAnsi="Verdana"/>
          <w:b/>
          <w:bCs/>
        </w:rPr>
        <w:t xml:space="preserve">Rs. 500 crore</w:t>
      </w:r>
      <w:r>
        <w:rPr>
          <w:rFonts w:ascii="Verdana" w:cs="Verdana" w:eastAsia="Verdana" w:hAnsi="Verdana"/>
        </w:rPr>
        <w:t xml:space="preserve"> must show a dynamic QR code on B2C invoices. Not issuing an e-invoice where required attracts penalty under section 122 (Rs. 10,000 or the tax involved, whichever is higher) and the general penalty under section 125 for procedural lapses, apart from loss of credit to the customer.</w:t>
      </w:r>
    </w:p>
    <w:p>
      <w:pPr>
        <w:pStyle w:val="Heading2"/>
        <w:keepNext/>
        <w:spacing w:after="120" w:before="240"/>
      </w:pPr>
      <w:r>
        <w:rPr>
          <w:rFonts w:ascii="Verdana" w:cs="Verdana" w:eastAsia="Verdana" w:hAnsi="Verdana"/>
        </w:rPr>
        <w:t xml:space="preserve">22.2 E-way bill: when required</w:t>
      </w:r>
    </w:p>
    <w:p>
      <w:pPr>
        <w:spacing w:after="120" w:line="276"/>
        <w:jc w:val="both"/>
      </w:pPr>
      <w:r>
        <w:rPr>
          <w:rFonts w:ascii="Verdana" w:cs="Verdana" w:eastAsia="Verdana" w:hAnsi="Verdana"/>
        </w:rPr>
        <w:t xml:space="preserve">Section 68 and rules 138 to 138E require an </w:t>
      </w:r>
      <w:r>
        <w:rPr>
          <w:rFonts w:ascii="Verdana" w:cs="Verdana" w:eastAsia="Verdana" w:hAnsi="Verdana"/>
          <w:b/>
          <w:bCs/>
        </w:rPr>
        <w:t xml:space="preserve">e-way bill (EWB)</w:t>
      </w:r>
      <w:r>
        <w:rPr>
          <w:rFonts w:ascii="Verdana" w:cs="Verdana" w:eastAsia="Verdana" w:hAnsi="Verdana"/>
        </w:rPr>
        <w:t xml:space="preserve"> for movement of goods of consignment value above </w:t>
      </w:r>
      <w:r>
        <w:rPr>
          <w:rFonts w:ascii="Verdana" w:cs="Verdana" w:eastAsia="Verdana" w:hAnsi="Verdana"/>
          <w:b/>
          <w:bCs/>
        </w:rPr>
        <w:t xml:space="preserve">Rs. 50,000</w:t>
      </w:r>
      <w:r>
        <w:rPr>
          <w:rFonts w:ascii="Verdana" w:cs="Verdana" w:eastAsia="Verdana" w:hAnsi="Verdana"/>
        </w:rPr>
        <w:t xml:space="preserve">, whether for supply, for reasons other than supply (stock transfer, job work), or for inward supply from an unregistered person. Consignment value is the section 15 value in the document </w:t>
      </w:r>
      <w:r>
        <w:rPr>
          <w:rFonts w:ascii="Verdana" w:cs="Verdana" w:eastAsia="Verdana" w:hAnsi="Verdana"/>
          <w:b/>
          <w:bCs/>
        </w:rPr>
        <w:t xml:space="preserve">including</w:t>
      </w:r>
      <w:r>
        <w:rPr>
          <w:rFonts w:ascii="Verdana" w:cs="Verdana" w:eastAsia="Verdana" w:hAnsi="Verdana"/>
        </w:rPr>
        <w:t xml:space="preserve"> GST and cess, excluding exempt goods in the same document. Inter-State movement for job work and of handicraft goods needs an EWB even below Rs. 50,000. States may notify a higher intra-State limit.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130: Consignment value test</w:t>
            </w:r>
          </w:p>
          <w:p>
            <w:pPr>
              <w:spacing w:after="60" w:line="260"/>
            </w:pPr>
            <w:r>
              <w:rPr>
                <w:rFonts w:ascii="Verdana" w:cs="Verdana" w:eastAsia="Verdana" w:hAnsi="Verdana"/>
                <w:sz w:val="20"/>
                <w:szCs w:val="20"/>
              </w:rPr>
              <w:t xml:space="preserve">Kaur Hardware, Ludhiana, sends goods of taxable value Rs. 45,000 at 18% to a customer in Chandigarh.</w:t>
            </w:r>
          </w:p>
          <w:p>
            <w:pPr>
              <w:spacing w:after="60" w:line="260"/>
            </w:pPr>
            <w:r>
              <w:rPr>
                <w:rFonts w:ascii="Verdana" w:cs="Verdana" w:eastAsia="Verdana" w:hAnsi="Verdana"/>
                <w:sz w:val="20"/>
                <w:szCs w:val="20"/>
              </w:rPr>
              <w:t xml:space="preserve">Step 1: Consignment value = Rs. 45,000 + IGST Rs. 8,100 = Rs. 53,100.</w:t>
            </w:r>
          </w:p>
          <w:p>
            <w:pPr>
              <w:spacing w:after="60" w:line="260"/>
            </w:pPr>
            <w:r>
              <w:rPr>
                <w:rFonts w:ascii="Verdana" w:cs="Verdana" w:eastAsia="Verdana" w:hAnsi="Verdana"/>
                <w:sz w:val="20"/>
                <w:szCs w:val="20"/>
              </w:rPr>
              <w:t xml:space="preserve">Result: Rs. 53,100 is more than Rs. 50,000, so an e-way bill is needed, though the taxable value alone is below the limit.</w:t>
            </w:r>
          </w:p>
        </w:tc>
      </w:tr>
    </w:tbl>
    <w:p>
      <w:pPr>
        <w:spacing w:after="60"/>
      </w:pPr>
    </w:p>
    <w:p>
      <w:pPr>
        <w:spacing w:after="120" w:line="276"/>
        <w:jc w:val="both"/>
      </w:pPr>
      <w:r>
        <w:rPr>
          <w:rFonts w:ascii="Verdana" w:cs="Verdana" w:eastAsia="Verdana" w:hAnsi="Verdana"/>
          <w:b/>
          <w:bCs/>
        </w:rPr>
        <w:t xml:space="preserve">Parts A and B.</w:t>
      </w:r>
      <w:r>
        <w:rPr>
          <w:rFonts w:ascii="Verdana" w:cs="Verdana" w:eastAsia="Verdana" w:hAnsi="Verdana"/>
        </w:rPr>
        <w:t xml:space="preserve"> Part A has the invoice details, GSTINs, delivery place, value, HSN and reason for transport. Part B has the vehicle or transport document number. The EWB is not valid until Part B is filled, except for movement up to 50 km within the State from the consignor to the transporter's place. Two-factor authentication is required for generation, and EWBs can be generated only for documents not older than 180 days (from 1 January 2025).</w:t>
      </w:r>
    </w:p>
    <w:p>
      <w:pPr>
        <w:spacing w:after="120" w:line="276"/>
        <w:jc w:val="both"/>
      </w:pPr>
      <w:r>
        <w:rPr>
          <w:rFonts w:ascii="Verdana" w:cs="Verdana" w:eastAsia="Verdana" w:hAnsi="Verdana"/>
          <w:b/>
          <w:bCs/>
        </w:rPr>
        <w:t xml:space="preserve">Exemptions (rule 138(14))</w:t>
      </w:r>
      <w:r>
        <w:rPr>
          <w:rFonts w:ascii="Verdana" w:cs="Verdana" w:eastAsia="Verdana" w:hAnsi="Verdana"/>
        </w:rPr>
        <w:t xml:space="preserve"> include non-motorised conveyance; movement from a port, airport or land customs station to an ICD or CFS for clearance; goods under customs bond; transit to or from Nepal or Bhutan; empty containers; movement up to 20 km to a weighbridge under a delivery challan; annexure goods such as household LPG and currency; exempt goods; and alcoholic liquor and petroleum products.</w:t>
      </w:r>
    </w:p>
    <w:p>
      <w:pPr>
        <w:spacing w:after="120" w:line="276"/>
        <w:jc w:val="both"/>
      </w:pPr>
      <w:r>
        <w:rPr>
          <w:rFonts w:ascii="Verdana" w:cs="Verdana" w:eastAsia="Verdana" w:hAnsi="Verdana"/>
          <w:b/>
          <w:bCs/>
        </w:rPr>
        <w:t xml:space="preserve">Job work and stock transfer.</w:t>
      </w:r>
      <w:r>
        <w:rPr>
          <w:rFonts w:ascii="Verdana" w:cs="Verdana" w:eastAsia="Verdana" w:hAnsi="Verdana"/>
        </w:rPr>
        <w:t xml:space="preserve"> Job work goods move under a delivery challan with an EWB; stock transfers to another registration under a tax invoice and EWB.</w:t>
      </w:r>
    </w:p>
    <w:p>
      <w:pPr>
        <w:spacing w:after="120" w:line="276"/>
        <w:jc w:val="both"/>
      </w:pPr>
      <w:r>
        <w:rPr>
          <w:rFonts w:ascii="Verdana" w:cs="Verdana" w:eastAsia="Verdana" w:hAnsi="Verdana"/>
          <w:b/>
          <w:bCs/>
        </w:rPr>
        <w:t xml:space="preserve">Bill-to-ship-to.</w:t>
      </w:r>
      <w:r>
        <w:rPr>
          <w:rFonts w:ascii="Verdana" w:cs="Verdana" w:eastAsia="Verdana" w:hAnsi="Verdana"/>
        </w:rPr>
        <w:t xml:space="preserve"> Where A in Delhi sells to B in Mumbai but ships directly to B's customer C in Pune, the EWB is generated on the invoice of A to B with the delivery address of C. One EWB covers the movement, generated by A or B.</w:t>
      </w:r>
    </w:p>
    <w:p>
      <w:pPr>
        <w:pStyle w:val="Heading2"/>
        <w:keepNext/>
        <w:spacing w:after="120" w:before="240"/>
      </w:pPr>
      <w:r>
        <w:rPr>
          <w:rFonts w:ascii="Verdana" w:cs="Verdana" w:eastAsia="Verdana" w:hAnsi="Verdana"/>
        </w:rPr>
        <w:t xml:space="preserve">22.3 Validity and extension</w:t>
      </w:r>
    </w:p>
    <w:p>
      <w:pPr>
        <w:spacing w:after="120" w:line="276"/>
        <w:jc w:val="both"/>
      </w:pPr>
      <w:r>
        <w:rPr>
          <w:rFonts w:ascii="Verdana" w:cs="Verdana" w:eastAsia="Verdana" w:hAnsi="Verdana"/>
        </w:rPr>
        <w:t xml:space="preserve">Rule 138(10) gives validity according to distance: </w:t>
      </w:r>
      <w:r>
        <w:rPr>
          <w:rFonts w:ascii="Verdana" w:cs="Verdana" w:eastAsia="Verdana" w:hAnsi="Verdana"/>
          <w:b/>
          <w:bCs/>
        </w:rPr>
        <w:t xml:space="preserve">1 day for up to 200 km</w:t>
      </w:r>
      <w:r>
        <w:rPr>
          <w:rFonts w:ascii="Verdana" w:cs="Verdana" w:eastAsia="Verdana" w:hAnsi="Verdana"/>
        </w:rPr>
        <w:t xml:space="preserve"> and 1 more day for every further 200 km or part. For over dimensional cargo (ODC) it is 1 day for every 20 km or part. A "day" ends at midnight of the day following the date of generation. Where goods cannot reach in time (breakdown, accident, law and order), validity may be extended within </w:t>
      </w:r>
      <w:r>
        <w:rPr>
          <w:rFonts w:ascii="Verdana" w:cs="Verdana" w:eastAsia="Verdana" w:hAnsi="Verdana"/>
          <w:b/>
          <w:bCs/>
        </w:rPr>
        <w:t xml:space="preserve">8 hours before or after expiry</w:t>
      </w:r>
      <w:r>
        <w:rPr>
          <w:rFonts w:ascii="Verdana" w:cs="Verdana" w:eastAsia="Verdana" w:hAnsi="Verdana"/>
        </w:rPr>
        <w:t xml:space="preserve">, up to 360 days in 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131: Validity for normal cargo and ODC</w:t>
            </w:r>
          </w:p>
          <w:p>
            <w:pPr>
              <w:spacing w:after="60" w:line="260"/>
            </w:pPr>
            <w:r>
              <w:rPr>
                <w:rFonts w:ascii="Verdana" w:cs="Verdana" w:eastAsia="Verdana" w:hAnsi="Verdana"/>
                <w:sz w:val="20"/>
                <w:szCs w:val="20"/>
              </w:rPr>
              <w:t xml:space="preserve">Rathi Transport generates an EWB at 10:30 pm on 3 September 2026 for 650 km (Ahmedabad to Nagpur), and another for an over dimensional transformer moving 90 km.</w:t>
            </w:r>
          </w:p>
          <w:p>
            <w:pPr>
              <w:spacing w:after="60" w:line="260"/>
            </w:pPr>
            <w:r>
              <w:rPr>
                <w:rFonts w:ascii="Verdana" w:cs="Verdana" w:eastAsia="Verdana" w:hAnsi="Verdana"/>
                <w:sz w:val="20"/>
                <w:szCs w:val="20"/>
              </w:rPr>
              <w:t xml:space="preserve">Step 1 (normal cargo): First 200 km = 1 day. Remaining 450 km = 3 days (200 + 200 + 50, a part counting as a full unit). Validity = 4 days.</w:t>
            </w:r>
          </w:p>
          <w:p>
            <w:pPr>
              <w:spacing w:after="60" w:line="260"/>
            </w:pPr>
            <w:r>
              <w:rPr>
                <w:rFonts w:ascii="Verdana" w:cs="Verdana" w:eastAsia="Verdana" w:hAnsi="Verdana"/>
                <w:sz w:val="20"/>
                <w:szCs w:val="20"/>
              </w:rPr>
              <w:t xml:space="preserve">Step 2: Day 1 ends at midnight of 4 September 2026; day 4 ends at midnight of 7 September 2026.</w:t>
            </w:r>
          </w:p>
          <w:p>
            <w:pPr>
              <w:spacing w:after="60" w:line="260"/>
            </w:pPr>
            <w:r>
              <w:rPr>
                <w:rFonts w:ascii="Verdana" w:cs="Verdana" w:eastAsia="Verdana" w:hAnsi="Verdana"/>
                <w:sz w:val="20"/>
                <w:szCs w:val="20"/>
              </w:rPr>
              <w:t xml:space="preserve">Step 3 (ODC): 90 km / 20 km = 4.5, rounded up to 5 days.</w:t>
            </w:r>
          </w:p>
          <w:p>
            <w:pPr>
              <w:spacing w:after="60" w:line="260"/>
            </w:pPr>
            <w:r>
              <w:rPr>
                <w:rFonts w:ascii="Verdana" w:cs="Verdana" w:eastAsia="Verdana" w:hAnsi="Verdana"/>
                <w:sz w:val="20"/>
                <w:szCs w:val="20"/>
              </w:rPr>
              <w:t xml:space="preserve">Result: If the truck breaks down on 7 September, Rathi Transport should extend the EWB between 4:00 pm on 7 September and 8:00 am on 8 September 2026.</w:t>
            </w:r>
          </w:p>
        </w:tc>
      </w:tr>
    </w:tbl>
    <w:p>
      <w:pPr>
        <w:spacing w:after="60"/>
      </w:pPr>
    </w:p>
    <w:p>
      <w:pPr>
        <w:pStyle w:val="Heading2"/>
        <w:keepNext/>
        <w:spacing w:after="120" w:before="240"/>
      </w:pPr>
      <w:r>
        <w:rPr>
          <w:rFonts w:ascii="Verdana" w:cs="Verdana" w:eastAsia="Verdana" w:hAnsi="Verdana"/>
        </w:rPr>
        <w:t xml:space="preserve">22.4 Interception and detention (sections 68 and 129)</w:t>
      </w:r>
    </w:p>
    <w:p>
      <w:pPr>
        <w:spacing w:after="120" w:line="276"/>
        <w:jc w:val="both"/>
      </w:pPr>
      <w:r>
        <w:rPr>
          <w:rFonts w:ascii="Verdana" w:cs="Verdana" w:eastAsia="Verdana" w:hAnsi="Verdana"/>
        </w:rPr>
        <w:t xml:space="preserve">The officer may stop a conveyance, record the driver's statement (</w:t>
      </w:r>
      <w:r>
        <w:rPr>
          <w:rFonts w:ascii="Verdana" w:cs="Verdana" w:eastAsia="Verdana" w:hAnsi="Verdana"/>
          <w:b/>
          <w:bCs/>
        </w:rPr>
        <w:t xml:space="preserve">MOV-01</w:t>
      </w:r>
      <w:r>
        <w:rPr>
          <w:rFonts w:ascii="Verdana" w:cs="Verdana" w:eastAsia="Verdana" w:hAnsi="Verdana"/>
        </w:rPr>
        <w:t xml:space="preserve">) and order physical verification (</w:t>
      </w:r>
      <w:r>
        <w:rPr>
          <w:rFonts w:ascii="Verdana" w:cs="Verdana" w:eastAsia="Verdana" w:hAnsi="Verdana"/>
          <w:b/>
          <w:bCs/>
        </w:rPr>
        <w:t xml:space="preserve">MOV-02</w:t>
      </w:r>
      <w:r>
        <w:rPr>
          <w:rFonts w:ascii="Verdana" w:cs="Verdana" w:eastAsia="Verdana" w:hAnsi="Verdana"/>
        </w:rPr>
        <w:t xml:space="preserve">), with a summary report within 24 hours and a final report within 3 days. If documents are missing or wrong, the goods are detained (</w:t>
      </w:r>
      <w:r>
        <w:rPr>
          <w:rFonts w:ascii="Verdana" w:cs="Verdana" w:eastAsia="Verdana" w:hAnsi="Verdana"/>
          <w:b/>
          <w:bCs/>
        </w:rPr>
        <w:t xml:space="preserve">MOV-06</w:t>
      </w:r>
      <w:r>
        <w:rPr>
          <w:rFonts w:ascii="Verdana" w:cs="Verdana" w:eastAsia="Verdana" w:hAnsi="Verdana"/>
        </w:rPr>
        <w:t xml:space="preserve">) and a notice in </w:t>
      </w:r>
      <w:r>
        <w:rPr>
          <w:rFonts w:ascii="Verdana" w:cs="Verdana" w:eastAsia="Verdana" w:hAnsi="Verdana"/>
          <w:b/>
          <w:bCs/>
        </w:rPr>
        <w:t xml:space="preserve">MOV-07</w:t>
      </w:r>
      <w:r>
        <w:rPr>
          <w:rFonts w:ascii="Verdana" w:cs="Verdana" w:eastAsia="Verdana" w:hAnsi="Verdana"/>
        </w:rPr>
        <w:t xml:space="preserve"> proposes the penalty. Under section 129(3), the notice must be issued </w:t>
      </w:r>
      <w:r>
        <w:rPr>
          <w:rFonts w:ascii="Verdana" w:cs="Verdana" w:eastAsia="Verdana" w:hAnsi="Verdana"/>
          <w:b/>
          <w:bCs/>
        </w:rPr>
        <w:t xml:space="preserve">within 7 days of detention</w:t>
      </w:r>
      <w:r>
        <w:rPr>
          <w:rFonts w:ascii="Verdana" w:cs="Verdana" w:eastAsia="Verdana" w:hAnsi="Verdana"/>
        </w:rPr>
        <w:t xml:space="preserve">, and the order in </w:t>
      </w:r>
      <w:r>
        <w:rPr>
          <w:rFonts w:ascii="Verdana" w:cs="Verdana" w:eastAsia="Verdana" w:hAnsi="Verdana"/>
          <w:b/>
          <w:bCs/>
        </w:rPr>
        <w:t xml:space="preserve">MOV-09</w:t>
      </w:r>
      <w:r>
        <w:rPr>
          <w:rFonts w:ascii="Verdana" w:cs="Verdana" w:eastAsia="Verdana" w:hAnsi="Verdana"/>
        </w:rPr>
        <w:t xml:space="preserve"> passed </w:t>
      </w:r>
      <w:r>
        <w:rPr>
          <w:rFonts w:ascii="Verdana" w:cs="Verdana" w:eastAsia="Verdana" w:hAnsi="Verdana"/>
          <w:b/>
          <w:bCs/>
        </w:rPr>
        <w:t xml:space="preserve">within 7 days of service of the notice</w:t>
      </w:r>
      <w:r>
        <w:rPr>
          <w:rFonts w:ascii="Verdana" w:cs="Verdana" w:eastAsia="Verdana" w:hAnsi="Verdana"/>
        </w:rPr>
        <w:t xml:space="preserve">. The goods are released on payment of the penalty (MOV-05) or on furnishing security equal to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16"/>
        <w:gridCol w:w="5422"/>
      </w:tblGrid>
      <w:tr>
        <w:trPr>
          <w:cantSplit/>
          <w:tblHeader/>
        </w:trPr>
        <w:tc>
          <w:tcPr>
            <w:tcW w:type="dxa" w:w="421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Situation</w:t>
            </w:r>
          </w:p>
        </w:tc>
        <w:tc>
          <w:tcPr>
            <w:tcW w:type="dxa" w:w="542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Penalty under section 129(1) (from 1 January 2022)</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Owner comes forward, taxable goods</w:t>
            </w:r>
          </w:p>
        </w:tc>
        <w:tc>
          <w:tcPr>
            <w:tcW w:type="dxa" w:w="54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200% of tax payable</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Owner comes forward, exempt goods</w:t>
            </w:r>
          </w:p>
        </w:tc>
        <w:tc>
          <w:tcPr>
            <w:tcW w:type="dxa" w:w="54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 of value of goods or Rs. 25,000, whichever is less</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Owner does not come forward, taxable goods</w:t>
            </w:r>
          </w:p>
        </w:tc>
        <w:tc>
          <w:tcPr>
            <w:tcW w:type="dxa" w:w="54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50% of value of goods or 200% of tax, whichever is higher</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Owner does not come forward, exempt goods</w:t>
            </w:r>
          </w:p>
        </w:tc>
        <w:tc>
          <w:tcPr>
            <w:tcW w:type="dxa" w:w="54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 of value of goods or Rs. 25,000, whichever is less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132: Penalty on detention</w:t>
            </w:r>
          </w:p>
          <w:p>
            <w:pPr>
              <w:spacing w:after="60" w:line="260"/>
            </w:pPr>
            <w:r>
              <w:rPr>
                <w:rFonts w:ascii="Verdana" w:cs="Verdana" w:eastAsia="Verdana" w:hAnsi="Verdana"/>
                <w:sz w:val="20"/>
                <w:szCs w:val="20"/>
              </w:rPr>
              <w:t xml:space="preserve">Goods of Singh Traders worth Rs. 4,00,000 at 18% are detained without an EWB; another truck carries exempt vegetables worth Rs. 8,00,000 without documents.</w:t>
            </w:r>
          </w:p>
          <w:p>
            <w:pPr>
              <w:spacing w:after="60" w:line="260"/>
            </w:pPr>
            <w:r>
              <w:rPr>
                <w:rFonts w:ascii="Verdana" w:cs="Verdana" w:eastAsia="Verdana" w:hAnsi="Verdana"/>
                <w:sz w:val="20"/>
                <w:szCs w:val="20"/>
              </w:rPr>
              <w:t xml:space="preserve">Step 1: Tax on taxable goods = 18% of Rs. 4,00,000 = Rs. 72,000.</w:t>
            </w:r>
          </w:p>
          <w:p>
            <w:pPr>
              <w:spacing w:after="60" w:line="260"/>
            </w:pPr>
            <w:r>
              <w:rPr>
                <w:rFonts w:ascii="Verdana" w:cs="Verdana" w:eastAsia="Verdana" w:hAnsi="Verdana"/>
                <w:sz w:val="20"/>
                <w:szCs w:val="20"/>
              </w:rPr>
              <w:t xml:space="preserve">Step 2: Owner comes forward: penalty = 200% of Rs. 72,000 = Rs. 1,44,000.</w:t>
            </w:r>
          </w:p>
          <w:p>
            <w:pPr>
              <w:spacing w:after="60" w:line="260"/>
            </w:pPr>
            <w:r>
              <w:rPr>
                <w:rFonts w:ascii="Verdana" w:cs="Verdana" w:eastAsia="Verdana" w:hAnsi="Verdana"/>
                <w:sz w:val="20"/>
                <w:szCs w:val="20"/>
              </w:rPr>
              <w:t xml:space="preserve">Step 3: If the owner did not come forward: higher of 50% of Rs. 4,00,000 = Rs. 2,00,000 and Rs. 1,44,000 = Rs. 2,00,000.</w:t>
            </w:r>
          </w:p>
          <w:p>
            <w:pPr>
              <w:spacing w:after="60" w:line="260"/>
            </w:pPr>
            <w:r>
              <w:rPr>
                <w:rFonts w:ascii="Verdana" w:cs="Verdana" w:eastAsia="Verdana" w:hAnsi="Verdana"/>
                <w:sz w:val="20"/>
                <w:szCs w:val="20"/>
              </w:rPr>
              <w:t xml:space="preserve">Step 4: Exempt goods, owner comes forward: lower of 2% of Rs. 8,00,000 = Rs. 16,000 and Rs. 25,000 = Rs. 16,000.</w:t>
            </w:r>
          </w:p>
          <w:p>
            <w:pPr>
              <w:spacing w:after="60" w:line="260"/>
            </w:pPr>
            <w:r>
              <w:rPr>
                <w:rFonts w:ascii="Verdana" w:cs="Verdana" w:eastAsia="Verdana" w:hAnsi="Verdana"/>
                <w:sz w:val="20"/>
                <w:szCs w:val="20"/>
              </w:rPr>
              <w:t xml:space="preserve">Result: The penalty replaces tax at this stage. If unpaid within 15 days of the order, the goods may be sold (section 129(6)).</w:t>
            </w:r>
          </w:p>
        </w:tc>
      </w:tr>
    </w:tbl>
    <w:p>
      <w:pPr>
        <w:spacing w:after="60"/>
      </w:pPr>
    </w:p>
    <w:p>
      <w:pPr>
        <w:spacing w:after="120" w:line="276"/>
        <w:jc w:val="both"/>
      </w:pPr>
      <w:r>
        <w:rPr>
          <w:rFonts w:ascii="Verdana" w:cs="Verdana" w:eastAsia="Verdana" w:hAnsi="Verdana"/>
        </w:rPr>
        <w:t xml:space="preserve">An appeal against a section 129(3) order requires pre-deposit of 25% of the penalty (proviso to section 107(6)). Section 130 (confiscation, with a redemption fine up to market value less tax, plus tax and penalty) is for intent to evade, such as goods not in the books, and should not be used for documentary lapses covered by section 129.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Detention for technical lapses</w:t>
            </w:r>
          </w:p>
          <w:p>
            <w:pPr>
              <w:spacing w:after="60" w:line="260"/>
            </w:pPr>
            <w:r>
              <w:rPr>
                <w:rFonts w:ascii="Verdana" w:cs="Verdana" w:eastAsia="Verdana" w:hAnsi="Verdana"/>
                <w:b/>
                <w:bCs/>
                <w:sz w:val="20"/>
                <w:szCs w:val="20"/>
              </w:rPr>
              <w:t xml:space="preserve">Assistant Commissioner (ST) v. Satyam Shivam Papers (P) Ltd. (Supreme Court, 2022):</w:t>
            </w:r>
            <w:r>
              <w:rPr>
                <w:rFonts w:ascii="Verdana" w:cs="Verdana" w:eastAsia="Verdana" w:hAnsi="Verdana"/>
                <w:sz w:val="20"/>
                <w:szCs w:val="20"/>
              </w:rPr>
              <w:t xml:space="preserve"> Goods could not be delivered within the validity of the EWB because of a traffic block caused by an agitation. The Telangana High Court quashed the tax and penalty, finding no intent to evade. The Supreme Court dismissed the State's special leave petition and raised the costs to Rs. 59,000: evasion cannot be presumed from a lapse caused by external factors.</w:t>
            </w:r>
          </w:p>
          <w:p>
            <w:pPr>
              <w:spacing w:after="60" w:line="260"/>
            </w:pPr>
            <w:r>
              <w:rPr>
                <w:rFonts w:ascii="Verdana" w:cs="Verdana" w:eastAsia="Verdana" w:hAnsi="Verdana"/>
                <w:b/>
                <w:bCs/>
                <w:sz w:val="20"/>
                <w:szCs w:val="20"/>
              </w:rPr>
              <w:t xml:space="preserve">Hindustan Steel Ltd. v. State of Orissa (Supreme Court, 1969):</w:t>
            </w:r>
            <w:r>
              <w:rPr>
                <w:rFonts w:ascii="Verdana" w:cs="Verdana" w:eastAsia="Verdana" w:hAnsi="Verdana"/>
                <w:sz w:val="20"/>
                <w:szCs w:val="20"/>
              </w:rPr>
              <w:t xml:space="preserve"> Penalty is not imposed merely because it is lawful; a technical or venial breach does not ordinarily call for it. This pre-GST principle is applied to EWB lapses.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The seven-day limits in section 129(3) are mandatory</w:t>
            </w:r>
          </w:p>
          <w:p>
            <w:pPr>
              <w:spacing w:after="60" w:line="260"/>
            </w:pPr>
            <w:r>
              <w:rPr>
                <w:rFonts w:ascii="Verdana" w:cs="Verdana" w:eastAsia="Verdana" w:hAnsi="Verdana"/>
                <w:b/>
                <w:bCs/>
                <w:sz w:val="20"/>
                <w:szCs w:val="20"/>
              </w:rPr>
              <w:t xml:space="preserve">Danish Hassan v. Union Territory of Jammu and Kashmir (Jammu and Kashmir and Ladakh High Court, 2026):</w:t>
            </w:r>
            <w:r>
              <w:rPr>
                <w:rFonts w:ascii="Verdana" w:cs="Verdana" w:eastAsia="Verdana" w:hAnsi="Verdana"/>
                <w:sz w:val="20"/>
                <w:szCs w:val="20"/>
              </w:rPr>
              <w:t xml:space="preserve"> The notice under section 129(3) was issued only after the 7-day period from detention had expired. The Court held the limits mandatory, as they regulate a coercive power, quashed the proceedings and directed release of the deposit, leaving other proceedings open.</w:t>
            </w:r>
          </w:p>
          <w:p>
            <w:pPr>
              <w:spacing w:after="60" w:line="260"/>
            </w:pPr>
            <w:r>
              <w:rPr>
                <w:rFonts w:ascii="Verdana" w:cs="Verdana" w:eastAsia="Verdana" w:hAnsi="Verdana"/>
                <w:b/>
                <w:bCs/>
                <w:sz w:val="20"/>
                <w:szCs w:val="20"/>
              </w:rPr>
              <w:t xml:space="preserve">GMG Electric v. Commissioner of State Tax (GSTAT, Ernakulam Bench, 2026):</w:t>
            </w:r>
            <w:r>
              <w:rPr>
                <w:rFonts w:ascii="Verdana" w:cs="Verdana" w:eastAsia="Verdana" w:hAnsi="Verdana"/>
                <w:sz w:val="20"/>
                <w:szCs w:val="20"/>
              </w:rPr>
              <w:t xml:space="preserve"> The penalty order was passed 445 days after the MOV-07 notice. The Tribunal held that "shall" in section 129(3) makes the 7-day limit for the order mandatory and declared the order void.</w:t>
            </w:r>
          </w:p>
          <w:p>
            <w:pPr>
              <w:spacing w:after="60" w:line="260"/>
            </w:pPr>
            <w:r>
              <w:rPr>
                <w:rFonts w:ascii="Verdana" w:cs="Verdana" w:eastAsia="Verdana" w:hAnsi="Verdana"/>
                <w:b/>
                <w:bCs/>
                <w:sz w:val="20"/>
                <w:szCs w:val="20"/>
              </w:rPr>
              <w:t xml:space="preserve">Practical relevance:</w:t>
            </w:r>
            <w:r>
              <w:rPr>
                <w:rFonts w:ascii="Verdana" w:cs="Verdana" w:eastAsia="Verdana" w:hAnsi="Verdana"/>
                <w:sz w:val="20"/>
                <w:szCs w:val="20"/>
              </w:rPr>
              <w:t xml:space="preserve"> In every detention case, note the date and time of detention, of service of MOV-07 and of the MOV-09 order. A delay beyond 7 days at either stage is a strong ground of challenge.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E-invoicing applies where aggregate turnover exceeded Rs. 5 crore in any year since 2017-18, with sector exemptions.</w:t>
            </w:r>
          </w:p>
          <w:p>
            <w:pPr>
              <w:spacing w:after="60" w:line="260"/>
            </w:pPr>
            <w:r>
              <w:rPr>
                <w:rFonts w:ascii="Verdana" w:cs="Verdana" w:eastAsia="Verdana" w:hAnsi="Verdana"/>
                <w:sz w:val="20"/>
                <w:szCs w:val="20"/>
              </w:rPr>
              <w:t xml:space="preserve">•  An invoice without a required IRN is invalid; IRN can be cancelled only within 24 hours; AATO of Rs. 10 crore or more must report within 30 days of document date.</w:t>
            </w:r>
          </w:p>
          <w:p>
            <w:pPr>
              <w:spacing w:after="60" w:line="260"/>
            </w:pPr>
            <w:r>
              <w:rPr>
                <w:rFonts w:ascii="Verdana" w:cs="Verdana" w:eastAsia="Verdana" w:hAnsi="Verdana"/>
                <w:sz w:val="20"/>
                <w:szCs w:val="20"/>
              </w:rPr>
              <w:t xml:space="preserve">•  E-way bill is required for consignment value (including tax) above Rs. 50,000, and always for inter-State job work and handicrafts.</w:t>
            </w:r>
          </w:p>
          <w:p>
            <w:pPr>
              <w:spacing w:after="60" w:line="260"/>
            </w:pPr>
            <w:r>
              <w:rPr>
                <w:rFonts w:ascii="Verdana" w:cs="Verdana" w:eastAsia="Verdana" w:hAnsi="Verdana"/>
                <w:sz w:val="20"/>
                <w:szCs w:val="20"/>
              </w:rPr>
              <w:t xml:space="preserve">•  Validity is 1 day per 200 km (20 km for ODC); extension within 8 hours before or after expiry.</w:t>
            </w:r>
          </w:p>
          <w:p>
            <w:pPr>
              <w:spacing w:after="60" w:line="260"/>
            </w:pPr>
            <w:r>
              <w:rPr>
                <w:rFonts w:ascii="Verdana" w:cs="Verdana" w:eastAsia="Verdana" w:hAnsi="Verdana"/>
                <w:sz w:val="20"/>
                <w:szCs w:val="20"/>
              </w:rPr>
              <w:t xml:space="preserve">•  Section 129 penalty is 200% of tax where the owner comes forward; for exempt goods 2% of value or Rs. 25,000, whichever is less; notice and order each within 7 days.</w:t>
            </w:r>
          </w:p>
          <w:p>
            <w:pPr>
              <w:spacing w:after="60" w:line="260"/>
            </w:pPr>
            <w:r>
              <w:rPr>
                <w:rFonts w:ascii="Verdana" w:cs="Verdana" w:eastAsia="Verdana" w:hAnsi="Verdana"/>
                <w:sz w:val="20"/>
                <w:szCs w:val="20"/>
              </w:rPr>
              <w:t xml:space="preserve">•  Courts refuse penalty for bona fide lapses and quash orders outside the 7-day limits.</w:t>
            </w:r>
          </w:p>
        </w:tc>
      </w:tr>
    </w:tbl>
    <w:p>
      <w:pPr>
        <w:pStyle w:val="Heading1"/>
        <w:pageBreakBefore/>
        <w:spacing w:after="200" w:before="0"/>
      </w:pPr>
      <w:r>
        <w:rPr>
          <w:rFonts w:ascii="Verdana" w:cs="Verdana" w:eastAsia="Verdana" w:hAnsi="Verdana"/>
        </w:rPr>
        <w:t xml:space="preserve">23. Accounts and Records (Sections 35 and 36)</w:t>
      </w:r>
    </w:p>
    <w:p>
      <w:pPr>
        <w:spacing w:after="120" w:line="276"/>
        <w:jc w:val="both"/>
      </w:pPr>
      <w:r>
        <w:rPr>
          <w:rFonts w:ascii="Verdana" w:cs="Verdana" w:eastAsia="Verdana" w:hAnsi="Verdana"/>
        </w:rPr>
        <w:t xml:space="preserve">Self-assessment can be checked only against books. Section 35 and rules 56 to 58 say what records are kept and where; section 36 says for how long.</w:t>
      </w:r>
    </w:p>
    <w:p>
      <w:pPr>
        <w:pStyle w:val="Heading2"/>
        <w:keepNext/>
        <w:spacing w:after="120" w:before="240"/>
      </w:pPr>
      <w:r>
        <w:rPr>
          <w:rFonts w:ascii="Verdana" w:cs="Verdana" w:eastAsia="Verdana" w:hAnsi="Verdana"/>
        </w:rPr>
        <w:t xml:space="preserve">23.1 Records to be kept and where</w:t>
      </w:r>
    </w:p>
    <w:p>
      <w:pPr>
        <w:spacing w:after="120" w:line="276"/>
        <w:jc w:val="both"/>
      </w:pPr>
      <w:r>
        <w:rPr>
          <w:rFonts w:ascii="Verdana" w:cs="Verdana" w:eastAsia="Verdana" w:hAnsi="Verdana"/>
        </w:rPr>
        <w:t xml:space="preserve">Every registered person must keep, at the </w:t>
      </w:r>
      <w:r>
        <w:rPr>
          <w:rFonts w:ascii="Verdana" w:cs="Verdana" w:eastAsia="Verdana" w:hAnsi="Verdana"/>
          <w:b/>
          <w:bCs/>
        </w:rPr>
        <w:t xml:space="preserve">principal place of business</w:t>
      </w:r>
      <w:r>
        <w:rPr>
          <w:rFonts w:ascii="Verdana" w:cs="Verdana" w:eastAsia="Verdana" w:hAnsi="Verdana"/>
        </w:rPr>
        <w:t xml:space="preserve"> stated in the registration certificate, a true and correct account of production or manufacture, inward and outward supplies, stock, ITC availed, output tax payable and paid, and other prescribed particulars (section 35(1)). Each additional place keeps its own records. Rule 56 adds accounts of advances received, paid and adjusted, tax paid under reverse charge, stock of goods (opening balance, receipts, supplies, goods lost, stolen, destroyed, written off or given as gifts or free samples, and closing balance), and names and addresses of suppliers and customers.</w:t>
      </w:r>
    </w:p>
    <w:p>
      <w:pPr>
        <w:spacing w:after="120" w:line="276"/>
        <w:jc w:val="both"/>
      </w:pPr>
      <w:r>
        <w:rPr>
          <w:rFonts w:ascii="Verdana" w:cs="Verdana" w:eastAsia="Verdana" w:hAnsi="Verdana"/>
          <w:b/>
          <w:bCs/>
        </w:rPr>
        <w:t xml:space="preserve">Electronic records and audit trail.</w:t>
      </w:r>
      <w:r>
        <w:rPr>
          <w:rFonts w:ascii="Verdana" w:cs="Verdana" w:eastAsia="Verdana" w:hAnsi="Verdana"/>
        </w:rPr>
        <w:t xml:space="preserve"> Records may be kept electronically (rule 57), with proper backup so that they can be restored within a reasonable time, and must be produced on demand in legible form. Any entry in the books cannot be erased or overwritten: the incorrect entry must be scored out and the correction shown, and for electronic records a log of every entry edited or deleted must be kept (rule 56(8)). Companies also have an audit trail requirement under company law from 1 April 2023.</w:t>
      </w:r>
    </w:p>
    <w:p>
      <w:pPr>
        <w:spacing w:after="120" w:line="276"/>
        <w:jc w:val="both"/>
      </w:pPr>
      <w:r>
        <w:rPr>
          <w:rFonts w:ascii="Verdana" w:cs="Verdana" w:eastAsia="Verdana" w:hAnsi="Verdana"/>
          <w:b/>
          <w:bCs/>
        </w:rPr>
        <w:t xml:space="preserve">Job work.</w:t>
      </w:r>
      <w:r>
        <w:rPr>
          <w:rFonts w:ascii="Verdana" w:cs="Verdana" w:eastAsia="Verdana" w:hAnsi="Verdana"/>
        </w:rPr>
        <w:t xml:space="preserve"> The principal keeps records of goods sent to and received from each job worker. Inputs must come back within one year and capital goods within three years (section 143); otherwise the goods are deemed supplied on the day they were sent out. Movements are reported in </w:t>
      </w:r>
      <w:r>
        <w:rPr>
          <w:rFonts w:ascii="Verdana" w:cs="Verdana" w:eastAsia="Verdana" w:hAnsi="Verdana"/>
          <w:b/>
          <w:bCs/>
        </w:rPr>
        <w:t xml:space="preserve">ITC-04</w:t>
      </w:r>
      <w:r>
        <w:rPr>
          <w:rFonts w:ascii="Verdana" w:cs="Verdana" w:eastAsia="Verdana" w:hAnsi="Verdana"/>
        </w:rPr>
        <w:t xml:space="preserve">: half-yearly by 25 October and 25 April where AATO exceeds Rs. 5 crore, and annually by 25 April for others.</w:t>
      </w:r>
    </w:p>
    <w:p>
      <w:pPr>
        <w:spacing w:after="120" w:line="276"/>
        <w:jc w:val="both"/>
      </w:pPr>
      <w:r>
        <w:rPr>
          <w:rFonts w:ascii="Verdana" w:cs="Verdana" w:eastAsia="Verdana" w:hAnsi="Verdana"/>
          <w:b/>
          <w:bCs/>
        </w:rPr>
        <w:t xml:space="preserve">Transporters and warehouses (rule 58).</w:t>
      </w:r>
      <w:r>
        <w:rPr>
          <w:rFonts w:ascii="Verdana" w:cs="Verdana" w:eastAsia="Verdana" w:hAnsi="Verdana"/>
        </w:rPr>
        <w:t xml:space="preserve"> Owners or operators of warehouses and godowns and transporters, even if not registered, must maintain records of consignor, consignee and goods, and must enrol on the portal in </w:t>
      </w:r>
      <w:r>
        <w:rPr>
          <w:rFonts w:ascii="Verdana" w:cs="Verdana" w:eastAsia="Verdana" w:hAnsi="Verdana"/>
          <w:b/>
          <w:bCs/>
        </w:rPr>
        <w:t xml:space="preserve">ENR-01</w:t>
      </w:r>
      <w:r>
        <w:rPr>
          <w:rFonts w:ascii="Verdana" w:cs="Verdana" w:eastAsia="Verdana" w:hAnsi="Verdana"/>
        </w:rPr>
        <w:t xml:space="preserve"> (or ENR-02 where registered in more than one State) to get an enrolment number.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133: Inputs not returned by the job worker</w:t>
            </w:r>
          </w:p>
          <w:p>
            <w:pPr>
              <w:spacing w:after="60" w:line="260"/>
            </w:pPr>
            <w:r>
              <w:rPr>
                <w:rFonts w:ascii="Verdana" w:cs="Verdana" w:eastAsia="Verdana" w:hAnsi="Verdana"/>
                <w:sz w:val="20"/>
                <w:szCs w:val="20"/>
              </w:rPr>
              <w:t xml:space="preserve">Desai Engineering, Vadodara, sent castings worth Rs. 2,00,000 to a job worker on 10 June 2025 under a delivery challan. They were not returned by 10 June 2026. The company pays the tax on 15 July 2026.</w:t>
            </w:r>
          </w:p>
          <w:p>
            <w:pPr>
              <w:spacing w:after="60" w:line="260"/>
            </w:pPr>
            <w:r>
              <w:rPr>
                <w:rFonts w:ascii="Verdana" w:cs="Verdana" w:eastAsia="Verdana" w:hAnsi="Verdana"/>
                <w:sz w:val="20"/>
                <w:szCs w:val="20"/>
              </w:rPr>
              <w:t xml:space="preserve">Step 1: The castings are deemed supplied on 10 June 2025. Tax at 18% = Rs. 36,000 (CGST Rs. 18,000 + SGST Rs. 18,000), due with the June 2025 GSTR-3B by 20 July 2025.</w:t>
            </w:r>
          </w:p>
          <w:p>
            <w:pPr>
              <w:spacing w:after="60" w:line="260"/>
            </w:pPr>
            <w:r>
              <w:rPr>
                <w:rFonts w:ascii="Verdana" w:cs="Verdana" w:eastAsia="Verdana" w:hAnsi="Verdana"/>
                <w:sz w:val="20"/>
                <w:szCs w:val="20"/>
              </w:rPr>
              <w:t xml:space="preserve">Step 2: Delay from 21 July 2025 to 15 July 2026 = 360 days.</w:t>
            </w:r>
          </w:p>
          <w:p>
            <w:pPr>
              <w:spacing w:after="60" w:line="260"/>
            </w:pPr>
            <w:r>
              <w:rPr>
                <w:rFonts w:ascii="Verdana" w:cs="Verdana" w:eastAsia="Verdana" w:hAnsi="Verdana"/>
                <w:sz w:val="20"/>
                <w:szCs w:val="20"/>
              </w:rPr>
              <w:t xml:space="preserve">Step 3: Interest = Rs. 36,000 x 18% x 360 / 365 = Rs. 6,391.</w:t>
            </w:r>
          </w:p>
          <w:p>
            <w:pPr>
              <w:spacing w:after="60" w:line="260"/>
            </w:pPr>
            <w:r>
              <w:rPr>
                <w:rFonts w:ascii="Verdana" w:cs="Verdana" w:eastAsia="Verdana" w:hAnsi="Verdana"/>
                <w:sz w:val="20"/>
                <w:szCs w:val="20"/>
              </w:rPr>
              <w:t xml:space="preserve">Result: Tracking challans monthly would have avoided this cost.</w:t>
            </w:r>
          </w:p>
        </w:tc>
      </w:tr>
    </w:tbl>
    <w:p>
      <w:pPr>
        <w:spacing w:after="60"/>
      </w:pPr>
    </w:p>
    <w:p>
      <w:pPr>
        <w:pStyle w:val="Heading2"/>
        <w:keepNext/>
        <w:spacing w:after="120" w:before="240"/>
      </w:pPr>
      <w:r>
        <w:rPr>
          <w:rFonts w:ascii="Verdana" w:cs="Verdana" w:eastAsia="Verdana" w:hAnsi="Verdana"/>
        </w:rPr>
        <w:t xml:space="preserve">23.2 Retention period and consequences</w:t>
      </w:r>
    </w:p>
    <w:p>
      <w:pPr>
        <w:spacing w:after="120" w:line="276"/>
        <w:jc w:val="both"/>
      </w:pPr>
      <w:r>
        <w:rPr>
          <w:rFonts w:ascii="Verdana" w:cs="Verdana" w:eastAsia="Verdana" w:hAnsi="Verdana"/>
        </w:rPr>
        <w:t xml:space="preserve">Records are kept for </w:t>
      </w:r>
      <w:r>
        <w:rPr>
          <w:rFonts w:ascii="Verdana" w:cs="Verdana" w:eastAsia="Verdana" w:hAnsi="Verdana"/>
          <w:b/>
          <w:bCs/>
        </w:rPr>
        <w:t xml:space="preserve">72 months from the due date of the annual return</w:t>
      </w:r>
      <w:r>
        <w:rPr>
          <w:rFonts w:ascii="Verdana" w:cs="Verdana" w:eastAsia="Verdana" w:hAnsi="Verdana"/>
        </w:rPr>
        <w:t xml:space="preserve"> (section 36); where an appeal, revision, proceeding or investigation is pending, until one year after its final disposal if later. If goods are not accounted for in the books, the officer determines tax on them as if they had been supplied (section 35(6)), through the demand provisions (section 73, 74 or 74A as applicable).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134: Retention period and unaccounted stock</w:t>
            </w:r>
          </w:p>
          <w:p>
            <w:pPr>
              <w:spacing w:after="60" w:line="260"/>
            </w:pPr>
            <w:r>
              <w:rPr>
                <w:rFonts w:ascii="Verdana" w:cs="Verdana" w:eastAsia="Verdana" w:hAnsi="Verdana"/>
                <w:sz w:val="20"/>
                <w:szCs w:val="20"/>
              </w:rPr>
              <w:t xml:space="preserve">Bansal Traders files GSTR-9 for FY 2024-25; the due date was 31 December 2025. During an inspection in 2026 the officer finds stock of Rs. 3,00,000 (taxable at 18%) more than the book stock.</w:t>
            </w:r>
          </w:p>
          <w:p>
            <w:pPr>
              <w:spacing w:after="60" w:line="260"/>
            </w:pPr>
            <w:r>
              <w:rPr>
                <w:rFonts w:ascii="Verdana" w:cs="Verdana" w:eastAsia="Verdana" w:hAnsi="Verdana"/>
                <w:sz w:val="20"/>
                <w:szCs w:val="20"/>
              </w:rPr>
              <w:t xml:space="preserve">Step 1: Keep FY 2024-25 records till 31 December 2031 (72 months from 31 December 2025).</w:t>
            </w:r>
          </w:p>
          <w:p>
            <w:pPr>
              <w:spacing w:after="60" w:line="260"/>
            </w:pPr>
            <w:r>
              <w:rPr>
                <w:rFonts w:ascii="Verdana" w:cs="Verdana" w:eastAsia="Verdana" w:hAnsi="Verdana"/>
                <w:sz w:val="20"/>
                <w:szCs w:val="20"/>
              </w:rPr>
              <w:t xml:space="preserve">Step 2: Excess stock not in books is treated as supplied: tax = 18% of Rs. 3,00,000 = Rs. 54,000, demanded with interest and penalty under section 74A.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Records checklist for a GST audit or inspection: purchase and sales registers reconciled to GSTR-1 and GSTR-2B; stock register reconciled with physical stock; ITC register showing reversals under rules 37, 37A, 42 and 43; RCM register with self-invoices and payment vouchers; job work challan register tied to ITC-04; e-way bill and e-invoice logs; credit and debit note register with IMS actions; copies of all returns, challans and notices; and the audit trail log of the accounting software.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Records are kept at the principal place of business and at each additional place for its own transactions; electronic records need backup and an audit trail.</w:t>
            </w:r>
          </w:p>
          <w:p>
            <w:pPr>
              <w:spacing w:after="60" w:line="260"/>
            </w:pPr>
            <w:r>
              <w:rPr>
                <w:rFonts w:ascii="Verdana" w:cs="Verdana" w:eastAsia="Verdana" w:hAnsi="Verdana"/>
                <w:sz w:val="20"/>
                <w:szCs w:val="20"/>
              </w:rPr>
              <w:t xml:space="preserve">•  Rule 56 covers supplies, stock, ITC, advances, RCM and customer and supplier details; entries may not be erased or overwritten.</w:t>
            </w:r>
          </w:p>
          <w:p>
            <w:pPr>
              <w:spacing w:after="60" w:line="260"/>
            </w:pPr>
            <w:r>
              <w:rPr>
                <w:rFonts w:ascii="Verdana" w:cs="Verdana" w:eastAsia="Verdana" w:hAnsi="Verdana"/>
                <w:sz w:val="20"/>
                <w:szCs w:val="20"/>
              </w:rPr>
              <w:t xml:space="preserve">•  Job work goods must return within one year (inputs) or three years (capital goods), or they are deemed supplied on the date sent; ITC-04 is filed half-yearly or annually.</w:t>
            </w:r>
          </w:p>
          <w:p>
            <w:pPr>
              <w:spacing w:after="60" w:line="260"/>
            </w:pPr>
            <w:r>
              <w:rPr>
                <w:rFonts w:ascii="Verdana" w:cs="Verdana" w:eastAsia="Verdana" w:hAnsi="Verdana"/>
                <w:sz w:val="20"/>
                <w:szCs w:val="20"/>
              </w:rPr>
              <w:t xml:space="preserve">•  Retention is 72 months from the due date of the annual return, longer where proceedings are pending; unaccounted goods are taxed as if supplied.</w:t>
            </w:r>
          </w:p>
        </w:tc>
      </w:tr>
    </w:tbl>
    <w:p>
      <w:pPr>
        <w:pStyle w:val="TocPart"/>
        <w:pageBreakBefore/>
        <w:shd w:fill="92400E" w:color="auto" w:val="clear"/>
        <w:spacing w:after="0" w:before="0"/>
        <w:ind w:left="0"/>
      </w:pPr>
      <w:r>
        <w:rPr>
          <w:rFonts w:ascii="Verdana" w:cs="Verdana" w:eastAsia="Verdana" w:hAnsi="Verdana"/>
          <w:b/>
          <w:bCs/>
          <w:color w:val="FFFFFF"/>
          <w:sz w:val="26"/>
          <w:szCs w:val="26"/>
        </w:rPr>
        <w:t xml:space="preserve">  PART F: RETURNS, PAYMENT AND REFUNDS</w:t>
      </w:r>
    </w:p>
    <w:p>
      <w:pPr>
        <w:shd w:fill="F6E8D2" w:color="auto" w:val="clear"/>
        <w:spacing w:after="200"/>
      </w:pPr>
      <w:r>
        <w:rPr>
          <w:rFonts w:ascii="Verdana" w:cs="Verdana" w:eastAsia="Verdana" w:hAnsi="Verdana"/>
          <w:i/>
          <w:iCs/>
          <w:color w:val="92400E"/>
          <w:sz w:val="20"/>
          <w:szCs w:val="20"/>
        </w:rPr>
        <w:t xml:space="preserve">  Reporting, paying and getting money back</w:t>
      </w:r>
    </w:p>
    <w:p>
      <w:pPr>
        <w:spacing w:after="240" w:line="276"/>
        <w:jc w:val="both"/>
      </w:pPr>
      <w:r>
        <w:rPr>
          <w:rFonts w:ascii="Verdana" w:cs="Verdana" w:eastAsia="Verdana" w:hAnsi="Verdana"/>
          <w:i/>
          <w:iCs/>
          <w:color w:val="404040"/>
          <w:sz w:val="21"/>
          <w:szCs w:val="21"/>
        </w:rPr>
        <w:t xml:space="preserve">Documented supplies must be reported, tax paid through the right ledger, and excess tax or credit recovered. Returns are now largely auto-populated and locked, so invoice-stage errors flow straight into liability. This Part covers returns, payment, interest, TDS and TCS, and refunds.</w:t>
      </w:r>
    </w:p>
    <w:p>
      <w:pPr>
        <w:pStyle w:val="Heading1"/>
        <w:spacing w:after="200" w:before="120"/>
      </w:pPr>
      <w:r>
        <w:rPr>
          <w:rFonts w:ascii="Verdana" w:cs="Verdana" w:eastAsia="Verdana" w:hAnsi="Verdana"/>
        </w:rPr>
        <w:t xml:space="preserve">24. Returns (Sections 37 to 48)</w:t>
      </w:r>
    </w:p>
    <w:p>
      <w:pPr>
        <w:spacing w:after="120" w:line="276"/>
        <w:jc w:val="both"/>
      </w:pPr>
      <w:r>
        <w:rPr>
          <w:rFonts w:ascii="Verdana" w:cs="Verdana" w:eastAsia="Verdana" w:hAnsi="Verdana"/>
        </w:rPr>
        <w:t xml:space="preserve">The supplier reports each invoice, the recipient's credit statement is generated from it, and the summary return pays tax on both. The key returns are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2610"/>
        <w:gridCol w:w="2811"/>
        <w:gridCol w:w="2611"/>
      </w:tblGrid>
      <w:tr>
        <w:trPr>
          <w:cantSplit/>
          <w:tblHeader/>
        </w:trPr>
        <w:tc>
          <w:tcPr>
            <w:tcW w:type="dxa" w:w="160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Return</w:t>
            </w:r>
          </w:p>
        </w:tc>
        <w:tc>
          <w:tcPr>
            <w:tcW w:type="dxa" w:w="261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Filed by</w:t>
            </w:r>
          </w:p>
        </w:tc>
        <w:tc>
          <w:tcPr>
            <w:tcW w:type="dxa" w:w="281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Content</w:t>
            </w:r>
          </w:p>
        </w:tc>
        <w:tc>
          <w:tcPr>
            <w:tcW w:type="dxa" w:w="261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Due date</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GSTR-1</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Regular taxpayers</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Outward supplies</w:t>
            </w:r>
          </w:p>
        </w:tc>
        <w:tc>
          <w:tcPr>
            <w:tcW w:type="dxa" w:w="26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11th of next month (QRMP: 13th after quarter)</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IFF</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QRMP taxpayers (optional)</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B2B invoices of first two months</w:t>
            </w:r>
          </w:p>
        </w:tc>
        <w:tc>
          <w:tcPr>
            <w:tcW w:type="dxa" w:w="26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13th of next month</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GSTR-1A</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Regular taxpayers (optional)</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Amendments to current GSTR-1 before GSTR-3B</w:t>
            </w:r>
          </w:p>
        </w:tc>
        <w:tc>
          <w:tcPr>
            <w:tcW w:type="dxa" w:w="26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 filing GSTR-3B</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GSTR-3B</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Regular taxpayers</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Summary return and payment</w:t>
            </w:r>
          </w:p>
        </w:tc>
        <w:tc>
          <w:tcPr>
            <w:tcW w:type="dxa" w:w="26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20th (QRMP: 22nd or 24th after quarter)</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PMT-06</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QRMP taxpayers</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for first two months</w:t>
            </w:r>
          </w:p>
        </w:tc>
        <w:tc>
          <w:tcPr>
            <w:tcW w:type="dxa" w:w="26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25th of next month</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CMP-08 / GSTR-4</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Composition taxpayers</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Quarterly payment / annual return</w:t>
            </w:r>
          </w:p>
        </w:tc>
        <w:tc>
          <w:tcPr>
            <w:tcW w:type="dxa" w:w="26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18th after quarter / 30 June</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GSTR-5</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Non-resident taxable persons</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Monthly return</w:t>
            </w:r>
          </w:p>
        </w:tc>
        <w:tc>
          <w:tcPr>
            <w:tcW w:type="dxa" w:w="26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13th of next month</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GSTR-6</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Input Service Distributors</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Credit distributed</w:t>
            </w:r>
          </w:p>
        </w:tc>
        <w:tc>
          <w:tcPr>
            <w:tcW w:type="dxa" w:w="26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13th of next month</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GSTR-7 / GSTR-8</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deductors / e-commerce operators</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 TCS</w:t>
            </w:r>
          </w:p>
        </w:tc>
        <w:tc>
          <w:tcPr>
            <w:tcW w:type="dxa" w:w="26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10th of next month</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GSTR-9 / 9C</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Regular taxpayers</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Annual return / reconciliation</w:t>
            </w:r>
          </w:p>
        </w:tc>
        <w:tc>
          <w:tcPr>
            <w:tcW w:type="dxa" w:w="26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December</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GSTR-10</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Persons whose registration is cancelled</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Final return</w:t>
            </w:r>
          </w:p>
        </w:tc>
        <w:tc>
          <w:tcPr>
            <w:tcW w:type="dxa" w:w="26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 months from cancellation</w:t>
            </w:r>
          </w:p>
        </w:tc>
      </w:tr>
    </w:tbl>
    <w:p>
      <w:pPr>
        <w:spacing w:after="60"/>
      </w:pPr>
    </w:p>
    <w:p>
      <w:pPr>
        <w:pStyle w:val="Heading2"/>
        <w:keepNext/>
        <w:spacing w:after="120" w:before="240"/>
      </w:pPr>
      <w:r>
        <w:rPr>
          <w:rFonts w:ascii="Verdana" w:cs="Verdana" w:eastAsia="Verdana" w:hAnsi="Verdana"/>
        </w:rPr>
        <w:t xml:space="preserve">24.1 QRMP scheme</w:t>
      </w:r>
    </w:p>
    <w:p>
      <w:pPr>
        <w:spacing w:after="120" w:line="276"/>
        <w:jc w:val="both"/>
      </w:pPr>
      <w:r>
        <w:rPr>
          <w:rFonts w:ascii="Verdana" w:cs="Verdana" w:eastAsia="Verdana" w:hAnsi="Verdana"/>
        </w:rPr>
        <w:t xml:space="preserve">Taxpayers with aggregate turnover up to Rs. 5 crore may opt for the Quarterly Return Monthly Payment scheme. They file GSTR-1 and GSTR-3B quarterly but pay tax monthly in PMT-06 by the 25th for the first two months, either by the fixed sum method (35% of the cash tax of the previous quarter, or the full cash tax of the last month of that quarter for a monthly filer) or by self-assessment. B2B invoices of the first two months may go through IFF (up to Rs. 50 lakh a month) so customers get monthly credit. Quarterly GSTR-3B is due on the 22nd in States such as Gujarat, Maharashtra and Karnataka, and on the 24th in others such as Uttar Pradesh and Delhi.</w:t>
      </w:r>
    </w:p>
    <w:p>
      <w:pPr>
        <w:pStyle w:val="Heading2"/>
        <w:keepNext/>
        <w:spacing w:after="120" w:before="240"/>
      </w:pPr>
      <w:r>
        <w:rPr>
          <w:rFonts w:ascii="Verdana" w:cs="Verdana" w:eastAsia="Verdana" w:hAnsi="Verdana"/>
        </w:rPr>
        <w:t xml:space="preserve">24.2 GSTR-1 and GSTR-1A</w:t>
      </w:r>
    </w:p>
    <w:p>
      <w:pPr>
        <w:spacing w:after="120" w:line="276"/>
        <w:jc w:val="both"/>
      </w:pPr>
      <w:r>
        <w:rPr>
          <w:rFonts w:ascii="Verdana" w:cs="Verdana" w:eastAsia="Verdana" w:hAnsi="Verdana"/>
        </w:rPr>
        <w:t xml:space="preserve">GSTR-1 reports B2B supplies invoice-wise (Table 4), inter-State B2C invoices above Rs. 1 lakh (Table 5), exports and SEZ supplies (Table 6), other B2C supplies in summary (Table 7), nil, exempt and non-GST supplies (Table 8), amendments and credit and debit notes (Tables 9 and 10), advances (Table 11), the HSN summary (Table 12, split B2B and B2C), documents issued (Table 13) and e-commerce supplies (Tables 14 and 15). </w:t>
      </w:r>
      <w:r>
        <w:rPr>
          <w:rFonts w:ascii="Verdana" w:cs="Verdana" w:eastAsia="Verdana" w:hAnsi="Verdana"/>
          <w:b/>
          <w:bCs/>
        </w:rPr>
        <w:t xml:space="preserve">GSTR-1A</w:t>
      </w:r>
      <w:r>
        <w:rPr>
          <w:rFonts w:ascii="Verdana" w:cs="Verdana" w:eastAsia="Verdana" w:hAnsi="Verdana"/>
        </w:rPr>
        <w:t xml:space="preserve"> (from the July 2024 period) lets a taxpayer add or correct records of the same period before filing GSTR-3B.</w:t>
      </w:r>
    </w:p>
    <w:p>
      <w:pPr>
        <w:pStyle w:val="Heading2"/>
        <w:keepNext/>
        <w:spacing w:after="120" w:before="240"/>
      </w:pPr>
      <w:r>
        <w:rPr>
          <w:rFonts w:ascii="Verdana" w:cs="Verdana" w:eastAsia="Verdana" w:hAnsi="Verdana"/>
        </w:rPr>
        <w:t xml:space="preserve">24.3 GSTR-3B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5"/>
        <w:gridCol w:w="8233"/>
      </w:tblGrid>
      <w:tr>
        <w:trPr>
          <w:cantSplit/>
          <w:tblHeader/>
        </w:trPr>
        <w:tc>
          <w:tcPr>
            <w:tcW w:type="dxa" w:w="140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Table</w:t>
            </w:r>
          </w:p>
        </w:tc>
        <w:tc>
          <w:tcPr>
            <w:tcW w:type="dxa" w:w="823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Content</w:t>
            </w:r>
          </w:p>
        </w:tc>
      </w:tr>
      <w:tr>
        <w:trPr>
          <w:cantSplit/>
        </w:trPr>
        <w:tc>
          <w:tcPr>
            <w:tcW w:type="dxa" w:w="14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w:t>
            </w:r>
          </w:p>
        </w:tc>
        <w:tc>
          <w:tcPr>
            <w:tcW w:type="dxa" w:w="82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Outward supplies: (a) taxable, (b) zero-rated, (c) nil and exempt, (d) inward supplies liable to reverse charge, (e) non-GST</w:t>
            </w:r>
          </w:p>
        </w:tc>
      </w:tr>
      <w:tr>
        <w:trPr>
          <w:cantSplit/>
        </w:trPr>
        <w:tc>
          <w:tcPr>
            <w:tcW w:type="dxa" w:w="14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3.1.1</w:t>
            </w:r>
          </w:p>
        </w:tc>
        <w:tc>
          <w:tcPr>
            <w:tcW w:type="dxa" w:w="82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Supplies under section 9(5): tax paid by the e-commerce operator, and supplies made by the registered person through the operator</w:t>
            </w:r>
          </w:p>
        </w:tc>
      </w:tr>
      <w:tr>
        <w:trPr>
          <w:cantSplit/>
        </w:trPr>
        <w:tc>
          <w:tcPr>
            <w:tcW w:type="dxa" w:w="14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3.2</w:t>
            </w:r>
          </w:p>
        </w:tc>
        <w:tc>
          <w:tcPr>
            <w:tcW w:type="dxa" w:w="82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Inter-State supplies to unregistered persons, composition taxpayers and UIN holders, State-wise</w:t>
            </w:r>
          </w:p>
        </w:tc>
      </w:tr>
      <w:tr>
        <w:trPr>
          <w:cantSplit/>
        </w:trPr>
        <w:tc>
          <w:tcPr>
            <w:tcW w:type="dxa" w:w="14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w:t>
            </w:r>
          </w:p>
        </w:tc>
        <w:tc>
          <w:tcPr>
            <w:tcW w:type="dxa" w:w="82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4A available (imports, RCM, ISD, all other); 4B reversed (rules 38, 42, 43 and section 17(5) in 4B(1); others in 4B(2)); 4C net ITC; 4D reclaimed credit and ineligible credit</w:t>
            </w:r>
          </w:p>
        </w:tc>
      </w:tr>
      <w:tr>
        <w:trPr>
          <w:cantSplit/>
        </w:trPr>
        <w:tc>
          <w:tcPr>
            <w:tcW w:type="dxa" w:w="14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c>
          <w:tcPr>
            <w:tcW w:type="dxa" w:w="82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nil-rated and non-GST inward supplies; 5.1 interest and late fee</w:t>
            </w:r>
          </w:p>
        </w:tc>
      </w:tr>
      <w:tr>
        <w:trPr>
          <w:cantSplit/>
        </w:trPr>
        <w:tc>
          <w:tcPr>
            <w:tcW w:type="dxa" w:w="14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w:t>
            </w:r>
          </w:p>
        </w:tc>
        <w:tc>
          <w:tcPr>
            <w:tcW w:type="dxa" w:w="82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Payment of tax through credit and cash ledgers</w:t>
            </w:r>
          </w:p>
        </w:tc>
      </w:tr>
    </w:tbl>
    <w:p>
      <w:pPr>
        <w:spacing w:after="60"/>
      </w:pPr>
    </w:p>
    <w:p>
      <w:pPr>
        <w:spacing w:after="120" w:line="276"/>
        <w:jc w:val="both"/>
      </w:pPr>
      <w:r>
        <w:rPr>
          <w:rFonts w:ascii="Verdana" w:cs="Verdana" w:eastAsia="Verdana" w:hAnsi="Verdana"/>
          <w:b/>
          <w:bCs/>
        </w:rPr>
        <w:t xml:space="preserve">Hard lock.</w:t>
      </w:r>
      <w:r>
        <w:rPr>
          <w:rFonts w:ascii="Verdana" w:cs="Verdana" w:eastAsia="Verdana" w:hAnsi="Verdana"/>
        </w:rPr>
        <w:t xml:space="preserve"> From the July 2025 period, the liability in Table 3 auto-populated from GSTR-1, GSTR-1A and IFF cannot be edited in GSTR-3B. Corrections go through GSTR-1A before filing GSTR-3B, or the next GSTR-1.</w:t>
      </w:r>
    </w:p>
    <w:p>
      <w:pPr>
        <w:spacing w:after="120" w:line="276"/>
        <w:jc w:val="both"/>
      </w:pPr>
      <w:r>
        <w:rPr>
          <w:rFonts w:ascii="Verdana" w:cs="Verdana" w:eastAsia="Verdana" w:hAnsi="Verdana"/>
          <w:b/>
          <w:bCs/>
        </w:rPr>
        <w:t xml:space="preserve">Rule 59(6).</w:t>
      </w:r>
      <w:r>
        <w:rPr>
          <w:rFonts w:ascii="Verdana" w:cs="Verdana" w:eastAsia="Verdana" w:hAnsi="Verdana"/>
        </w:rPr>
        <w:t xml:space="preserve"> A person cannot file GSTR-1 if GSTR-3B for the preceding tax period (month or quarter) is not filed. GSTR-1 is also blocked where an intimation under rule 88C (liability gap between GSTR-1 and GSTR-3B) or rule 88D (ITC in GSTR-3B more than GSTR-2B) is pending without payment or explanation. Customers then lose credit.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Correction of returns</w:t>
            </w:r>
          </w:p>
          <w:p>
            <w:pPr>
              <w:spacing w:after="60" w:line="260"/>
            </w:pPr>
            <w:r>
              <w:rPr>
                <w:rFonts w:ascii="Verdana" w:cs="Verdana" w:eastAsia="Verdana" w:hAnsi="Verdana"/>
                <w:b/>
                <w:bCs/>
                <w:sz w:val="20"/>
                <w:szCs w:val="20"/>
              </w:rPr>
              <w:t xml:space="preserve">Union of India v. Bharti Airtel Ltd. (Supreme Court, 2021):</w:t>
            </w:r>
            <w:r>
              <w:rPr>
                <w:rFonts w:ascii="Verdana" w:cs="Verdana" w:eastAsia="Verdana" w:hAnsi="Verdana"/>
                <w:sz w:val="20"/>
                <w:szCs w:val="20"/>
              </w:rPr>
              <w:t xml:space="preserve"> The taxpayer wanted to rectify GSTR-3B for July to September 2017 by reducing cash paid on the ground that credit was not visible then. The Supreme Court held there is no right to rectify GSTR-3B outside section 39(9); correction is made in the period the error is noticed, within time.</w:t>
            </w:r>
          </w:p>
          <w:p>
            <w:pPr>
              <w:spacing w:after="60" w:line="260"/>
            </w:pPr>
            <w:r>
              <w:rPr>
                <w:rFonts w:ascii="Verdana" w:cs="Verdana" w:eastAsia="Verdana" w:hAnsi="Verdana"/>
                <w:b/>
                <w:bCs/>
                <w:sz w:val="20"/>
                <w:szCs w:val="20"/>
              </w:rPr>
              <w:t xml:space="preserve">Central Board of Indirect Taxes and Customs v. Aberdare Technologies (P) Ltd. (Supreme Court, 2025):</w:t>
            </w:r>
            <w:r>
              <w:rPr>
                <w:rFonts w:ascii="Verdana" w:cs="Verdana" w:eastAsia="Verdana" w:hAnsi="Verdana"/>
                <w:sz w:val="20"/>
                <w:szCs w:val="20"/>
              </w:rPr>
              <w:t xml:space="preserve"> The Bombay High Court (2024) had allowed correction of bona fide clerical errors in GSTR-1 after the time limit, where there was no loss of revenue, since the customer's credit depended on the correction. The Supreme Court dismissed the department's appeal: the right to correct clerical errors flows from the right to carry on business, and portal limits cannot defeat it.</w:t>
            </w:r>
          </w:p>
          <w:p>
            <w:pPr>
              <w:spacing w:after="60" w:line="260"/>
            </w:pPr>
            <w:r>
              <w:rPr>
                <w:rFonts w:ascii="Verdana" w:cs="Verdana" w:eastAsia="Verdana" w:hAnsi="Verdana"/>
                <w:b/>
                <w:bCs/>
                <w:sz w:val="20"/>
                <w:szCs w:val="20"/>
              </w:rPr>
              <w:t xml:space="preserve">Practical relevance:</w:t>
            </w:r>
            <w:r>
              <w:rPr>
                <w:rFonts w:ascii="Verdana" w:cs="Verdana" w:eastAsia="Verdana" w:hAnsi="Verdana"/>
                <w:sz w:val="20"/>
                <w:szCs w:val="20"/>
              </w:rPr>
              <w:t xml:space="preserve"> A genuine clerical error (wrong GSTIN, B2B shown as B2C) with no revenue loss can be pursued by representation and, if refused, by writ. Deliberate re-computation of liability is governed by Bharti Airtel.</w:t>
            </w:r>
          </w:p>
        </w:tc>
      </w:tr>
    </w:tbl>
    <w:p>
      <w:pPr>
        <w:spacing w:after="60"/>
      </w:pPr>
    </w:p>
    <w:p>
      <w:pPr>
        <w:pStyle w:val="Heading2"/>
        <w:keepNext/>
        <w:spacing w:after="120" w:before="240"/>
      </w:pPr>
      <w:r>
        <w:rPr>
          <w:rFonts w:ascii="Verdana" w:cs="Verdana" w:eastAsia="Verdana" w:hAnsi="Verdana"/>
        </w:rPr>
        <w:t xml:space="preserve">24.4 Three-year time bar</w:t>
      </w:r>
    </w:p>
    <w:p>
      <w:pPr>
        <w:spacing w:after="120" w:line="276"/>
        <w:jc w:val="both"/>
      </w:pPr>
      <w:r>
        <w:rPr>
          <w:rFonts w:ascii="Verdana" w:cs="Verdana" w:eastAsia="Verdana" w:hAnsi="Verdana"/>
        </w:rPr>
        <w:t xml:space="preserve">The Finance Act, 2023 amended sections 37, 39, 44, 45 and 52 so that a return cannot be filed after </w:t>
      </w:r>
      <w:r>
        <w:rPr>
          <w:rFonts w:ascii="Verdana" w:cs="Verdana" w:eastAsia="Verdana" w:hAnsi="Verdana"/>
          <w:b/>
          <w:bCs/>
        </w:rPr>
        <w:t xml:space="preserve">three years from its due date</w:t>
      </w:r>
      <w:r>
        <w:rPr>
          <w:rFonts w:ascii="Verdana" w:cs="Verdana" w:eastAsia="Verdana" w:hAnsi="Verdana"/>
        </w:rPr>
        <w:t xml:space="preserve">. The portal enforces this from the July 2025 period. A barred return leaves the taxpayer open to best judgment assessment (section 62) and customers without credit.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135: Last date under the three-year bar</w:t>
            </w:r>
          </w:p>
          <w:p>
            <w:pPr>
              <w:spacing w:after="60" w:line="260"/>
            </w:pPr>
            <w:r>
              <w:rPr>
                <w:rFonts w:ascii="Verdana" w:cs="Verdana" w:eastAsia="Verdana" w:hAnsi="Verdana"/>
                <w:sz w:val="20"/>
                <w:szCs w:val="20"/>
              </w:rPr>
              <w:t xml:space="preserve">Rana Enterprises did not file its GSTR-1 and GSTR-3B for August 2023 or its GSTR-9 for FY 2022-23.</w:t>
            </w:r>
          </w:p>
          <w:p>
            <w:pPr>
              <w:spacing w:after="60" w:line="260"/>
            </w:pPr>
            <w:r>
              <w:rPr>
                <w:rFonts w:ascii="Verdana" w:cs="Verdana" w:eastAsia="Verdana" w:hAnsi="Verdana"/>
                <w:sz w:val="20"/>
                <w:szCs w:val="20"/>
              </w:rPr>
              <w:t xml:space="preserve">Step 1: GSTR-1 for August 2023 was due on 11 September 2023; last date 11 September 2026 (already barred on 28 September 2026).</w:t>
            </w:r>
          </w:p>
          <w:p>
            <w:pPr>
              <w:spacing w:after="60" w:line="260"/>
            </w:pPr>
            <w:r>
              <w:rPr>
                <w:rFonts w:ascii="Verdana" w:cs="Verdana" w:eastAsia="Verdana" w:hAnsi="Verdana"/>
                <w:sz w:val="20"/>
                <w:szCs w:val="20"/>
              </w:rPr>
              <w:t xml:space="preserve">Step 2: GSTR-3B for August 2023 was due on 20 September 2023; last date 20 September 2026 (barred).</w:t>
            </w:r>
          </w:p>
          <w:p>
            <w:pPr>
              <w:spacing w:after="60" w:line="260"/>
            </w:pPr>
            <w:r>
              <w:rPr>
                <w:rFonts w:ascii="Verdana" w:cs="Verdana" w:eastAsia="Verdana" w:hAnsi="Verdana"/>
                <w:sz w:val="20"/>
                <w:szCs w:val="20"/>
              </w:rPr>
              <w:t xml:space="preserve">Step 3: GSTR-9 for FY 2022-23 was due on 31 December 2023; last date 31 December 2026 (still open).</w:t>
            </w:r>
          </w:p>
        </w:tc>
      </w:tr>
    </w:tbl>
    <w:p>
      <w:pPr>
        <w:spacing w:after="60"/>
      </w:pPr>
    </w:p>
    <w:p>
      <w:pPr>
        <w:pStyle w:val="Heading2"/>
        <w:keepNext/>
        <w:spacing w:after="120" w:before="240"/>
      </w:pPr>
      <w:r>
        <w:rPr>
          <w:rFonts w:ascii="Verdana" w:cs="Verdana" w:eastAsia="Verdana" w:hAnsi="Verdana"/>
        </w:rPr>
        <w:t xml:space="preserve">24.5 Late fee and interest</w:t>
      </w:r>
    </w:p>
    <w:p>
      <w:pPr>
        <w:spacing w:after="120" w:line="276"/>
        <w:jc w:val="both"/>
      </w:pPr>
      <w:r>
        <w:rPr>
          <w:rFonts w:ascii="Verdana" w:cs="Verdana" w:eastAsia="Verdana" w:hAnsi="Verdana"/>
        </w:rPr>
        <w:t xml:space="preserve">Late fee under section 47 for GSTR-1 and GSTR-3B is Rs. 50 per day (Rs. 25 CGST + Rs. 25 SGST), and Rs. 20 per day for nil returns, subject to caps: Rs. 500 for nil returns; Rs. 2,000 for turnover up to Rs. 1.5 crore; Rs. 5,000 for turnover from Rs. 1.5 crore to Rs. 5 crore; Rs. 10,000 above Rs. 5 crore (all amounts combined). Interest at 18% under section 50(1) applies on tax paid late in cash. Nil GSTR-1, GSTR-3B and CMP-08 can be filed by SMS from the registered mobile to 14409.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136: Late fee and interest on a delayed GSTR-3B</w:t>
            </w:r>
          </w:p>
          <w:p>
            <w:pPr>
              <w:spacing w:after="60" w:line="260"/>
            </w:pPr>
            <w:r>
              <w:rPr>
                <w:rFonts w:ascii="Verdana" w:cs="Verdana" w:eastAsia="Verdana" w:hAnsi="Verdana"/>
                <w:sz w:val="20"/>
                <w:szCs w:val="20"/>
              </w:rPr>
              <w:t xml:space="preserve">Lakhani Foods, with turnover of Rs. 3 crore, files GSTR-3B 45 days late. Net tax payable in cash is Rs. 2,40,000. Its sister concern files a nil return 30 days late.</w:t>
            </w:r>
          </w:p>
          <w:p>
            <w:pPr>
              <w:spacing w:after="60" w:line="260"/>
            </w:pPr>
            <w:r>
              <w:rPr>
                <w:rFonts w:ascii="Verdana" w:cs="Verdana" w:eastAsia="Verdana" w:hAnsi="Verdana"/>
                <w:sz w:val="20"/>
                <w:szCs w:val="20"/>
              </w:rPr>
              <w:t xml:space="preserve">Step 1: Late fee = Rs. 50 x 45 = Rs. 2,250 (CGST Rs. 1,125 + SGST Rs. 1,125); below the Rs. 5,000 cap.</w:t>
            </w:r>
          </w:p>
          <w:p>
            <w:pPr>
              <w:spacing w:after="60" w:line="260"/>
            </w:pPr>
            <w:r>
              <w:rPr>
                <w:rFonts w:ascii="Verdana" w:cs="Verdana" w:eastAsia="Verdana" w:hAnsi="Verdana"/>
                <w:sz w:val="20"/>
                <w:szCs w:val="20"/>
              </w:rPr>
              <w:t xml:space="preserve">Step 2: Interest = Rs. 2,40,000 x 18% x 45 / 365 = Rs. 5,326.</w:t>
            </w:r>
          </w:p>
          <w:p>
            <w:pPr>
              <w:spacing w:after="60" w:line="260"/>
            </w:pPr>
            <w:r>
              <w:rPr>
                <w:rFonts w:ascii="Verdana" w:cs="Verdana" w:eastAsia="Verdana" w:hAnsi="Verdana"/>
                <w:sz w:val="20"/>
                <w:szCs w:val="20"/>
              </w:rPr>
              <w:t xml:space="preserve">Step 3: Sister concern: Rs. 20 x 30 = Rs. 600, capped at Rs. 500.</w:t>
            </w:r>
          </w:p>
        </w:tc>
      </w:tr>
    </w:tbl>
    <w:p>
      <w:pPr>
        <w:spacing w:after="60"/>
      </w:pPr>
    </w:p>
    <w:p>
      <w:pPr>
        <w:pStyle w:val="Heading2"/>
        <w:keepNext/>
        <w:spacing w:after="120" w:before="240"/>
      </w:pPr>
      <w:r>
        <w:rPr>
          <w:rFonts w:ascii="Verdana" w:cs="Verdana" w:eastAsia="Verdana" w:hAnsi="Verdana"/>
        </w:rPr>
        <w:t xml:space="preserve">24.6 Annual return, final return and GST practitioners</w:t>
      </w:r>
    </w:p>
    <w:p>
      <w:pPr>
        <w:spacing w:after="120" w:line="276"/>
        <w:jc w:val="both"/>
      </w:pPr>
      <w:r>
        <w:rPr>
          <w:rFonts w:ascii="Verdana" w:cs="Verdana" w:eastAsia="Verdana" w:hAnsi="Verdana"/>
        </w:rPr>
        <w:t xml:space="preserve">GSTR-9 is optional for taxpayers with aggregate turnover up to Rs. 2 crore (made permanent from FY 2024-25). GSTR-9C, a self-certified reconciliation of the annual return with audited financial statements, is required where turnover exceeds Rs. 5 crore. Both are due on 31 December. Late fee for GSTR-9 is Rs. 50 per day (turnover up to Rs. 5 crore, cap 0.04% of turnover), Rs. 100 per day (Rs. 5 crore to 20 crore, cap 0.04%) and Rs. 200 per day (above Rs. 20 crore, cap 0.5%). GSTR-10 is the final return of a person whose registration is cancelled.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137: GSTR-9 late fee</w:t>
            </w:r>
          </w:p>
          <w:p>
            <w:pPr>
              <w:spacing w:after="60" w:line="260"/>
            </w:pPr>
            <w:r>
              <w:rPr>
                <w:rFonts w:ascii="Verdana" w:cs="Verdana" w:eastAsia="Verdana" w:hAnsi="Verdana"/>
                <w:sz w:val="20"/>
                <w:szCs w:val="20"/>
              </w:rPr>
              <w:t xml:space="preserve">Kapoor Paints, turnover Rs. 8 crore, files GSTR-9 for FY 2025-26 sixty days late.</w:t>
            </w:r>
          </w:p>
          <w:p>
            <w:pPr>
              <w:spacing w:after="60" w:line="260"/>
            </w:pPr>
            <w:r>
              <w:rPr>
                <w:rFonts w:ascii="Verdana" w:cs="Verdana" w:eastAsia="Verdana" w:hAnsi="Verdana"/>
                <w:sz w:val="20"/>
                <w:szCs w:val="20"/>
              </w:rPr>
              <w:t xml:space="preserve">Step 1: Rate = Rs. 100 per day. Late fee = Rs. 100 x 60 = Rs. 6,000.</w:t>
            </w:r>
          </w:p>
          <w:p>
            <w:pPr>
              <w:spacing w:after="60" w:line="260"/>
            </w:pPr>
            <w:r>
              <w:rPr>
                <w:rFonts w:ascii="Verdana" w:cs="Verdana" w:eastAsia="Verdana" w:hAnsi="Verdana"/>
                <w:sz w:val="20"/>
                <w:szCs w:val="20"/>
              </w:rPr>
              <w:t xml:space="preserve">Step 2: Cap = 0.04% of Rs. 8 crore = Rs. 32,000. Late fee payable = Rs. 6,000.</w:t>
            </w:r>
          </w:p>
        </w:tc>
      </w:tr>
    </w:tbl>
    <w:p>
      <w:pPr>
        <w:spacing w:after="60"/>
      </w:pPr>
    </w:p>
    <w:p>
      <w:pPr>
        <w:spacing w:after="120" w:line="276"/>
        <w:jc w:val="both"/>
      </w:pPr>
      <w:r>
        <w:rPr>
          <w:rFonts w:ascii="Verdana" w:cs="Verdana" w:eastAsia="Verdana" w:hAnsi="Verdana"/>
        </w:rPr>
        <w:t xml:space="preserve">A GST practitioner enrolled under section 48 and rule 83 (FORM PCT-01) may furnish returns and other details on a taxpayer's authorisation. The taxpayer remains responsible and confirms the return.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GSTR-1 by 11th, GSTR-3B by 20th; QRMP taxpayers file quarterly (13th and 22nd or 24th) and pay monthly by 25th.</w:t>
            </w:r>
          </w:p>
          <w:p>
            <w:pPr>
              <w:spacing w:after="60" w:line="260"/>
            </w:pPr>
            <w:r>
              <w:rPr>
                <w:rFonts w:ascii="Verdana" w:cs="Verdana" w:eastAsia="Verdana" w:hAnsi="Verdana"/>
                <w:sz w:val="20"/>
                <w:szCs w:val="20"/>
              </w:rPr>
              <w:t xml:space="preserve">•  GSTR-1A allows corrections before GSTR-3B; from July 2025 Table 3 of GSTR-3B is locked.</w:t>
            </w:r>
          </w:p>
          <w:p>
            <w:pPr>
              <w:spacing w:after="60" w:line="260"/>
            </w:pPr>
            <w:r>
              <w:rPr>
                <w:rFonts w:ascii="Verdana" w:cs="Verdana" w:eastAsia="Verdana" w:hAnsi="Verdana"/>
                <w:sz w:val="20"/>
                <w:szCs w:val="20"/>
              </w:rPr>
              <w:t xml:space="preserve">•  Returns cannot be filed after three years from the due date.</w:t>
            </w:r>
          </w:p>
          <w:p>
            <w:pPr>
              <w:spacing w:after="60" w:line="260"/>
            </w:pPr>
            <w:r>
              <w:rPr>
                <w:rFonts w:ascii="Verdana" w:cs="Verdana" w:eastAsia="Verdana" w:hAnsi="Verdana"/>
                <w:sz w:val="20"/>
                <w:szCs w:val="20"/>
              </w:rPr>
              <w:t xml:space="preserve">•  Late fee Rs. 50 per day (Rs. 20 for nil), capped by turnover; interest at 18% on cash paid late.</w:t>
            </w:r>
          </w:p>
          <w:p>
            <w:pPr>
              <w:spacing w:after="60" w:line="260"/>
            </w:pPr>
            <w:r>
              <w:rPr>
                <w:rFonts w:ascii="Verdana" w:cs="Verdana" w:eastAsia="Verdana" w:hAnsi="Verdana"/>
                <w:sz w:val="20"/>
                <w:szCs w:val="20"/>
              </w:rPr>
              <w:t xml:space="preserve">•  GSTR-9 is optional up to Rs. 2 crore; GSTR-9C above Rs. 5 crore; both by 31 December.</w:t>
            </w:r>
          </w:p>
          <w:p>
            <w:pPr>
              <w:spacing w:after="60" w:line="260"/>
            </w:pPr>
            <w:r>
              <w:rPr>
                <w:rFonts w:ascii="Verdana" w:cs="Verdana" w:eastAsia="Verdana" w:hAnsi="Verdana"/>
                <w:sz w:val="20"/>
                <w:szCs w:val="20"/>
              </w:rPr>
              <w:t xml:space="preserve">•  Bona fide clerical errors may be corrected even after the time limit where no revenue is lost (Aberdare Technologies).</w:t>
            </w:r>
          </w:p>
        </w:tc>
      </w:tr>
    </w:tbl>
    <w:p>
      <w:pPr>
        <w:pStyle w:val="Heading1"/>
        <w:pageBreakBefore/>
        <w:spacing w:after="200" w:before="0"/>
      </w:pPr>
      <w:r>
        <w:rPr>
          <w:rFonts w:ascii="Verdana" w:cs="Verdana" w:eastAsia="Verdana" w:hAnsi="Verdana"/>
        </w:rPr>
        <w:t xml:space="preserve">25. Payment of Tax, Interest, TDS and TCS (Sections 49 to 53)</w:t>
      </w:r>
    </w:p>
    <w:p>
      <w:pPr>
        <w:spacing w:after="120" w:line="276"/>
        <w:jc w:val="both"/>
      </w:pPr>
      <w:r>
        <w:rPr>
          <w:rFonts w:ascii="Verdana" w:cs="Verdana" w:eastAsia="Verdana" w:hAnsi="Verdana"/>
        </w:rPr>
        <w:t xml:space="preserve">Tax is paid through three electronic ledgers maintained on the portal (section 49). The </w:t>
      </w:r>
      <w:r>
        <w:rPr>
          <w:rFonts w:ascii="Verdana" w:cs="Verdana" w:eastAsia="Verdana" w:hAnsi="Verdana"/>
          <w:b/>
          <w:bCs/>
        </w:rPr>
        <w:t xml:space="preserve">electronic cash ledger</w:t>
      </w:r>
      <w:r>
        <w:rPr>
          <w:rFonts w:ascii="Verdana" w:cs="Verdana" w:eastAsia="Verdana" w:hAnsi="Verdana"/>
        </w:rPr>
        <w:t xml:space="preserve"> is credited by deposits through PMT-06 challans. The </w:t>
      </w:r>
      <w:r>
        <w:rPr>
          <w:rFonts w:ascii="Verdana" w:cs="Verdana" w:eastAsia="Verdana" w:hAnsi="Verdana"/>
          <w:b/>
          <w:bCs/>
        </w:rPr>
        <w:t xml:space="preserve">electronic credit ledger</w:t>
      </w:r>
      <w:r>
        <w:rPr>
          <w:rFonts w:ascii="Verdana" w:cs="Verdana" w:eastAsia="Verdana" w:hAnsi="Verdana"/>
        </w:rPr>
        <w:t xml:space="preserve"> holds ITC. The </w:t>
      </w:r>
      <w:r>
        <w:rPr>
          <w:rFonts w:ascii="Verdana" w:cs="Verdana" w:eastAsia="Verdana" w:hAnsi="Verdana"/>
          <w:b/>
          <w:bCs/>
        </w:rPr>
        <w:t xml:space="preserve">electronic liability register</w:t>
      </w:r>
      <w:r>
        <w:rPr>
          <w:rFonts w:ascii="Verdana" w:cs="Verdana" w:eastAsia="Verdana" w:hAnsi="Verdana"/>
        </w:rPr>
        <w:t xml:space="preserve"> records all dues, including demands.</w:t>
      </w:r>
    </w:p>
    <w:p>
      <w:pPr>
        <w:pStyle w:val="Heading2"/>
        <w:keepNext/>
        <w:spacing w:after="120" w:before="240"/>
      </w:pPr>
      <w:r>
        <w:rPr>
          <w:rFonts w:ascii="Verdana" w:cs="Verdana" w:eastAsia="Verdana" w:hAnsi="Verdana"/>
        </w:rPr>
        <w:t xml:space="preserve">25.1 Cash ledger, challans and PMT-09</w:t>
      </w:r>
    </w:p>
    <w:p>
      <w:pPr>
        <w:spacing w:after="120" w:line="276"/>
        <w:jc w:val="both"/>
      </w:pPr>
      <w:r>
        <w:rPr>
          <w:rFonts w:ascii="Verdana" w:cs="Verdana" w:eastAsia="Verdana" w:hAnsi="Verdana"/>
        </w:rPr>
        <w:t xml:space="preserve">A PMT-06 challan is valid for </w:t>
      </w:r>
      <w:r>
        <w:rPr>
          <w:rFonts w:ascii="Verdana" w:cs="Verdana" w:eastAsia="Verdana" w:hAnsi="Verdana"/>
          <w:b/>
          <w:bCs/>
        </w:rPr>
        <w:t xml:space="preserve">15 days</w:t>
      </w:r>
      <w:r>
        <w:rPr>
          <w:rFonts w:ascii="Verdana" w:cs="Verdana" w:eastAsia="Verdana" w:hAnsi="Verdana"/>
        </w:rPr>
        <w:t xml:space="preserve">. Payment by net banking, UPI, card, NEFT or RTGS (or over the counter up to Rs. 10,000) credits the cash ledger under the major head (IGST, CGST, SGST, cess) and minor head (tax, interest, penalty, fee). A balance in the wrong head can be moved through </w:t>
      </w:r>
      <w:r>
        <w:rPr>
          <w:rFonts w:ascii="Verdana" w:cs="Verdana" w:eastAsia="Verdana" w:hAnsi="Verdana"/>
          <w:b/>
          <w:bCs/>
        </w:rPr>
        <w:t xml:space="preserve">PMT-09</w:t>
      </w:r>
      <w:r>
        <w:rPr>
          <w:rFonts w:ascii="Verdana" w:cs="Verdana" w:eastAsia="Verdana" w:hAnsi="Verdana"/>
        </w:rPr>
        <w:t xml:space="preserve">, and since the Finance Act, 2022 to a distinct person with the same PAN, if no demand is unpaid. The cash ledger can pay any liability; the credit ledger can pay only output tax.</w:t>
      </w:r>
    </w:p>
    <w:p>
      <w:pPr>
        <w:pStyle w:val="Heading2"/>
        <w:keepNext/>
        <w:spacing w:after="120" w:before="240"/>
      </w:pPr>
      <w:r>
        <w:rPr>
          <w:rFonts w:ascii="Verdana" w:cs="Verdana" w:eastAsia="Verdana" w:hAnsi="Verdana"/>
        </w:rPr>
        <w:t xml:space="preserve">25.2 Order of utilisation of ITC</w:t>
      </w:r>
    </w:p>
    <w:p>
      <w:pPr>
        <w:spacing w:after="120" w:line="276"/>
        <w:jc w:val="both"/>
      </w:pPr>
      <w:r>
        <w:rPr>
          <w:rFonts w:ascii="Verdana" w:cs="Verdana" w:eastAsia="Verdana" w:hAnsi="Verdana"/>
        </w:rPr>
        <w:t xml:space="preserve">Sections 49(5) and 49A and rule 88A lay down the order: IGST credit is used first against IGST liability, and the balance may then be used against CGST and SGST in any order. CGST and SGST credits are used only after IGST credit is exhausted, each against its own head and then IGST; they never cross. From February 2026 the portal lets the IGST balance be split between CGST and SGST in any proportion, avoiding cash payment in one head while credit lies idle in the other.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138: Set-off to minimise cash</w:t>
            </w:r>
          </w:p>
          <w:p>
            <w:pPr>
              <w:spacing w:after="60" w:line="260"/>
            </w:pPr>
            <w:r>
              <w:rPr>
                <w:rFonts w:ascii="Verdana" w:cs="Verdana" w:eastAsia="Verdana" w:hAnsi="Verdana"/>
                <w:sz w:val="20"/>
                <w:szCs w:val="20"/>
              </w:rPr>
              <w:t xml:space="preserve">Output tax of Arora Industries for a month: IGST Rs. 50,000, CGST Rs. 80,000, SGST Rs. 80,000. ITC: IGST Rs. 1,20,000, CGST Rs. 30,000, SGST Rs. 50,000.</w:t>
            </w:r>
          </w:p>
          <w:p>
            <w:pPr>
              <w:spacing w:after="60" w:line="260"/>
            </w:pPr>
            <w:r>
              <w:rPr>
                <w:rFonts w:ascii="Verdana" w:cs="Verdana" w:eastAsia="Verdana" w:hAnsi="Verdana"/>
                <w:sz w:val="20"/>
                <w:szCs w:val="20"/>
              </w:rPr>
              <w:t xml:space="preserve">Step 1: IGST credit against IGST liability: Rs. 50,000. IGST credit left = Rs. 70,000.</w:t>
            </w:r>
          </w:p>
          <w:p>
            <w:pPr>
              <w:spacing w:after="60" w:line="260"/>
            </w:pPr>
            <w:r>
              <w:rPr>
                <w:rFonts w:ascii="Verdana" w:cs="Verdana" w:eastAsia="Verdana" w:hAnsi="Verdana"/>
                <w:sz w:val="20"/>
                <w:szCs w:val="20"/>
              </w:rPr>
              <w:t xml:space="preserve">Step 2: Balance IGST credit applied Rs. 50,000 to CGST and Rs. 20,000 to SGST. CGST left = Rs. 30,000; SGST left = Rs. 60,000.</w:t>
            </w:r>
          </w:p>
          <w:p>
            <w:pPr>
              <w:spacing w:after="60" w:line="260"/>
            </w:pPr>
            <w:r>
              <w:rPr>
                <w:rFonts w:ascii="Verdana" w:cs="Verdana" w:eastAsia="Verdana" w:hAnsi="Verdana"/>
                <w:sz w:val="20"/>
                <w:szCs w:val="20"/>
              </w:rPr>
              <w:t xml:space="preserve">Step 3: CGST credit Rs. 30,000 pays CGST fully. SGST credit Rs. 50,000 pays SGST, leaving Rs. 10,000.</w:t>
            </w:r>
          </w:p>
          <w:p>
            <w:pPr>
              <w:spacing w:after="60" w:line="260"/>
            </w:pPr>
            <w:r>
              <w:rPr>
                <w:rFonts w:ascii="Verdana" w:cs="Verdana" w:eastAsia="Verdana" w:hAnsi="Verdana"/>
                <w:sz w:val="20"/>
                <w:szCs w:val="20"/>
              </w:rPr>
              <w:t xml:space="preserve">Step 4: Cash payable = Rs. 10,000 (SGST).</w:t>
            </w:r>
          </w:p>
          <w:p>
            <w:pPr>
              <w:spacing w:after="60" w:line="260"/>
            </w:pPr>
            <w:r>
              <w:rPr>
                <w:rFonts w:ascii="Verdana" w:cs="Verdana" w:eastAsia="Verdana" w:hAnsi="Verdana"/>
                <w:sz w:val="20"/>
                <w:szCs w:val="20"/>
              </w:rPr>
              <w:t xml:space="preserve">Comparison: an equal split of Rs. 35,000 each leaves CGST of Rs. 15,000 (Rs. 80,000 minus Rs. 35,000 minus Rs. 30,000) payable in cash with Rs. 5,000 of SGST credit idle, costing Rs. 5,000 more cash.</w:t>
            </w:r>
          </w:p>
        </w:tc>
      </w:tr>
    </w:tbl>
    <w:p>
      <w:pPr>
        <w:spacing w:after="60"/>
      </w:pPr>
    </w:p>
    <w:p>
      <w:pPr>
        <w:spacing w:after="120" w:line="276"/>
        <w:jc w:val="both"/>
      </w:pPr>
      <w:r>
        <w:rPr>
          <w:rFonts w:ascii="Verdana" w:cs="Verdana" w:eastAsia="Verdana" w:hAnsi="Verdana"/>
        </w:rPr>
        <w:t xml:space="preserve">Tax payable under reverse charge must be paid in cash: the credit ledger can pay only "output tax" (section 49(4)), and output tax excludes tax payable under reverse charge (section 2(82)). Rule 86B also requires registered persons whose taxable supplies exceed Rs. 50 lakh in a month to pay at least 1% of output tax in cash, subject to exceptions.</w:t>
      </w:r>
    </w:p>
    <w:p>
      <w:pPr>
        <w:pStyle w:val="Heading2"/>
        <w:keepNext/>
        <w:spacing w:after="120" w:before="240"/>
      </w:pPr>
      <w:r>
        <w:rPr>
          <w:rFonts w:ascii="Verdana" w:cs="Verdana" w:eastAsia="Verdana" w:hAnsi="Verdana"/>
        </w:rPr>
        <w:t xml:space="preserve">25.3 Interest under section 50</w:t>
      </w:r>
    </w:p>
    <w:p>
      <w:pPr>
        <w:spacing w:after="120" w:line="276"/>
        <w:jc w:val="both"/>
      </w:pPr>
      <w:r>
        <w:rPr>
          <w:rFonts w:ascii="Verdana" w:cs="Verdana" w:eastAsia="Verdana" w:hAnsi="Verdana"/>
        </w:rPr>
        <w:t xml:space="preserve">Interest at </w:t>
      </w:r>
      <w:r>
        <w:rPr>
          <w:rFonts w:ascii="Verdana" w:cs="Verdana" w:eastAsia="Verdana" w:hAnsi="Verdana"/>
          <w:b/>
          <w:bCs/>
        </w:rPr>
        <w:t xml:space="preserve">18%</w:t>
      </w:r>
      <w:r>
        <w:rPr>
          <w:rFonts w:ascii="Verdana" w:cs="Verdana" w:eastAsia="Verdana" w:hAnsi="Verdana"/>
        </w:rPr>
        <w:t xml:space="preserve"> is payable under section 50(1) on tax paid after the due date, for the period of delay. Under the retrospective amendment from 1 July 2017 and rule 88B, it is on the </w:t>
      </w:r>
      <w:r>
        <w:rPr>
          <w:rFonts w:ascii="Verdana" w:cs="Verdana" w:eastAsia="Verdana" w:hAnsi="Verdana"/>
          <w:b/>
          <w:bCs/>
        </w:rPr>
        <w:t xml:space="preserve">net tax paid in cash</w:t>
      </w:r>
      <w:r>
        <w:rPr>
          <w:rFonts w:ascii="Verdana" w:cs="Verdana" w:eastAsia="Verdana" w:hAnsi="Verdana"/>
        </w:rPr>
        <w:t xml:space="preserve">, unless the return is filed after proceedings under section 73, 74 or 74A begin. From 10 July 2024 an amount deposited in the cash ledger on or before the due date and kept there until it is debited in the return is excluded from interest. Under section 50(3), interest at 18% is payable on ITC wrongly availed </w:t>
      </w:r>
      <w:r>
        <w:rPr>
          <w:rFonts w:ascii="Verdana" w:cs="Verdana" w:eastAsia="Verdana" w:hAnsi="Verdana"/>
          <w:b/>
          <w:bCs/>
        </w:rPr>
        <w:t xml:space="preserve">and utilised</w:t>
      </w:r>
      <w:r>
        <w:rPr>
          <w:rFonts w:ascii="Verdana" w:cs="Verdana" w:eastAsia="Verdana" w:hAnsi="Verdana"/>
        </w:rPr>
        <w:t xml:space="preserve">, from the date of utilisation to the date of reversal or payment. Credit is treated as utilised when the credit ledger balance falls below the wrong credit, to the extent of the fall (rule 88B(3)).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139: Interest on delayed GSTR-3B</w:t>
            </w:r>
          </w:p>
          <w:p>
            <w:pPr>
              <w:spacing w:after="60" w:line="260"/>
            </w:pPr>
            <w:r>
              <w:rPr>
                <w:rFonts w:ascii="Verdana" w:cs="Verdana" w:eastAsia="Verdana" w:hAnsi="Verdana"/>
                <w:sz w:val="20"/>
                <w:szCs w:val="20"/>
              </w:rPr>
              <w:t xml:space="preserve">Bose Chemicals files GSTR-3B for July 2026 (due 20 August 2026) on 5 September 2026. Liability Rs. 3,00,000, ITC used Rs. 2,20,000, cash Rs. 80,000.</w:t>
            </w:r>
          </w:p>
          <w:p>
            <w:pPr>
              <w:spacing w:after="60" w:line="260"/>
            </w:pPr>
            <w:r>
              <w:rPr>
                <w:rFonts w:ascii="Verdana" w:cs="Verdana" w:eastAsia="Verdana" w:hAnsi="Verdana"/>
                <w:sz w:val="20"/>
                <w:szCs w:val="20"/>
              </w:rPr>
              <w:t xml:space="preserve">Step 1: Delay = 21 August to 5 September 2026 = 16 days.</w:t>
            </w:r>
          </w:p>
          <w:p>
            <w:pPr>
              <w:spacing w:after="60" w:line="260"/>
            </w:pPr>
            <w:r>
              <w:rPr>
                <w:rFonts w:ascii="Verdana" w:cs="Verdana" w:eastAsia="Verdana" w:hAnsi="Verdana"/>
                <w:sz w:val="20"/>
                <w:szCs w:val="20"/>
              </w:rPr>
              <w:t xml:space="preserve">Step 2: Interest = Rs. 80,000 x 18% x 16 / 365 = Rs. 631.</w:t>
            </w:r>
          </w:p>
          <w:p>
            <w:pPr>
              <w:spacing w:after="60" w:line="260"/>
            </w:pPr>
            <w:r>
              <w:rPr>
                <w:rFonts w:ascii="Verdana" w:cs="Verdana" w:eastAsia="Verdana" w:hAnsi="Verdana"/>
                <w:sz w:val="20"/>
                <w:szCs w:val="20"/>
              </w:rPr>
              <w:t xml:space="preserve">Variation: Rs. 30,000 had been deposited in the cash ledger on 18 August and stayed there till filing. Interest is only on Rs. 50,000: Rs. 50,000 x 18% x 16 / 365 = Rs. 395.</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140: Interest on wrong ITC utilised</w:t>
            </w:r>
          </w:p>
          <w:p>
            <w:pPr>
              <w:spacing w:after="60" w:line="260"/>
            </w:pPr>
            <w:r>
              <w:rPr>
                <w:rFonts w:ascii="Verdana" w:cs="Verdana" w:eastAsia="Verdana" w:hAnsi="Verdana"/>
                <w:sz w:val="20"/>
                <w:szCs w:val="20"/>
              </w:rPr>
              <w:t xml:space="preserve">Chopra Garments wrongly availed ITC of Rs. 1,00,000 in GSTR-3B for March 2026, filed on 20 April 2026. On 20 May 2026 its credit ledger balance fell to Rs. 60,000. It reversed the credit through DRC-03 on 19 July 2026.</w:t>
            </w:r>
          </w:p>
          <w:p>
            <w:pPr>
              <w:spacing w:after="60" w:line="260"/>
            </w:pPr>
            <w:r>
              <w:rPr>
                <w:rFonts w:ascii="Verdana" w:cs="Verdana" w:eastAsia="Verdana" w:hAnsi="Verdana"/>
                <w:sz w:val="20"/>
                <w:szCs w:val="20"/>
              </w:rPr>
              <w:t xml:space="preserve">Step 1: Utilised = Rs. 1,00,000 minus Rs. 60,000 = Rs. 40,000, from 20 May 2026.</w:t>
            </w:r>
          </w:p>
          <w:p>
            <w:pPr>
              <w:spacing w:after="60" w:line="260"/>
            </w:pPr>
            <w:r>
              <w:rPr>
                <w:rFonts w:ascii="Verdana" w:cs="Verdana" w:eastAsia="Verdana" w:hAnsi="Verdana"/>
                <w:sz w:val="20"/>
                <w:szCs w:val="20"/>
              </w:rPr>
              <w:t xml:space="preserve">Step 2: Period = 21 May to 19 July 2026 = 60 days.</w:t>
            </w:r>
          </w:p>
          <w:p>
            <w:pPr>
              <w:spacing w:after="60" w:line="260"/>
            </w:pPr>
            <w:r>
              <w:rPr>
                <w:rFonts w:ascii="Verdana" w:cs="Verdana" w:eastAsia="Verdana" w:hAnsi="Verdana"/>
                <w:sz w:val="20"/>
                <w:szCs w:val="20"/>
              </w:rPr>
              <w:t xml:space="preserve">Step 3: Interest = Rs. 40,000 x 18% x 60 / 365 = Rs. 1,184. No interest arises on the Rs. 60,000 that was never used.</w:t>
            </w:r>
          </w:p>
        </w:tc>
      </w:tr>
    </w:tbl>
    <w:p>
      <w:pPr>
        <w:spacing w:after="60"/>
      </w:pPr>
    </w:p>
    <w:p>
      <w:pPr>
        <w:pStyle w:val="Heading2"/>
        <w:keepNext/>
        <w:spacing w:after="120" w:before="240"/>
      </w:pPr>
      <w:r>
        <w:rPr>
          <w:rFonts w:ascii="Verdana" w:cs="Verdana" w:eastAsia="Verdana" w:hAnsi="Verdana"/>
        </w:rPr>
        <w:t xml:space="preserve">25.4 DRC-03 and DRC-03A</w:t>
      </w:r>
    </w:p>
    <w:p>
      <w:pPr>
        <w:spacing w:after="120" w:line="276"/>
        <w:jc w:val="both"/>
      </w:pPr>
      <w:r>
        <w:rPr>
          <w:rFonts w:ascii="Verdana" w:cs="Verdana" w:eastAsia="Verdana" w:hAnsi="Verdana"/>
        </w:rPr>
        <w:t xml:space="preserve">Voluntary payments on self-detection, in audit or against a notice are made through </w:t>
      </w:r>
      <w:r>
        <w:rPr>
          <w:rFonts w:ascii="Verdana" w:cs="Verdana" w:eastAsia="Verdana" w:hAnsi="Verdana"/>
          <w:b/>
          <w:bCs/>
        </w:rPr>
        <w:t xml:space="preserve">DRC-03</w:t>
      </w:r>
      <w:r>
        <w:rPr>
          <w:rFonts w:ascii="Verdana" w:cs="Verdana" w:eastAsia="Verdana" w:hAnsi="Verdana"/>
        </w:rPr>
        <w:t xml:space="preserve">. Such a payment does not by itself close a later demand. </w:t>
      </w:r>
      <w:r>
        <w:rPr>
          <w:rFonts w:ascii="Verdana" w:cs="Verdana" w:eastAsia="Verdana" w:hAnsi="Verdana"/>
          <w:b/>
          <w:bCs/>
        </w:rPr>
        <w:t xml:space="preserve">DRC-03A</w:t>
      </w:r>
      <w:r>
        <w:rPr>
          <w:rFonts w:ascii="Verdana" w:cs="Verdana" w:eastAsia="Verdana" w:hAnsi="Verdana"/>
        </w:rPr>
        <w:t xml:space="preserve">, introduced in 2024, links the DRC-03 payment to the demand order; without it, recovery may start on a demand already paid.</w:t>
      </w:r>
    </w:p>
    <w:p>
      <w:pPr>
        <w:pStyle w:val="Heading2"/>
        <w:keepNext/>
        <w:spacing w:after="120" w:before="240"/>
      </w:pPr>
      <w:r>
        <w:rPr>
          <w:rFonts w:ascii="Verdana" w:cs="Verdana" w:eastAsia="Verdana" w:hAnsi="Verdana"/>
        </w:rPr>
        <w:t xml:space="preserve">25.5 Tax deduction at source (section 51)</w:t>
      </w:r>
    </w:p>
    <w:p>
      <w:pPr>
        <w:spacing w:after="120" w:line="276"/>
        <w:jc w:val="both"/>
      </w:pPr>
      <w:r>
        <w:rPr>
          <w:rFonts w:ascii="Verdana" w:cs="Verdana" w:eastAsia="Verdana" w:hAnsi="Verdana"/>
        </w:rPr>
        <w:t xml:space="preserve">Government departments, local authorities, Government agencies and notified bodies (such as public sector undertakings and bodies with 51% or more Government shareholding) must deduct </w:t>
      </w:r>
      <w:r>
        <w:rPr>
          <w:rFonts w:ascii="Verdana" w:cs="Verdana" w:eastAsia="Verdana" w:hAnsi="Verdana"/>
          <w:b/>
          <w:bCs/>
        </w:rPr>
        <w:t xml:space="preserve">2%</w:t>
      </w:r>
      <w:r>
        <w:rPr>
          <w:rFonts w:ascii="Verdana" w:cs="Verdana" w:eastAsia="Verdana" w:hAnsi="Verdana"/>
        </w:rPr>
        <w:t xml:space="preserve"> (1% CGST + 1% SGST, or 2% IGST) from payments to suppliers of taxable goods or services where the total value of supply under a contract exceeds </w:t>
      </w:r>
      <w:r>
        <w:rPr>
          <w:rFonts w:ascii="Verdana" w:cs="Verdana" w:eastAsia="Verdana" w:hAnsi="Verdana"/>
          <w:b/>
          <w:bCs/>
        </w:rPr>
        <w:t xml:space="preserve">Rs. 2.5 lakh</w:t>
      </w:r>
      <w:r>
        <w:rPr>
          <w:rFonts w:ascii="Verdana" w:cs="Verdana" w:eastAsia="Verdana" w:hAnsi="Verdana"/>
        </w:rPr>
        <w:t xml:space="preserve"> (excluding tax). No deduction is made where the supplier's location and the place of supply are in a State other than the recipient's State of registration. The deductor files </w:t>
      </w:r>
      <w:r>
        <w:rPr>
          <w:rFonts w:ascii="Verdana" w:cs="Verdana" w:eastAsia="Verdana" w:hAnsi="Verdana"/>
          <w:b/>
          <w:bCs/>
        </w:rPr>
        <w:t xml:space="preserve">GSTR-7</w:t>
      </w:r>
      <w:r>
        <w:rPr>
          <w:rFonts w:ascii="Verdana" w:cs="Verdana" w:eastAsia="Verdana" w:hAnsi="Verdana"/>
        </w:rPr>
        <w:t xml:space="preserve"> by the 10th; the supplier accepts the credit into his cash ledger.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141: TDS on a Government contract</w:t>
            </w:r>
          </w:p>
          <w:p>
            <w:pPr>
              <w:spacing w:after="60" w:line="260"/>
            </w:pPr>
            <w:r>
              <w:rPr>
                <w:rFonts w:ascii="Verdana" w:cs="Verdana" w:eastAsia="Verdana" w:hAnsi="Verdana"/>
                <w:sz w:val="20"/>
                <w:szCs w:val="20"/>
              </w:rPr>
              <w:t xml:space="preserve">A municipal corporation in Gujarat awards a road repair contract to Parmar Builders, Surat, for Rs. 10,00,000 plus GST at 18% (Rs. 1,80,000).</w:t>
            </w:r>
          </w:p>
          <w:p>
            <w:pPr>
              <w:spacing w:after="60" w:line="260"/>
            </w:pPr>
            <w:r>
              <w:rPr>
                <w:rFonts w:ascii="Verdana" w:cs="Verdana" w:eastAsia="Verdana" w:hAnsi="Verdana"/>
                <w:sz w:val="20"/>
                <w:szCs w:val="20"/>
              </w:rPr>
              <w:t xml:space="preserve">Step 1: Contract value excluding tax (Rs. 10,00,000) exceeds Rs. 2.5 lakh, so TDS applies.</w:t>
            </w:r>
          </w:p>
          <w:p>
            <w:pPr>
              <w:spacing w:after="60" w:line="260"/>
            </w:pPr>
            <w:r>
              <w:rPr>
                <w:rFonts w:ascii="Verdana" w:cs="Verdana" w:eastAsia="Verdana" w:hAnsi="Verdana"/>
                <w:sz w:val="20"/>
                <w:szCs w:val="20"/>
              </w:rPr>
              <w:t xml:space="preserve">Step 2: TDS = 2% of Rs. 10,00,000 = Rs. 20,000 (CGST Rs. 10,000 + SGST Rs. 10,000).</w:t>
            </w:r>
          </w:p>
          <w:p>
            <w:pPr>
              <w:spacing w:after="60" w:line="260"/>
            </w:pPr>
            <w:r>
              <w:rPr>
                <w:rFonts w:ascii="Verdana" w:cs="Verdana" w:eastAsia="Verdana" w:hAnsi="Verdana"/>
                <w:sz w:val="20"/>
                <w:szCs w:val="20"/>
              </w:rPr>
              <w:t xml:space="preserve">Step 3: Payment to Parmar Builders = Rs. 11,80,000 minus Rs. 20,000 = Rs. 11,60,000.</w:t>
            </w:r>
          </w:p>
        </w:tc>
      </w:tr>
    </w:tbl>
    <w:p>
      <w:pPr>
        <w:spacing w:after="60"/>
      </w:pPr>
    </w:p>
    <w:p>
      <w:pPr>
        <w:pStyle w:val="Heading2"/>
        <w:keepNext/>
        <w:spacing w:after="120" w:before="240"/>
      </w:pPr>
      <w:r>
        <w:rPr>
          <w:rFonts w:ascii="Verdana" w:cs="Verdana" w:eastAsia="Verdana" w:hAnsi="Verdana"/>
        </w:rPr>
        <w:t xml:space="preserve">25.6 Tax collection at source (section 52)</w:t>
      </w:r>
    </w:p>
    <w:p>
      <w:pPr>
        <w:spacing w:after="120" w:line="276"/>
        <w:jc w:val="both"/>
      </w:pPr>
      <w:r>
        <w:rPr>
          <w:rFonts w:ascii="Verdana" w:cs="Verdana" w:eastAsia="Verdana" w:hAnsi="Verdana"/>
        </w:rPr>
        <w:t xml:space="preserve">An e-commerce operator collecting consideration for supplies made through it by other suppliers must collect tax at </w:t>
      </w:r>
      <w:r>
        <w:rPr>
          <w:rFonts w:ascii="Verdana" w:cs="Verdana" w:eastAsia="Verdana" w:hAnsi="Verdana"/>
          <w:b/>
          <w:bCs/>
        </w:rPr>
        <w:t xml:space="preserve">0.5%</w:t>
      </w:r>
      <w:r>
        <w:rPr>
          <w:rFonts w:ascii="Verdana" w:cs="Verdana" w:eastAsia="Verdana" w:hAnsi="Verdana"/>
        </w:rPr>
        <w:t xml:space="preserve"> (0.25% CGST + 0.25% SGST, or 0.5% IGST) of the net value of taxable supplies, from 10 July 2024 (1% earlier). Net value is taxable supplies less returns, and excludes supplies on which the operator itself pays tax under section 9(5). The operator files </w:t>
      </w:r>
      <w:r>
        <w:rPr>
          <w:rFonts w:ascii="Verdana" w:cs="Verdana" w:eastAsia="Verdana" w:hAnsi="Verdana"/>
          <w:b/>
          <w:bCs/>
        </w:rPr>
        <w:t xml:space="preserve">GSTR-8</w:t>
      </w:r>
      <w:r>
        <w:rPr>
          <w:rFonts w:ascii="Verdana" w:cs="Verdana" w:eastAsia="Verdana" w:hAnsi="Verdana"/>
        </w:rPr>
        <w:t xml:space="preserve"> by the 10th; sellers accept the TCS into their cash ledger.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142: TCS by an e-commerce operator</w:t>
            </w:r>
          </w:p>
          <w:p>
            <w:pPr>
              <w:spacing w:after="60" w:line="260"/>
            </w:pPr>
            <w:r>
              <w:rPr>
                <w:rFonts w:ascii="Verdana" w:cs="Verdana" w:eastAsia="Verdana" w:hAnsi="Verdana"/>
                <w:sz w:val="20"/>
                <w:szCs w:val="20"/>
              </w:rPr>
              <w:t xml:space="preserve">Sellers on ShopKart, registered in Maharashtra, make taxable supplies of Rs. 12,00,000 in a month, with returns of Rs. 2,00,000. Intra-State supplies (net) are Rs. 6,00,000 and inter-State Rs. 4,00,000.</w:t>
            </w:r>
          </w:p>
          <w:p>
            <w:pPr>
              <w:spacing w:after="60" w:line="260"/>
            </w:pPr>
            <w:r>
              <w:rPr>
                <w:rFonts w:ascii="Verdana" w:cs="Verdana" w:eastAsia="Verdana" w:hAnsi="Verdana"/>
                <w:sz w:val="20"/>
                <w:szCs w:val="20"/>
              </w:rPr>
              <w:t xml:space="preserve">Step 1: Net value = Rs. 12,00,000 minus Rs. 2,00,000 = Rs. 10,00,000.</w:t>
            </w:r>
          </w:p>
          <w:p>
            <w:pPr>
              <w:spacing w:after="60" w:line="260"/>
            </w:pPr>
            <w:r>
              <w:rPr>
                <w:rFonts w:ascii="Verdana" w:cs="Verdana" w:eastAsia="Verdana" w:hAnsi="Verdana"/>
                <w:sz w:val="20"/>
                <w:szCs w:val="20"/>
              </w:rPr>
              <w:t xml:space="preserve">Step 2: Intra-State: CGST 0.25% Rs. 1,500 + SGST 0.25% Rs. 1,500. Inter-State: IGST 0.5% of Rs. 4,00,000 = Rs. 2,000.</w:t>
            </w:r>
          </w:p>
          <w:p>
            <w:pPr>
              <w:spacing w:after="60" w:line="260"/>
            </w:pPr>
            <w:r>
              <w:rPr>
                <w:rFonts w:ascii="Verdana" w:cs="Verdana" w:eastAsia="Verdana" w:hAnsi="Verdana"/>
                <w:sz w:val="20"/>
                <w:szCs w:val="20"/>
              </w:rPr>
              <w:t xml:space="preserve">Result: Total TCS = Rs. 5,000, reported in GSTR-8 by the 10th of the next month.</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Three ledgers: cash (any liability), credit (output tax only) and liability register; challans are valid for 15 days; PMT-09 moves cash between heads and to distinct persons.</w:t>
            </w:r>
          </w:p>
          <w:p>
            <w:pPr>
              <w:spacing w:after="60" w:line="260"/>
            </w:pPr>
            <w:r>
              <w:rPr>
                <w:rFonts w:ascii="Verdana" w:cs="Verdana" w:eastAsia="Verdana" w:hAnsi="Verdana"/>
                <w:sz w:val="20"/>
                <w:szCs w:val="20"/>
              </w:rPr>
              <w:t xml:space="preserve">•  IGST credit is used first; CGST and SGST credits cannot cross; from February 2026 the IGST balance can be split between CGST and SGST in any proportion.</w:t>
            </w:r>
          </w:p>
          <w:p>
            <w:pPr>
              <w:spacing w:after="60" w:line="260"/>
            </w:pPr>
            <w:r>
              <w:rPr>
                <w:rFonts w:ascii="Verdana" w:cs="Verdana" w:eastAsia="Verdana" w:hAnsi="Verdana"/>
                <w:sz w:val="20"/>
                <w:szCs w:val="20"/>
              </w:rPr>
              <w:t xml:space="preserve">•  Interest at 18% is on net cash paid late; cash deposited before the due date is excluded; interest on wrong ITC applies only from utilisation.</w:t>
            </w:r>
          </w:p>
          <w:p>
            <w:pPr>
              <w:spacing w:after="60" w:line="260"/>
            </w:pPr>
            <w:r>
              <w:rPr>
                <w:rFonts w:ascii="Verdana" w:cs="Verdana" w:eastAsia="Verdana" w:hAnsi="Verdana"/>
                <w:sz w:val="20"/>
                <w:szCs w:val="20"/>
              </w:rPr>
              <w:t xml:space="preserve">•  DRC-03 for voluntary payment; DRC-03A to link it to a demand.</w:t>
            </w:r>
          </w:p>
          <w:p>
            <w:pPr>
              <w:spacing w:after="60" w:line="260"/>
            </w:pPr>
            <w:r>
              <w:rPr>
                <w:rFonts w:ascii="Verdana" w:cs="Verdana" w:eastAsia="Verdana" w:hAnsi="Verdana"/>
                <w:sz w:val="20"/>
                <w:szCs w:val="20"/>
              </w:rPr>
              <w:t xml:space="preserve">•  TDS at 2% on Government contracts above Rs. 2.5 lakh (GSTR-7); TCS at 0.5% by e-commerce operators from 10 July 2024 (GSTR-8).</w:t>
            </w:r>
          </w:p>
        </w:tc>
      </w:tr>
    </w:tbl>
    <w:p>
      <w:pPr>
        <w:pStyle w:val="Heading1"/>
        <w:pageBreakBefore/>
        <w:spacing w:after="200" w:before="0"/>
      </w:pPr>
      <w:r>
        <w:rPr>
          <w:rFonts w:ascii="Verdana" w:cs="Verdana" w:eastAsia="Verdana" w:hAnsi="Verdana"/>
        </w:rPr>
        <w:t xml:space="preserve">26. Refunds (Sections 54 to 58)</w:t>
      </w:r>
    </w:p>
    <w:p>
      <w:pPr>
        <w:spacing w:after="120" w:line="276"/>
        <w:jc w:val="both"/>
      </w:pPr>
      <w:r>
        <w:rPr>
          <w:rFonts w:ascii="Verdana" w:cs="Verdana" w:eastAsia="Verdana" w:hAnsi="Verdana"/>
        </w:rPr>
        <w:t xml:space="preserve">Refund returns tax or credit that the Government should not keep. Most claims come from exporters and businesses with an inverted duty structure. The law is in sections 54 to 58 of the CGST Act and rules 89 to 97A.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20"/>
        <w:gridCol w:w="4418"/>
      </w:tblGrid>
      <w:tr>
        <w:trPr>
          <w:cantSplit/>
          <w:tblHeader/>
        </w:trPr>
        <w:tc>
          <w:tcPr>
            <w:tcW w:type="dxa" w:w="522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Situation</w:t>
            </w:r>
          </w:p>
        </w:tc>
        <w:tc>
          <w:tcPr>
            <w:tcW w:type="dxa" w:w="441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What is refunded</w:t>
            </w:r>
          </w:p>
        </w:tc>
      </w:tr>
      <w:tr>
        <w:trPr>
          <w:cantSplit/>
        </w:trPr>
        <w:tc>
          <w:tcPr>
            <w:tcW w:type="dxa" w:w="5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Export of goods or services, or supply to SEZ, under LUT</w:t>
            </w:r>
          </w:p>
        </w:tc>
        <w:tc>
          <w:tcPr>
            <w:tcW w:type="dxa" w:w="44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Unutilised ITC (rule 89(4))</w:t>
            </w:r>
          </w:p>
        </w:tc>
      </w:tr>
      <w:tr>
        <w:trPr>
          <w:cantSplit/>
        </w:trPr>
        <w:tc>
          <w:tcPr>
            <w:tcW w:type="dxa" w:w="5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Export of goods with payment of IGST</w:t>
            </w:r>
          </w:p>
        </w:tc>
        <w:tc>
          <w:tcPr>
            <w:tcW w:type="dxa" w:w="44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IGST paid (rule 96, through customs)</w:t>
            </w:r>
          </w:p>
        </w:tc>
      </w:tr>
      <w:tr>
        <w:trPr>
          <w:cantSplit/>
        </w:trPr>
        <w:tc>
          <w:tcPr>
            <w:tcW w:type="dxa" w:w="5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Export of services or supply to SEZ with IGST</w:t>
            </w:r>
          </w:p>
        </w:tc>
        <w:tc>
          <w:tcPr>
            <w:tcW w:type="dxa" w:w="44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IGST paid (RFD-01)</w:t>
            </w:r>
          </w:p>
        </w:tc>
      </w:tr>
      <w:tr>
        <w:trPr>
          <w:cantSplit/>
        </w:trPr>
        <w:tc>
          <w:tcPr>
            <w:tcW w:type="dxa" w:w="5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Inverted duty structure</w:t>
            </w:r>
          </w:p>
        </w:tc>
        <w:tc>
          <w:tcPr>
            <w:tcW w:type="dxa" w:w="44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Unutilised ITC on inputs (rule 89(5))</w:t>
            </w:r>
          </w:p>
        </w:tc>
      </w:tr>
      <w:tr>
        <w:trPr>
          <w:cantSplit/>
        </w:trPr>
        <w:tc>
          <w:tcPr>
            <w:tcW w:type="dxa" w:w="5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Deemed exports</w:t>
            </w:r>
          </w:p>
        </w:tc>
        <w:tc>
          <w:tcPr>
            <w:tcW w:type="dxa" w:w="44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paid, claimed by supplier or recipient</w:t>
            </w:r>
          </w:p>
        </w:tc>
      </w:tr>
      <w:tr>
        <w:trPr>
          <w:cantSplit/>
        </w:trPr>
        <w:tc>
          <w:tcPr>
            <w:tcW w:type="dxa" w:w="5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Excess balance in cash ledger</w:t>
            </w:r>
          </w:p>
        </w:tc>
        <w:tc>
          <w:tcPr>
            <w:tcW w:type="dxa" w:w="44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Cash balance (section 49(6))</w:t>
            </w:r>
          </w:p>
        </w:tc>
      </w:tr>
      <w:tr>
        <w:trPr>
          <w:cantSplit/>
        </w:trPr>
        <w:tc>
          <w:tcPr>
            <w:tcW w:type="dxa" w:w="5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paid on a supply not made, wrong head of tax, or following an appellate order</w:t>
            </w:r>
          </w:p>
        </w:tc>
        <w:tc>
          <w:tcPr>
            <w:tcW w:type="dxa" w:w="44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paid</w:t>
            </w:r>
          </w:p>
        </w:tc>
      </w:tr>
    </w:tbl>
    <w:p>
      <w:pPr>
        <w:spacing w:after="60"/>
      </w:pPr>
    </w:p>
    <w:p>
      <w:pPr>
        <w:pStyle w:val="Heading2"/>
        <w:keepNext/>
        <w:spacing w:after="120" w:before="240"/>
      </w:pPr>
      <w:r>
        <w:rPr>
          <w:rFonts w:ascii="Verdana" w:cs="Verdana" w:eastAsia="Verdana" w:hAnsi="Verdana"/>
        </w:rPr>
        <w:t xml:space="preserve">26.1 Time limit and relevant date</w:t>
      </w:r>
    </w:p>
    <w:p>
      <w:pPr>
        <w:spacing w:after="120" w:line="276"/>
        <w:jc w:val="both"/>
      </w:pPr>
      <w:r>
        <w:rPr>
          <w:rFonts w:ascii="Verdana" w:cs="Verdana" w:eastAsia="Verdana" w:hAnsi="Verdana"/>
        </w:rPr>
        <w:t xml:space="preserve">A refund application must be filed within </w:t>
      </w:r>
      <w:r>
        <w:rPr>
          <w:rFonts w:ascii="Verdana" w:cs="Verdana" w:eastAsia="Verdana" w:hAnsi="Verdana"/>
          <w:b/>
          <w:bCs/>
        </w:rPr>
        <w:t xml:space="preserve">two years from the relevant date</w:t>
      </w:r>
      <w:r>
        <w:rPr>
          <w:rFonts w:ascii="Verdana" w:cs="Verdana" w:eastAsia="Verdana" w:hAnsi="Verdana"/>
        </w:rPr>
        <w:t xml:space="preserve"> (section 54(1)). Refund of cash ledger balance can be claimed at any time. The relevant date is defined in Explanation 2 to section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18"/>
        <w:gridCol w:w="5020"/>
      </w:tblGrid>
      <w:tr>
        <w:trPr>
          <w:cantSplit/>
          <w:tblHeader/>
        </w:trPr>
        <w:tc>
          <w:tcPr>
            <w:tcW w:type="dxa" w:w="461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Case</w:t>
            </w:r>
          </w:p>
        </w:tc>
        <w:tc>
          <w:tcPr>
            <w:tcW w:type="dxa" w:w="502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Relevant date</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Export of goods by sea or air</w:t>
            </w:r>
          </w:p>
        </w:tc>
        <w:tc>
          <w:tcPr>
            <w:tcW w:type="dxa" w:w="50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Date the ship or aircraft leaves India</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Export of goods by land / by post</w:t>
            </w:r>
          </w:p>
        </w:tc>
        <w:tc>
          <w:tcPr>
            <w:tcW w:type="dxa" w:w="50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Date goods pass the frontier / date of dispatch by the Post Office</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Deemed exports</w:t>
            </w:r>
          </w:p>
        </w:tc>
        <w:tc>
          <w:tcPr>
            <w:tcW w:type="dxa" w:w="50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Date of filing the return relating to the deemed export</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Export of services</w:t>
            </w:r>
          </w:p>
        </w:tc>
        <w:tc>
          <w:tcPr>
            <w:tcW w:type="dxa" w:w="50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Date of receipt of payment in foreign exchange (or invoice date if payment was received in advance)</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Unutilised ITC (zero-rated or inverted)</w:t>
            </w:r>
          </w:p>
        </w:tc>
        <w:tc>
          <w:tcPr>
            <w:tcW w:type="dxa" w:w="50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Due date for the return under section 39 for the period of the claim</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Supplies to SEZ with refund of tax or ITC</w:t>
            </w:r>
          </w:p>
        </w:tc>
        <w:tc>
          <w:tcPr>
            <w:tcW w:type="dxa" w:w="50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Due date for the return for the period of supply</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refunded following an order or judgment</w:t>
            </w:r>
          </w:p>
        </w:tc>
        <w:tc>
          <w:tcPr>
            <w:tcW w:type="dxa" w:w="50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Date of communication of the order</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Any other case</w:t>
            </w:r>
          </w:p>
        </w:tc>
        <w:tc>
          <w:tcPr>
            <w:tcW w:type="dxa" w:w="50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Date of payment of tax</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143: Two-year limit</w:t>
            </w:r>
          </w:p>
          <w:p>
            <w:pPr>
              <w:spacing w:after="60" w:line="260"/>
            </w:pPr>
            <w:r>
              <w:rPr>
                <w:rFonts w:ascii="Verdana" w:cs="Verdana" w:eastAsia="Verdana" w:hAnsi="Verdana"/>
                <w:sz w:val="20"/>
                <w:szCs w:val="20"/>
              </w:rPr>
              <w:t xml:space="preserve">Joshi Exports exported goods with payment of IGST; the vessel left Mundra on 14 October 2024. It also wants an inverted duty refund for its domestic unit for October 2024.</w:t>
            </w:r>
          </w:p>
          <w:p>
            <w:pPr>
              <w:spacing w:after="60" w:line="260"/>
            </w:pPr>
            <w:r>
              <w:rPr>
                <w:rFonts w:ascii="Verdana" w:cs="Verdana" w:eastAsia="Verdana" w:hAnsi="Verdana"/>
                <w:sz w:val="20"/>
                <w:szCs w:val="20"/>
              </w:rPr>
              <w:t xml:space="preserve">Step 1: For the IGST refund, the relevant date is 14 October 2024. Excluding that day (section 9 of the General Clauses Act, 1897), two years end on 14 October 2026.</w:t>
            </w:r>
          </w:p>
          <w:p>
            <w:pPr>
              <w:spacing w:after="60" w:line="260"/>
            </w:pPr>
            <w:r>
              <w:rPr>
                <w:rFonts w:ascii="Verdana" w:cs="Verdana" w:eastAsia="Verdana" w:hAnsi="Verdana"/>
                <w:sz w:val="20"/>
                <w:szCs w:val="20"/>
              </w:rPr>
              <w:t xml:space="preserve">Step 2: For the inverted duty refund for October 2024, the relevant date is the GSTR-3B due date, 20 November 2024. The claim must be filed by 20 November 2026.</w:t>
            </w:r>
          </w:p>
        </w:tc>
      </w:tr>
    </w:tbl>
    <w:p>
      <w:pPr>
        <w:spacing w:after="60"/>
      </w:pPr>
    </w:p>
    <w:p>
      <w:pPr>
        <w:pStyle w:val="Heading2"/>
        <w:keepNext/>
        <w:spacing w:after="120" w:before="240"/>
      </w:pPr>
      <w:r>
        <w:rPr>
          <w:rFonts w:ascii="Verdana" w:cs="Verdana" w:eastAsia="Verdana" w:hAnsi="Verdana"/>
        </w:rPr>
        <w:t xml:space="preserve">26.2 Process: RFD-01 to RFD-06</w:t>
      </w:r>
    </w:p>
    <w:p>
      <w:pPr>
        <w:spacing w:after="120" w:line="276"/>
        <w:jc w:val="both"/>
      </w:pPr>
      <w:r>
        <w:rPr>
          <w:rFonts w:ascii="Verdana" w:cs="Verdana" w:eastAsia="Verdana" w:hAnsi="Verdana"/>
        </w:rPr>
        <w:t xml:space="preserve">The claim is filed online in </w:t>
      </w:r>
      <w:r>
        <w:rPr>
          <w:rFonts w:ascii="Verdana" w:cs="Verdana" w:eastAsia="Verdana" w:hAnsi="Verdana"/>
          <w:b/>
          <w:bCs/>
        </w:rPr>
        <w:t xml:space="preserve">RFD-01</w:t>
      </w:r>
      <w:r>
        <w:rPr>
          <w:rFonts w:ascii="Verdana" w:cs="Verdana" w:eastAsia="Verdana" w:hAnsi="Verdana"/>
        </w:rPr>
        <w:t xml:space="preserve"> with the prescribed statements and documents. Within 15 days the officer either acknowledges it in </w:t>
      </w:r>
      <w:r>
        <w:rPr>
          <w:rFonts w:ascii="Verdana" w:cs="Verdana" w:eastAsia="Verdana" w:hAnsi="Verdana"/>
          <w:b/>
          <w:bCs/>
        </w:rPr>
        <w:t xml:space="preserve">RFD-02</w:t>
      </w:r>
      <w:r>
        <w:rPr>
          <w:rFonts w:ascii="Verdana" w:cs="Verdana" w:eastAsia="Verdana" w:hAnsi="Verdana"/>
        </w:rPr>
        <w:t xml:space="preserve"> or issues a deficiency memo in </w:t>
      </w:r>
      <w:r>
        <w:rPr>
          <w:rFonts w:ascii="Verdana" w:cs="Verdana" w:eastAsia="Verdana" w:hAnsi="Verdana"/>
          <w:b/>
          <w:bCs/>
        </w:rPr>
        <w:t xml:space="preserve">RFD-03</w:t>
      </w:r>
      <w:r>
        <w:rPr>
          <w:rFonts w:ascii="Verdana" w:cs="Verdana" w:eastAsia="Verdana" w:hAnsi="Verdana"/>
        </w:rPr>
        <w:t xml:space="preserve">. After a memo, a fresh application is filed, and the time taken by the first one is excluded from the two years. The officer passes the final order in </w:t>
      </w:r>
      <w:r>
        <w:rPr>
          <w:rFonts w:ascii="Verdana" w:cs="Verdana" w:eastAsia="Verdana" w:hAnsi="Verdana"/>
          <w:b/>
          <w:bCs/>
        </w:rPr>
        <w:t xml:space="preserve">RFD-06 within 60 days</w:t>
      </w:r>
      <w:r>
        <w:rPr>
          <w:rFonts w:ascii="Verdana" w:cs="Verdana" w:eastAsia="Verdana" w:hAnsi="Verdana"/>
        </w:rPr>
        <w:t xml:space="preserve"> of receipt of a complete application (section 54(7)), and payment is made through </w:t>
      </w:r>
      <w:r>
        <w:rPr>
          <w:rFonts w:ascii="Verdana" w:cs="Verdana" w:eastAsia="Verdana" w:hAnsi="Verdana"/>
          <w:b/>
          <w:bCs/>
        </w:rPr>
        <w:t xml:space="preserve">RFD-05</w:t>
      </w:r>
      <w:r>
        <w:rPr>
          <w:rFonts w:ascii="Verdana" w:cs="Verdana" w:eastAsia="Verdana" w:hAnsi="Verdana"/>
        </w:rPr>
        <w:t xml:space="preserve">. Rejection needs a prior notice in </w:t>
      </w:r>
      <w:r>
        <w:rPr>
          <w:rFonts w:ascii="Verdana" w:cs="Verdana" w:eastAsia="Verdana" w:hAnsi="Verdana"/>
          <w:b/>
          <w:bCs/>
        </w:rPr>
        <w:t xml:space="preserve">RFD-08</w:t>
      </w:r>
      <w:r>
        <w:rPr>
          <w:rFonts w:ascii="Verdana" w:cs="Verdana" w:eastAsia="Verdana" w:hAnsi="Verdana"/>
        </w:rPr>
        <w:t xml:space="preserve">.</w:t>
      </w:r>
    </w:p>
    <w:p>
      <w:pPr>
        <w:spacing w:after="120" w:line="276"/>
        <w:jc w:val="both"/>
      </w:pPr>
      <w:r>
        <w:rPr>
          <w:rFonts w:ascii="Verdana" w:cs="Verdana" w:eastAsia="Verdana" w:hAnsi="Verdana"/>
          <w:b/>
          <w:bCs/>
        </w:rPr>
        <w:t xml:space="preserve">Provisional refund.</w:t>
      </w:r>
      <w:r>
        <w:rPr>
          <w:rFonts w:ascii="Verdana" w:cs="Verdana" w:eastAsia="Verdana" w:hAnsi="Verdana"/>
        </w:rPr>
        <w:t xml:space="preserve"> For zero-rated supplies, 90% of the claim is paid provisionally in </w:t>
      </w:r>
      <w:r>
        <w:rPr>
          <w:rFonts w:ascii="Verdana" w:cs="Verdana" w:eastAsia="Verdana" w:hAnsi="Verdana"/>
          <w:b/>
          <w:bCs/>
        </w:rPr>
        <w:t xml:space="preserve">RFD-04</w:t>
      </w:r>
      <w:r>
        <w:rPr>
          <w:rFonts w:ascii="Verdana" w:cs="Verdana" w:eastAsia="Verdana" w:hAnsi="Verdana"/>
        </w:rPr>
        <w:t xml:space="preserve"> within 7 days of acknowledgement (section 54(6), rule 91). The Finance Act, 2026 amended section 54 to extend the 90% provisional refund to inverted duty claims and to remove the Rs. 1,000 minimum for export refunds with payment of tax, but these amendments had not been notified as on 28 September 2026. Meanwhile, from October 2025, CBIC grants 90% provisional refunds on system-based risk evaluation for zero-rated and inverted duty claims, except high-risk applicants.</w:t>
      </w:r>
    </w:p>
    <w:p>
      <w:pPr>
        <w:spacing w:after="120" w:line="276"/>
        <w:jc w:val="both"/>
      </w:pPr>
      <w:r>
        <w:rPr>
          <w:rFonts w:ascii="Verdana" w:cs="Verdana" w:eastAsia="Verdana" w:hAnsi="Verdana"/>
          <w:b/>
          <w:bCs/>
        </w:rPr>
        <w:t xml:space="preserve">Withholding.</w:t>
      </w:r>
      <w:r>
        <w:rPr>
          <w:rFonts w:ascii="Verdana" w:cs="Verdana" w:eastAsia="Verdana" w:hAnsi="Verdana"/>
        </w:rPr>
        <w:t xml:space="preserve"> The Commissioner may withhold refund where the taxpayer has not filed returns or paid tax, interest or penalty that is not stayed (section 54(10)), or where an order granting refund is under appeal and he believes release would harm revenue (section 54(11)).</w:t>
      </w:r>
    </w:p>
    <w:p>
      <w:pPr>
        <w:pStyle w:val="Heading2"/>
        <w:keepNext/>
        <w:spacing w:after="120" w:before="240"/>
      </w:pPr>
      <w:r>
        <w:rPr>
          <w:rFonts w:ascii="Verdana" w:cs="Verdana" w:eastAsia="Verdana" w:hAnsi="Verdana"/>
        </w:rPr>
        <w:t xml:space="preserve">26.3 Interest on delayed refund (section 56)</w:t>
      </w:r>
    </w:p>
    <w:p>
      <w:pPr>
        <w:spacing w:after="120" w:line="276"/>
        <w:jc w:val="both"/>
      </w:pPr>
      <w:r>
        <w:rPr>
          <w:rFonts w:ascii="Verdana" w:cs="Verdana" w:eastAsia="Verdana" w:hAnsi="Verdana"/>
        </w:rPr>
        <w:t xml:space="preserve">If refund is not paid within 60 days from receipt of the application, interest at </w:t>
      </w:r>
      <w:r>
        <w:rPr>
          <w:rFonts w:ascii="Verdana" w:cs="Verdana" w:eastAsia="Verdana" w:hAnsi="Verdana"/>
          <w:b/>
          <w:bCs/>
        </w:rPr>
        <w:t xml:space="preserve">6%</w:t>
      </w:r>
      <w:r>
        <w:rPr>
          <w:rFonts w:ascii="Verdana" w:cs="Verdana" w:eastAsia="Verdana" w:hAnsi="Verdana"/>
        </w:rPr>
        <w:t xml:space="preserve"> is payable from the day after the 60 days end to the date of refund. Where refund arises from an order of an adjudicating authority, appellate authority, tribunal or court that has attained finality, and is not paid within 60 days of the application filed after that order, the rate is </w:t>
      </w:r>
      <w:r>
        <w:rPr>
          <w:rFonts w:ascii="Verdana" w:cs="Verdana" w:eastAsia="Verdana" w:hAnsi="Verdana"/>
          <w:b/>
          <w:bCs/>
        </w:rPr>
        <w:t xml:space="preserve">9%</w:t>
      </w:r>
      <w:r>
        <w:rPr>
          <w:rFonts w:ascii="Verdana" w:cs="Verdana" w:eastAsia="Verdana" w:hAnsi="Verdana"/>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Interest runs from the statutory date</w:t>
            </w:r>
          </w:p>
          <w:p>
            <w:pPr>
              <w:spacing w:after="60" w:line="260"/>
            </w:pPr>
            <w:r>
              <w:rPr>
                <w:rFonts w:ascii="Verdana" w:cs="Verdana" w:eastAsia="Verdana" w:hAnsi="Verdana"/>
                <w:b/>
                <w:bCs/>
                <w:sz w:val="20"/>
                <w:szCs w:val="20"/>
              </w:rPr>
              <w:t xml:space="preserve">Ranbaxy Laboratories Ltd. v. Union of India (Supreme Court, 2011):</w:t>
            </w:r>
            <w:r>
              <w:rPr>
                <w:rFonts w:ascii="Verdana" w:cs="Verdana" w:eastAsia="Verdana" w:hAnsi="Verdana"/>
                <w:sz w:val="20"/>
                <w:szCs w:val="20"/>
              </w:rPr>
              <w:t xml:space="preserve"> Under section 11BB of the Central Excise Act, interest on delayed refund runs from the expiry of three months from the date of the application, not from the date of the order allowing refund. The principle carries over to section 56: interest runs from the end of 60 days from receipt of the application.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144: Interest on delayed refund</w:t>
            </w:r>
          </w:p>
          <w:p>
            <w:pPr>
              <w:spacing w:after="60" w:line="260"/>
            </w:pPr>
            <w:r>
              <w:rPr>
                <w:rFonts w:ascii="Verdana" w:cs="Verdana" w:eastAsia="Verdana" w:hAnsi="Verdana"/>
                <w:sz w:val="20"/>
                <w:szCs w:val="20"/>
              </w:rPr>
              <w:t xml:space="preserve">A refund application of Pillai Spices for Rs. 5,00,000 is received on 1 March 2026. The refund is paid on 29 July 2026.</w:t>
            </w:r>
          </w:p>
          <w:p>
            <w:pPr>
              <w:spacing w:after="60" w:line="260"/>
            </w:pPr>
            <w:r>
              <w:rPr>
                <w:rFonts w:ascii="Verdana" w:cs="Verdana" w:eastAsia="Verdana" w:hAnsi="Verdana"/>
                <w:sz w:val="20"/>
                <w:szCs w:val="20"/>
              </w:rPr>
              <w:t xml:space="preserve">Step 1: 60 days from 1 March 2026 end on 30 April 2026.</w:t>
            </w:r>
          </w:p>
          <w:p>
            <w:pPr>
              <w:spacing w:after="60" w:line="260"/>
            </w:pPr>
            <w:r>
              <w:rPr>
                <w:rFonts w:ascii="Verdana" w:cs="Verdana" w:eastAsia="Verdana" w:hAnsi="Verdana"/>
                <w:sz w:val="20"/>
                <w:szCs w:val="20"/>
              </w:rPr>
              <w:t xml:space="preserve">Step 2: Interest period = 1 May to 29 July 2026 = 90 days.</w:t>
            </w:r>
          </w:p>
          <w:p>
            <w:pPr>
              <w:spacing w:after="60" w:line="260"/>
            </w:pPr>
            <w:r>
              <w:rPr>
                <w:rFonts w:ascii="Verdana" w:cs="Verdana" w:eastAsia="Verdana" w:hAnsi="Verdana"/>
                <w:sz w:val="20"/>
                <w:szCs w:val="20"/>
              </w:rPr>
              <w:t xml:space="preserve">Step 3: Interest = Rs. 5,00,000 x 6% x 90 / 365 = Rs. 7,397.</w:t>
            </w:r>
          </w:p>
        </w:tc>
      </w:tr>
    </w:tbl>
    <w:p>
      <w:pPr>
        <w:spacing w:after="60"/>
      </w:pPr>
    </w:p>
    <w:p>
      <w:pPr>
        <w:pStyle w:val="Heading2"/>
        <w:keepNext/>
        <w:spacing w:after="120" w:before="240"/>
      </w:pPr>
      <w:r>
        <w:rPr>
          <w:rFonts w:ascii="Verdana" w:cs="Verdana" w:eastAsia="Verdana" w:hAnsi="Verdana"/>
        </w:rPr>
        <w:t xml:space="preserve">26.4 Unjust enrichment</w:t>
      </w:r>
    </w:p>
    <w:p>
      <w:pPr>
        <w:spacing w:after="120" w:line="276"/>
        <w:jc w:val="both"/>
      </w:pPr>
      <w:r>
        <w:rPr>
          <w:rFonts w:ascii="Verdana" w:cs="Verdana" w:eastAsia="Verdana" w:hAnsi="Verdana"/>
        </w:rPr>
        <w:t xml:space="preserve">Under section 54(8), refund is paid to the applicant only if the incidence of tax has not been passed on to another person, or in specified cases such as exports, inverted duty, supplies to SEZ, and tax paid on a supply not made. In other cases the amount goes to the Consumer Welfare Fund. A claim above Rs. 2 lakh must be supported by a chartered accountant's or cost accountant's certificate that the incidence has not been passed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The doctrine of unjust enrichment</w:t>
            </w:r>
          </w:p>
          <w:p>
            <w:pPr>
              <w:spacing w:after="60" w:line="260"/>
            </w:pPr>
            <w:r>
              <w:rPr>
                <w:rFonts w:ascii="Verdana" w:cs="Verdana" w:eastAsia="Verdana" w:hAnsi="Verdana"/>
                <w:b/>
                <w:bCs/>
                <w:sz w:val="20"/>
                <w:szCs w:val="20"/>
              </w:rPr>
              <w:t xml:space="preserve">Mafatlal Industries Ltd. v. Union of India (Supreme Court, 1997, nine-judge bench):</w:t>
            </w:r>
            <w:r>
              <w:rPr>
                <w:rFonts w:ascii="Verdana" w:cs="Verdana" w:eastAsia="Verdana" w:hAnsi="Verdana"/>
                <w:sz w:val="20"/>
                <w:szCs w:val="20"/>
              </w:rPr>
              <w:t xml:space="preserve"> A claim for refund of duty, whether under the statute or by suit or writ, succeeds only if the claimant has not passed on the burden to others. Section 54(8) of the CGST Act carries this principle into GST.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145: Excess tax charged to customers</w:t>
            </w:r>
          </w:p>
          <w:p>
            <w:pPr>
              <w:spacing w:after="60" w:line="260"/>
            </w:pPr>
            <w:r>
              <w:rPr>
                <w:rFonts w:ascii="Verdana" w:cs="Verdana" w:eastAsia="Verdana" w:hAnsi="Verdana"/>
                <w:sz w:val="20"/>
                <w:szCs w:val="20"/>
              </w:rPr>
              <w:t xml:space="preserve">Singh Motors charged 28% instead of 18% on spare parts of Rs. 5,00,000 sold to retail customers, collecting Rs. 50,000 extra tax.</w:t>
            </w:r>
          </w:p>
          <w:p>
            <w:pPr>
              <w:spacing w:after="60" w:line="260"/>
            </w:pPr>
            <w:r>
              <w:rPr>
                <w:rFonts w:ascii="Verdana" w:cs="Verdana" w:eastAsia="Verdana" w:hAnsi="Verdana"/>
                <w:sz w:val="20"/>
                <w:szCs w:val="20"/>
              </w:rPr>
              <w:t xml:space="preserve">Result: The incidence was passed on, so any refund goes to the Consumer Welfare Fund. Credit notes to customers within time would have allowed Singh Motors to adjust the tax.</w:t>
            </w:r>
          </w:p>
        </w:tc>
      </w:tr>
    </w:tbl>
    <w:p>
      <w:pPr>
        <w:spacing w:after="60"/>
      </w:pPr>
    </w:p>
    <w:p>
      <w:pPr>
        <w:pStyle w:val="Heading2"/>
        <w:keepNext/>
        <w:spacing w:after="120" w:before="240"/>
      </w:pPr>
      <w:r>
        <w:rPr>
          <w:rFonts w:ascii="Verdana" w:cs="Verdana" w:eastAsia="Verdana" w:hAnsi="Verdana"/>
        </w:rPr>
        <w:t xml:space="preserve">26.5 Refund of ITC on exports under LUT (rule 89(4))</w:t>
      </w:r>
    </w:p>
    <w:p>
      <w:pPr>
        <w:spacing w:after="120" w:line="276"/>
        <w:jc w:val="both"/>
      </w:pPr>
      <w:r>
        <w:rPr>
          <w:rFonts w:ascii="Verdana" w:cs="Verdana" w:eastAsia="Verdana" w:hAnsi="Verdana"/>
        </w:rPr>
        <w:t xml:space="preserve">Refund = (Turnover of zero-rated supply x Net ITC) / Adjusted total turnover. For goods, the turnover of zero-rated supply is the export value or </w:t>
      </w:r>
      <w:r>
        <w:rPr>
          <w:rFonts w:ascii="Verdana" w:cs="Verdana" w:eastAsia="Verdana" w:hAnsi="Verdana"/>
          <w:b/>
          <w:bCs/>
        </w:rPr>
        <w:t xml:space="preserve">150% of the value of like goods supplied domestically</w:t>
      </w:r>
      <w:r>
        <w:rPr>
          <w:rFonts w:ascii="Verdana" w:cs="Verdana" w:eastAsia="Verdana" w:hAnsi="Verdana"/>
        </w:rPr>
        <w:t xml:space="preserve"> by the same or a similarly placed supplier, whichever is less. CBIC clarified in 2021 that the capped value is also used in adjusted total turnover. The cap stops over-invoicing of exports.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146: Export refund with the 150% cap</w:t>
            </w:r>
          </w:p>
          <w:p>
            <w:pPr>
              <w:spacing w:after="60" w:line="260"/>
            </w:pPr>
            <w:r>
              <w:rPr>
                <w:rFonts w:ascii="Verdana" w:cs="Verdana" w:eastAsia="Verdana" w:hAnsi="Verdana"/>
                <w:sz w:val="20"/>
                <w:szCs w:val="20"/>
              </w:rPr>
              <w:t xml:space="preserve">Kiran Leather Exports makes zero-rated exports under LUT of Rs. 60,00,000 and domestic taxable sales of Rs. 40,00,000 in a quarter. The domestic value of like goods is Rs. 35,00,000. Net ITC on inputs and input services is Rs. 12,00,000.</w:t>
            </w:r>
          </w:p>
          <w:p>
            <w:pPr>
              <w:spacing w:after="60" w:line="260"/>
            </w:pPr>
            <w:r>
              <w:rPr>
                <w:rFonts w:ascii="Verdana" w:cs="Verdana" w:eastAsia="Verdana" w:hAnsi="Verdana"/>
                <w:sz w:val="20"/>
                <w:szCs w:val="20"/>
              </w:rPr>
              <w:t xml:space="preserve">Step 1: 150% of Rs. 35,00,000 = Rs. 52,50,000, which is less than Rs. 60,00,000. Turnover of zero-rated supply = Rs. 52,50,000.</w:t>
            </w:r>
          </w:p>
          <w:p>
            <w:pPr>
              <w:spacing w:after="60" w:line="260"/>
            </w:pPr>
            <w:r>
              <w:rPr>
                <w:rFonts w:ascii="Verdana" w:cs="Verdana" w:eastAsia="Verdana" w:hAnsi="Verdana"/>
                <w:sz w:val="20"/>
                <w:szCs w:val="20"/>
              </w:rPr>
              <w:t xml:space="preserve">Step 2: Adjusted total turnover = Rs. 52,50,000 + Rs. 40,00,000 = Rs. 92,50,000.</w:t>
            </w:r>
          </w:p>
          <w:p>
            <w:pPr>
              <w:spacing w:after="60" w:line="260"/>
            </w:pPr>
            <w:r>
              <w:rPr>
                <w:rFonts w:ascii="Verdana" w:cs="Verdana" w:eastAsia="Verdana" w:hAnsi="Verdana"/>
                <w:sz w:val="20"/>
                <w:szCs w:val="20"/>
              </w:rPr>
              <w:t xml:space="preserve">Step 3: Refund = Rs. 52,50,000 x Rs. 12,00,000 / Rs. 92,50,000 = Rs. 6,81,081.</w:t>
            </w:r>
          </w:p>
          <w:p>
            <w:pPr>
              <w:spacing w:after="60" w:line="260"/>
            </w:pPr>
            <w:r>
              <w:rPr>
                <w:rFonts w:ascii="Verdana" w:cs="Verdana" w:eastAsia="Verdana" w:hAnsi="Verdana"/>
                <w:sz w:val="20"/>
                <w:szCs w:val="20"/>
              </w:rPr>
              <w:t xml:space="preserve">Result: Without the cap the refund would be Rs. 60,00,000 x Rs. 12,00,000 / Rs. 1,00,00,000 = Rs. 7,20,000. The cap reduces it by Rs. 38,919.</w:t>
            </w:r>
          </w:p>
        </w:tc>
      </w:tr>
    </w:tbl>
    <w:p>
      <w:pPr>
        <w:spacing w:after="60"/>
      </w:pPr>
    </w:p>
    <w:p>
      <w:pPr>
        <w:pStyle w:val="Heading2"/>
        <w:keepNext/>
        <w:spacing w:after="120" w:before="240"/>
      </w:pPr>
      <w:r>
        <w:rPr>
          <w:rFonts w:ascii="Verdana" w:cs="Verdana" w:eastAsia="Verdana" w:hAnsi="Verdana"/>
        </w:rPr>
        <w:t xml:space="preserve">26.6 Inverted duty refund (rule 89(5))</w:t>
      </w:r>
    </w:p>
    <w:p>
      <w:pPr>
        <w:spacing w:after="120" w:line="276"/>
        <w:jc w:val="both"/>
      </w:pPr>
      <w:r>
        <w:rPr>
          <w:rFonts w:ascii="Verdana" w:cs="Verdana" w:eastAsia="Verdana" w:hAnsi="Verdana"/>
        </w:rPr>
        <w:t xml:space="preserve">Section 54(3)(ii) allows refund where the rate on inputs is higher than the rate on output supplies, except for supplies that are nil-rated or fully exempt and goods notified as ineligible. Only ITC on </w:t>
      </w:r>
      <w:r>
        <w:rPr>
          <w:rFonts w:ascii="Verdana" w:cs="Verdana" w:eastAsia="Verdana" w:hAnsi="Verdana"/>
          <w:b/>
          <w:bCs/>
        </w:rPr>
        <w:t xml:space="preserve">inputs</w:t>
      </w:r>
      <w:r>
        <w:rPr>
          <w:rFonts w:ascii="Verdana" w:cs="Verdana" w:eastAsia="Verdana" w:hAnsi="Verdana"/>
        </w:rPr>
        <w:t xml:space="preserve"> is refunded; credit on input services and capital goods is not. The formula, amended with effect from 5 July 2022, is: Maximum refund = (Turnover of inverted rated supply x Net ITC / Adjusted total turnover) minus (Tax payable on inverted rated supply x Net ITC / ITC availed on inputs and input services). Net ITC means ITC on inputs.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147: Inverted duty refund</w:t>
            </w:r>
          </w:p>
          <w:p>
            <w:pPr>
              <w:spacing w:after="60" w:line="260"/>
            </w:pPr>
            <w:r>
              <w:rPr>
                <w:rFonts w:ascii="Verdana" w:cs="Verdana" w:eastAsia="Verdana" w:hAnsi="Verdana"/>
                <w:sz w:val="20"/>
                <w:szCs w:val="20"/>
              </w:rPr>
              <w:t xml:space="preserve">Rathore Fabrics makes only fabric taxable at 5%, turnover Rs. 1,00,00,000, tax payable Rs. 5,00,000. ITC on dyes and chemicals (inputs at 18%) is Rs. 12,00,000; ITC on input services is Rs. 1,00,000.</w:t>
            </w:r>
          </w:p>
          <w:p>
            <w:pPr>
              <w:spacing w:after="60" w:line="260"/>
            </w:pPr>
            <w:r>
              <w:rPr>
                <w:rFonts w:ascii="Verdana" w:cs="Verdana" w:eastAsia="Verdana" w:hAnsi="Verdana"/>
                <w:sz w:val="20"/>
                <w:szCs w:val="20"/>
              </w:rPr>
              <w:t xml:space="preserve">Step 1: First part = Rs. 1,00,00,000 x Rs. 12,00,000 / Rs. 1,00,00,000 = Rs. 12,00,000.</w:t>
            </w:r>
          </w:p>
          <w:p>
            <w:pPr>
              <w:spacing w:after="60" w:line="260"/>
            </w:pPr>
            <w:r>
              <w:rPr>
                <w:rFonts w:ascii="Verdana" w:cs="Verdana" w:eastAsia="Verdana" w:hAnsi="Verdana"/>
                <w:sz w:val="20"/>
                <w:szCs w:val="20"/>
              </w:rPr>
              <w:t xml:space="preserve">Step 2: Second part = Rs. 5,00,000 x Rs. 12,00,000 / Rs. 13,00,000 = Rs. 4,61,538.</w:t>
            </w:r>
          </w:p>
          <w:p>
            <w:pPr>
              <w:spacing w:after="60" w:line="260"/>
            </w:pPr>
            <w:r>
              <w:rPr>
                <w:rFonts w:ascii="Verdana" w:cs="Verdana" w:eastAsia="Verdana" w:hAnsi="Verdana"/>
                <w:sz w:val="20"/>
                <w:szCs w:val="20"/>
              </w:rPr>
              <w:t xml:space="preserve">Step 3: Maximum refund = Rs. 12,00,000 minus Rs. 4,61,538 = Rs. 7,38,462.</w:t>
            </w:r>
          </w:p>
          <w:p>
            <w:pPr>
              <w:spacing w:after="60" w:line="260"/>
            </w:pPr>
            <w:r>
              <w:rPr>
                <w:rFonts w:ascii="Verdana" w:cs="Verdana" w:eastAsia="Verdana" w:hAnsi="Verdana"/>
                <w:sz w:val="20"/>
                <w:szCs w:val="20"/>
              </w:rPr>
              <w:t xml:space="preserve">Result: The pre-July 2022 formula gave Rs. 12,00,000 minus Rs. 5,00,000 = Rs. 7,00,000. The amended formula spreads the output tax between inputs and input services and gives Rs. 38,462 more.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Input services excluded from inverted duty refund</w:t>
            </w:r>
          </w:p>
          <w:p>
            <w:pPr>
              <w:spacing w:after="60" w:line="260"/>
            </w:pPr>
            <w:r>
              <w:rPr>
                <w:rFonts w:ascii="Verdana" w:cs="Verdana" w:eastAsia="Verdana" w:hAnsi="Verdana"/>
                <w:b/>
                <w:bCs/>
                <w:sz w:val="20"/>
                <w:szCs w:val="20"/>
              </w:rPr>
              <w:t xml:space="preserve">Union of India v. VKC Footsteps India (P) Ltd. (Supreme Court, 2021):</w:t>
            </w:r>
            <w:r>
              <w:rPr>
                <w:rFonts w:ascii="Verdana" w:cs="Verdana" w:eastAsia="Verdana" w:hAnsi="Verdana"/>
                <w:sz w:val="20"/>
                <w:szCs w:val="20"/>
              </w:rPr>
              <w:t xml:space="preserve"> Section 54(3)(ii) and Explanation (a) to rule 89(5), which confine refund to unutilised credit on inputs and exclude input services, are valid. Refund is a matter of statutory policy, and the legislature may choose which credit to refund. The Court left the formula's anomalies to the GST Council, which led to the 2022 amendment.</w:t>
            </w:r>
          </w:p>
        </w:tc>
      </w:tr>
    </w:tbl>
    <w:p>
      <w:pPr>
        <w:spacing w:after="60"/>
      </w:pPr>
    </w:p>
    <w:p>
      <w:pPr>
        <w:spacing w:after="120" w:line="276"/>
        <w:jc w:val="both"/>
      </w:pPr>
      <w:r>
        <w:rPr>
          <w:rFonts w:ascii="Verdana" w:cs="Verdana" w:eastAsia="Verdana" w:hAnsi="Verdana"/>
          <w:b/>
          <w:bCs/>
        </w:rPr>
        <w:t xml:space="preserve">Same rate inputs and outputs.</w:t>
      </w:r>
      <w:r>
        <w:rPr>
          <w:rFonts w:ascii="Verdana" w:cs="Verdana" w:eastAsia="Verdana" w:hAnsi="Verdana"/>
        </w:rPr>
        <w:t xml:space="preserve"> Credit may accumulate even where inputs and outputs carry the same rate, because of falling prices or stock build-up. No refund is available: a CBIC circular of March 2020 clarified that section 54(3)(ii) covers only a difference in rates.</w:t>
      </w:r>
    </w:p>
    <w:p>
      <w:pPr>
        <w:spacing w:after="120" w:line="276"/>
        <w:jc w:val="both"/>
      </w:pPr>
      <w:r>
        <w:rPr>
          <w:rFonts w:ascii="Verdana" w:cs="Verdana" w:eastAsia="Verdana" w:hAnsi="Verdana"/>
          <w:b/>
          <w:bCs/>
        </w:rPr>
        <w:t xml:space="preserve">After GST 2.0.</w:t>
      </w:r>
      <w:r>
        <w:rPr>
          <w:rFonts w:ascii="Verdana" w:cs="Verdana" w:eastAsia="Verdana" w:hAnsi="Verdana"/>
        </w:rPr>
        <w:t xml:space="preserve"> The rate cuts of 22 September 2025 moved many outputs from 12% to 5% while inputs such as chemicals and packing stayed at 18%, creating inverted structures in packaged foods, tractors and farm machinery, and some textile goods. Refund under rule 89(5) is available subject to the notified ineligible goods. Credit accumulated before the rate change is not lapsed and need not be reversed merely because the rate fell; it is reversed only where the output becomes exempt (section 17(2) or 18(4)).</w:t>
      </w:r>
    </w:p>
    <w:p>
      <w:pPr>
        <w:pStyle w:val="Heading2"/>
        <w:keepNext/>
        <w:spacing w:after="120" w:before="240"/>
      </w:pPr>
      <w:r>
        <w:rPr>
          <w:rFonts w:ascii="Verdana" w:cs="Verdana" w:eastAsia="Verdana" w:hAnsi="Verdana"/>
        </w:rPr>
        <w:t xml:space="preserve">26.7 IGST refund on exports and SEZ supplies</w:t>
      </w:r>
    </w:p>
    <w:p>
      <w:pPr>
        <w:spacing w:after="120" w:line="276"/>
        <w:jc w:val="both"/>
      </w:pPr>
      <w:r>
        <w:rPr>
          <w:rFonts w:ascii="Verdana" w:cs="Verdana" w:eastAsia="Verdana" w:hAnsi="Verdana"/>
        </w:rPr>
        <w:t xml:space="preserve">For export of goods with payment of IGST, the </w:t>
      </w:r>
      <w:r>
        <w:rPr>
          <w:rFonts w:ascii="Verdana" w:cs="Verdana" w:eastAsia="Verdana" w:hAnsi="Verdana"/>
          <w:b/>
          <w:bCs/>
        </w:rPr>
        <w:t xml:space="preserve">shipping bill itself is the refund application</w:t>
      </w:r>
      <w:r>
        <w:rPr>
          <w:rFonts w:ascii="Verdana" w:cs="Verdana" w:eastAsia="Verdana" w:hAnsi="Verdana"/>
        </w:rPr>
        <w:t xml:space="preserve"> (rule 96). It is treated as filed once the export general manifest (EGM) is filed and GSTR-3B is filed for the period. Table 6A of GSTR-1 is matched with the shipping bill on ICEGATE and the refund goes to the bank account registered with customs. Common errors: invoice number or date in GSTR-1 differing from the shipping bill, GSTIN mismatch, EGM missing or wrong, IGST in GSTR-1 lower than in the shipping bill, and an unvalidated bank account. Reconcile shipping bills with GSTR-1 monthly. Rule 96(10), which barred IGST-paid exports by exporters using certain import duty benefits, was omitted from October 2024 prospectively; claims for earlier periods remain subject to litigation.</w:t>
      </w:r>
    </w:p>
    <w:p>
      <w:pPr>
        <w:spacing w:after="120" w:line="276"/>
        <w:jc w:val="both"/>
      </w:pPr>
      <w:r>
        <w:rPr>
          <w:rFonts w:ascii="Verdana" w:cs="Verdana" w:eastAsia="Verdana" w:hAnsi="Verdana"/>
          <w:b/>
          <w:bCs/>
        </w:rPr>
        <w:t xml:space="preserve">SEZ suppliers.</w:t>
      </w:r>
      <w:r>
        <w:rPr>
          <w:rFonts w:ascii="Verdana" w:cs="Verdana" w:eastAsia="Verdana" w:hAnsi="Verdana"/>
        </w:rPr>
        <w:t xml:space="preserve"> A supplier to an SEZ unit or developer for authorised operations can supply under LUT and claim refund of ITC, or pay IGST and claim refund of the tax. The supplier claims, with the SEZ officer's endorsement that goods were admitted in full or evidence that services were received.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Refund is claimed within two years from the relevant date; for ITC refunds, the return due date for the period.</w:t>
            </w:r>
          </w:p>
          <w:p>
            <w:pPr>
              <w:spacing w:after="60" w:line="260"/>
            </w:pPr>
            <w:r>
              <w:rPr>
                <w:rFonts w:ascii="Verdana" w:cs="Verdana" w:eastAsia="Verdana" w:hAnsi="Verdana"/>
                <w:sz w:val="20"/>
                <w:szCs w:val="20"/>
              </w:rPr>
              <w:t xml:space="preserve">•  RFD-06 within 60 days of a complete RFD-01; interest at 6% (9% for appellate orders) thereafter.</w:t>
            </w:r>
          </w:p>
          <w:p>
            <w:pPr>
              <w:spacing w:after="60" w:line="260"/>
            </w:pPr>
            <w:r>
              <w:rPr>
                <w:rFonts w:ascii="Verdana" w:cs="Verdana" w:eastAsia="Verdana" w:hAnsi="Verdana"/>
                <w:sz w:val="20"/>
                <w:szCs w:val="20"/>
              </w:rPr>
              <w:t xml:space="preserve">•  90% provisional refund for zero-rated supplies; the Finance Act, 2026 extension to inverted duty is not yet notified.</w:t>
            </w:r>
          </w:p>
          <w:p>
            <w:pPr>
              <w:spacing w:after="60" w:line="260"/>
            </w:pPr>
            <w:r>
              <w:rPr>
                <w:rFonts w:ascii="Verdana" w:cs="Verdana" w:eastAsia="Verdana" w:hAnsi="Verdana"/>
                <w:sz w:val="20"/>
                <w:szCs w:val="20"/>
              </w:rPr>
              <w:t xml:space="preserve">•  Unjust enrichment bars refund where tax was passed on (Mafatlal), except for exports, inverted duty and similar cases.</w:t>
            </w:r>
          </w:p>
          <w:p>
            <w:pPr>
              <w:spacing w:after="60" w:line="260"/>
            </w:pPr>
            <w:r>
              <w:rPr>
                <w:rFonts w:ascii="Verdana" w:cs="Verdana" w:eastAsia="Verdana" w:hAnsi="Verdana"/>
                <w:sz w:val="20"/>
                <w:szCs w:val="20"/>
              </w:rPr>
              <w:t xml:space="preserve">•  Rule 89(4) caps export turnover of goods at 150% of domestic value; rule 89(5) refunds only input credit (VKC Footsteps) under the 2022 formula.</w:t>
            </w:r>
          </w:p>
          <w:p>
            <w:pPr>
              <w:spacing w:after="60" w:line="260"/>
            </w:pPr>
            <w:r>
              <w:rPr>
                <w:rFonts w:ascii="Verdana" w:cs="Verdana" w:eastAsia="Verdana" w:hAnsi="Verdana"/>
                <w:sz w:val="20"/>
                <w:szCs w:val="20"/>
              </w:rPr>
              <w:t xml:space="preserve">•  IGST export refunds depend on matching GSTR-1 Table 6A with the shipping bill and EGM.</w:t>
            </w:r>
          </w:p>
        </w:tc>
      </w:tr>
    </w:tbl>
    <w:p>
      <w:pPr>
        <w:pStyle w:val="TocPart"/>
        <w:pageBreakBefore/>
        <w:shd w:fill="92400E" w:color="auto" w:val="clear"/>
        <w:spacing w:after="0" w:before="0"/>
        <w:ind w:left="0"/>
      </w:pPr>
      <w:r>
        <w:rPr>
          <w:rFonts w:ascii="Verdana" w:cs="Verdana" w:eastAsia="Verdana" w:hAnsi="Verdana"/>
          <w:b/>
          <w:bCs/>
          <w:color w:val="FFFFFF"/>
          <w:sz w:val="26"/>
          <w:szCs w:val="26"/>
        </w:rPr>
        <w:t xml:space="preserve">  PART G: SECTOR AND SPECIAL TOPICS</w:t>
      </w:r>
    </w:p>
    <w:p>
      <w:pPr>
        <w:shd w:fill="F6E8D2" w:color="auto" w:val="clear"/>
        <w:spacing w:after="200"/>
      </w:pPr>
      <w:r>
        <w:rPr>
          <w:rFonts w:ascii="Verdana" w:cs="Verdana" w:eastAsia="Verdana" w:hAnsi="Verdana"/>
          <w:i/>
          <w:iCs/>
          <w:color w:val="92400E"/>
          <w:sz w:val="20"/>
          <w:szCs w:val="20"/>
        </w:rPr>
        <w:t xml:space="preserve">  How GST applies to particular industries, groups and business events</w:t>
      </w:r>
    </w:p>
    <w:p>
      <w:pPr>
        <w:spacing w:after="240" w:line="276"/>
        <w:jc w:val="both"/>
      </w:pPr>
      <w:r>
        <w:rPr>
          <w:rFonts w:ascii="Verdana" w:cs="Verdana" w:eastAsia="Verdana" w:hAnsi="Verdana"/>
          <w:i/>
          <w:iCs/>
          <w:color w:val="404040"/>
          <w:sz w:val="21"/>
          <w:szCs w:val="21"/>
        </w:rPr>
        <w:t xml:space="preserve">The general rules of supply, value and credit apply to every business, but each sector has its own notifications, exemptions and practices. This Part takes the sectors a practitioner meets most often, then deals with employees and group companies, small businesses and startups, and restructuring and insolvency.</w:t>
      </w:r>
    </w:p>
    <w:p>
      <w:pPr>
        <w:pStyle w:val="Heading1"/>
        <w:spacing w:after="200" w:before="120"/>
      </w:pPr>
      <w:r>
        <w:rPr>
          <w:rFonts w:ascii="Verdana" w:cs="Verdana" w:eastAsia="Verdana" w:hAnsi="Verdana"/>
        </w:rPr>
        <w:t xml:space="preserve">27. Real Estate and Construction</w:t>
      </w:r>
    </w:p>
    <w:p>
      <w:pPr>
        <w:spacing w:after="120" w:line="276"/>
        <w:jc w:val="both"/>
      </w:pPr>
      <w:r>
        <w:rPr>
          <w:rFonts w:ascii="Verdana" w:cs="Verdana" w:eastAsia="Verdana" w:hAnsi="Verdana"/>
        </w:rPr>
        <w:t xml:space="preserve">Real estate is the sector where GST produces the most varied results. A flat may carry 1%, 5% or no GST at all depending on its size, price, city and the date on which the money is received. Landowners, contractors and tenants each face their own rules.</w:t>
      </w:r>
    </w:p>
    <w:p>
      <w:pPr>
        <w:pStyle w:val="Heading2"/>
        <w:keepNext/>
        <w:spacing w:after="120" w:before="240"/>
      </w:pPr>
      <w:r>
        <w:rPr>
          <w:rFonts w:ascii="Verdana" w:cs="Verdana" w:eastAsia="Verdana" w:hAnsi="Verdana"/>
        </w:rPr>
        <w:t xml:space="preserve">27.1 Why land and buildings are treated differently</w:t>
      </w:r>
    </w:p>
    <w:p>
      <w:pPr>
        <w:spacing w:after="120" w:line="276"/>
        <w:jc w:val="both"/>
      </w:pPr>
      <w:r>
        <w:rPr>
          <w:rFonts w:ascii="Verdana" w:cs="Verdana" w:eastAsia="Verdana" w:hAnsi="Verdana"/>
        </w:rPr>
        <w:t xml:space="preserve">Sale of land, and sale of a building where the whole consideration is received after the completion certificate (CC) or first occupation, is neither a supply of goods nor of services under paragraph 5 of Schedule III of the CGST Act. Stamp duty applies to these transfers instead. What GST taxes is construction: a building, civil structure or complex intended for sale, where any part of the consideration is received before the CC, is a supply of service under paragraph 5(b) of Schedule II. Works contracts are services under paragraph 6(a) of Schedule II.</w:t>
      </w:r>
    </w:p>
    <w:p>
      <w:pPr>
        <w:spacing w:after="120" w:line="276"/>
        <w:jc w:val="both"/>
      </w:pPr>
      <w:r>
        <w:rPr>
          <w:rFonts w:ascii="Verdana" w:cs="Verdana" w:eastAsia="Verdana" w:hAnsi="Verdana"/>
        </w:rPr>
        <w:t xml:space="preserve">The price of a flat includes land. The notifications deal with this through a deemed deduction of one-third of the total amount, so the rate applies only to the construction portion.</w:t>
      </w:r>
    </w:p>
    <w:p>
      <w:pPr>
        <w:pStyle w:val="Heading2"/>
        <w:keepNext/>
        <w:spacing w:after="120" w:before="240"/>
      </w:pPr>
      <w:r>
        <w:rPr>
          <w:rFonts w:ascii="Verdana" w:cs="Verdana" w:eastAsia="Verdana" w:hAnsi="Verdana"/>
        </w:rPr>
        <w:t xml:space="preserve">27.2 The residential scheme from 1 April 2019</w:t>
      </w:r>
    </w:p>
    <w:p>
      <w:pPr>
        <w:spacing w:after="120" w:line="276"/>
        <w:jc w:val="both"/>
      </w:pPr>
      <w:r>
        <w:rPr>
          <w:rFonts w:ascii="Verdana" w:cs="Verdana" w:eastAsia="Verdana" w:hAnsi="Verdana"/>
        </w:rPr>
        <w:t xml:space="preserve">From 1 April 2019 the Council moved residential real estate to a concessional scheme without input tax credit. The effective rates are 1% of the price for affordable residential apartments and 5% for other residential apartments. The notification rates are 1.5% and 7.5% on the value after deducting one-third for land, which works out to 1% and 5% of the gross price. Projects ongoing on 1 April 2019 could opt, by 20 May 2019, to stay on the old rates with ITC.</w:t>
      </w:r>
    </w:p>
    <w:p>
      <w:pPr>
        <w:pStyle w:val="Heading3"/>
        <w:keepNext/>
        <w:spacing w:after="80" w:before="160"/>
      </w:pPr>
      <w:r>
        <w:rPr>
          <w:rFonts w:ascii="Verdana" w:cs="Verdana" w:eastAsia="Verdana" w:hAnsi="Verdana"/>
        </w:rPr>
        <w:t xml:space="preserve">Affordable residential apartment</w:t>
      </w:r>
    </w:p>
    <w:p>
      <w:pPr>
        <w:spacing w:after="120" w:line="276"/>
        <w:jc w:val="both"/>
      </w:pPr>
      <w:r>
        <w:rPr>
          <w:rFonts w:ascii="Verdana" w:cs="Verdana" w:eastAsia="Verdana" w:hAnsi="Verdana"/>
        </w:rPr>
        <w:t xml:space="preserve">An apartment is affordable if both tests are met: carpet area up to 60 square metres in metropolitan cities or 90 square metres elsewhere, and gross amount charged up to Rs. 45 lakh. The metropolitan cities for this purpose are Bengaluru, Chennai, Delhi NCR (limited to Delhi, Noida, Greater Noida, Ghaziabad, Gurugram and Faridabad), Hyderabad, Kolkata and Mumbai (whole of MMR). Apartments in ongoing projects under specified Government housing schemes are also covered.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148: Affordable or not</w:t>
            </w:r>
          </w:p>
          <w:p>
            <w:pPr>
              <w:spacing w:after="60" w:line="260"/>
            </w:pPr>
            <w:r>
              <w:rPr>
                <w:rFonts w:ascii="Verdana" w:cs="Verdana" w:eastAsia="Verdana" w:hAnsi="Verdana"/>
                <w:sz w:val="20"/>
                <w:szCs w:val="20"/>
              </w:rPr>
              <w:t xml:space="preserve">Shivam Realty is building two projects. Flat A is in Ahmedabad, 85 square metres carpet area, priced at Rs. 42,00,000. Flat B is in Thane (within MMR), 65 square metres, priced at Rs. 44,00,000.</w:t>
            </w:r>
          </w:p>
          <w:p>
            <w:pPr>
              <w:spacing w:after="60" w:line="260"/>
            </w:pPr>
            <w:r>
              <w:rPr>
                <w:rFonts w:ascii="Verdana" w:cs="Verdana" w:eastAsia="Verdana" w:hAnsi="Verdana"/>
                <w:sz w:val="20"/>
                <w:szCs w:val="20"/>
              </w:rPr>
              <w:t xml:space="preserve">Step 1: Flat A: Ahmedabad is not a metropolitan city for this scheme, so the carpet area limit is 90 square metres. Both tests are met. GST at 1% = Rs. 42,000.</w:t>
            </w:r>
          </w:p>
          <w:p>
            <w:pPr>
              <w:spacing w:after="60" w:line="260"/>
            </w:pPr>
            <w:r>
              <w:rPr>
                <w:rFonts w:ascii="Verdana" w:cs="Verdana" w:eastAsia="Verdana" w:hAnsi="Verdana"/>
                <w:sz w:val="20"/>
                <w:szCs w:val="20"/>
              </w:rPr>
              <w:t xml:space="preserve">Step 2: Check the working: land deduction one-third = Rs. 14,00,000; construction value = Rs. 28,00,000; GST at 1.5% = Rs. 42,000 (CGST Rs. 21,000 + SGST Rs. 21,000).</w:t>
            </w:r>
          </w:p>
          <w:p>
            <w:pPr>
              <w:spacing w:after="60" w:line="260"/>
            </w:pPr>
            <w:r>
              <w:rPr>
                <w:rFonts w:ascii="Verdana" w:cs="Verdana" w:eastAsia="Verdana" w:hAnsi="Verdana"/>
                <w:sz w:val="20"/>
                <w:szCs w:val="20"/>
              </w:rPr>
              <w:t xml:space="preserve">Step 3: Flat B: price is within Rs. 45 lakh but the carpet area of 65 square metres exceeds the metro limit of 60. It is not affordable. GST at 5% = Rs. 2,20,000.</w:t>
            </w:r>
          </w:p>
          <w:p>
            <w:pPr>
              <w:spacing w:after="60" w:line="260"/>
            </w:pPr>
            <w:r>
              <w:rPr>
                <w:rFonts w:ascii="Verdana" w:cs="Verdana" w:eastAsia="Verdana" w:hAnsi="Verdana"/>
                <w:sz w:val="20"/>
                <w:szCs w:val="20"/>
              </w:rPr>
              <w:t xml:space="preserve">Result: two flats with almost the same price carry tax of Rs. 42,000 and Rs. 2,20,000. The carpet area in the RERA registration and the allotment letter decides the rate, so it must be checked flat by flat.</w:t>
            </w:r>
          </w:p>
        </w:tc>
      </w:tr>
    </w:tbl>
    <w:p>
      <w:pPr>
        <w:spacing w:after="60"/>
      </w:pPr>
    </w:p>
    <w:p>
      <w:pPr>
        <w:pStyle w:val="Heading3"/>
        <w:keepNext/>
        <w:spacing w:after="80" w:before="160"/>
      </w:pPr>
      <w:r>
        <w:rPr>
          <w:rFonts w:ascii="Verdana" w:cs="Verdana" w:eastAsia="Verdana" w:hAnsi="Verdana"/>
        </w:rPr>
        <w:t xml:space="preserve">Residential real estate project and commercial units</w:t>
      </w:r>
    </w:p>
    <w:p>
      <w:pPr>
        <w:spacing w:after="120" w:line="276"/>
        <w:jc w:val="both"/>
      </w:pPr>
      <w:r>
        <w:rPr>
          <w:rFonts w:ascii="Verdana" w:cs="Verdana" w:eastAsia="Verdana" w:hAnsi="Verdana"/>
        </w:rPr>
        <w:t xml:space="preserve">A residential real estate project (RREP) is a project in which the carpet area of commercial apartments is not more than 15% of the total carpet area. Shops and offices in an RREP are taxed like other residential apartments, at 5% without ITC. If commercial area exceeds 15%, the project is not an RREP; the commercial units are then taxed at 18% on two-thirds of the value (12% effective) with ITC, while the residential units still go at 1% or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149: Annual output tax of a mixed project</w:t>
            </w:r>
          </w:p>
          <w:p>
            <w:pPr>
              <w:spacing w:after="60" w:line="260"/>
            </w:pPr>
            <w:r>
              <w:rPr>
                <w:rFonts w:ascii="Verdana" w:cs="Verdana" w:eastAsia="Verdana" w:hAnsi="Verdana"/>
                <w:sz w:val="20"/>
                <w:szCs w:val="20"/>
              </w:rPr>
              <w:t xml:space="preserve">Gokul Developers LLP runs an RREP in Vadodara with 20,000 square metres of carpet area, of which 2,400 square metres (12%) are shops. In FY 2025-26 it raised demands and received instalments as follows: other residential flats Rs. 18,00,00,000, affordable flats Rs. 4,00,00,000 and shops Rs. 3,00,00,000.</w:t>
            </w:r>
          </w:p>
          <w:p>
            <w:pPr>
              <w:spacing w:after="60" w:line="260"/>
            </w:pPr>
            <w:r>
              <w:rPr>
                <w:rFonts w:ascii="Verdana" w:cs="Verdana" w:eastAsia="Verdana" w:hAnsi="Verdana"/>
                <w:sz w:val="20"/>
                <w:szCs w:val="20"/>
              </w:rPr>
              <w:t xml:space="preserve">Step 1: Commercial share 12% is within 15%, so the project is an RREP and shops go at 5%.</w:t>
            </w:r>
          </w:p>
          <w:p>
            <w:pPr>
              <w:spacing w:after="60" w:line="260"/>
            </w:pPr>
            <w:r>
              <w:rPr>
                <w:rFonts w:ascii="Verdana" w:cs="Verdana" w:eastAsia="Verdana" w:hAnsi="Verdana"/>
                <w:sz w:val="20"/>
                <w:szCs w:val="20"/>
              </w:rPr>
              <w:t xml:space="preserve">Step 2: Other residential: Rs. 18,00,00,000 less one-third = Rs. 12,00,00,000; GST at 7.5% = Rs. 90,00,000.</w:t>
            </w:r>
          </w:p>
          <w:p>
            <w:pPr>
              <w:spacing w:after="60" w:line="260"/>
            </w:pPr>
            <w:r>
              <w:rPr>
                <w:rFonts w:ascii="Verdana" w:cs="Verdana" w:eastAsia="Verdana" w:hAnsi="Verdana"/>
                <w:sz w:val="20"/>
                <w:szCs w:val="20"/>
              </w:rPr>
              <w:t xml:space="preserve">Step 3: Affordable: Rs. 4,00,00,000 less one-third = Rs. 2,66,66,666.67; GST at 1.5% = Rs. 4,00,000.</w:t>
            </w:r>
          </w:p>
          <w:p>
            <w:pPr>
              <w:spacing w:after="60" w:line="260"/>
            </w:pPr>
            <w:r>
              <w:rPr>
                <w:rFonts w:ascii="Verdana" w:cs="Verdana" w:eastAsia="Verdana" w:hAnsi="Verdana"/>
                <w:sz w:val="20"/>
                <w:szCs w:val="20"/>
              </w:rPr>
              <w:t xml:space="preserve">Step 4: Shops: Rs. 3,00,00,000 less one-third = Rs. 2,00,00,000; GST at 7.5% = Rs. 15,00,000.</w:t>
            </w:r>
          </w:p>
          <w:p>
            <w:pPr>
              <w:spacing w:after="60" w:line="260"/>
            </w:pPr>
            <w:r>
              <w:rPr>
                <w:rFonts w:ascii="Verdana" w:cs="Verdana" w:eastAsia="Verdana" w:hAnsi="Verdana"/>
                <w:sz w:val="20"/>
                <w:szCs w:val="20"/>
              </w:rPr>
              <w:t xml:space="preserve">Step 5: Total output tax = Rs. 1,09,00,000, payable fully in cash because no ITC is allowed under the scheme (CGST Rs. 54,50,000 + SGST Rs. 54,50,000).</w:t>
            </w:r>
          </w:p>
        </w:tc>
      </w:tr>
    </w:tbl>
    <w:p>
      <w:pPr>
        <w:spacing w:after="60"/>
      </w:pPr>
    </w:p>
    <w:p>
      <w:pPr>
        <w:pStyle w:val="Heading2"/>
        <w:keepNext/>
        <w:spacing w:after="120" w:before="240"/>
      </w:pPr>
      <w:r>
        <w:rPr>
          <w:rFonts w:ascii="Verdana" w:cs="Verdana" w:eastAsia="Verdana" w:hAnsi="Verdana"/>
        </w:rPr>
        <w:t xml:space="preserve">27.3 The 80% procurement condition</w:t>
      </w:r>
    </w:p>
    <w:p>
      <w:pPr>
        <w:spacing w:after="120" w:line="276"/>
        <w:jc w:val="both"/>
      </w:pPr>
      <w:r>
        <w:rPr>
          <w:rFonts w:ascii="Verdana" w:cs="Verdana" w:eastAsia="Verdana" w:hAnsi="Verdana"/>
        </w:rPr>
        <w:t xml:space="preserve">To keep suppliers of building material in the tax net, the scheme requires at least 80% of inputs and input services (by value) to be bought from registered persons. The test is done project-wise for each financial year. Development rights, long-term lease premium, FSI, electricity, high speed diesel, motor spirit and natural gas are excluded from both sides of the ratio. Capital goods are outside the ratio, but capital goods bought from unregistered persons attract reverse charge at their own rate.</w:t>
      </w:r>
    </w:p>
    <w:p>
      <w:pPr>
        <w:spacing w:after="120" w:line="276"/>
        <w:jc w:val="both"/>
      </w:pPr>
      <w:r>
        <w:rPr>
          <w:rFonts w:ascii="Verdana" w:cs="Verdana" w:eastAsia="Verdana" w:hAnsi="Verdana"/>
        </w:rPr>
        <w:t xml:space="preserve">If purchases from registered persons fall short of 80%, the promoter pays tax at 18% under reverse charge on the shortfall (the notification specifies 18% for the shortfall irrespective of what the goods were). Cement bought from an unregistered person is taxed under reverse charge at the rate applicable to cement, in the month of receipt; after GST 2.0 that rate is 18%. The shortfall tax is paid through DRC-03 by the end of the quarter following the financial year, that is by 30 June.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150: Shortfall tax under the 80% rule</w:t>
            </w:r>
          </w:p>
          <w:p>
            <w:pPr>
              <w:spacing w:after="60" w:line="260"/>
            </w:pPr>
            <w:r>
              <w:rPr>
                <w:rFonts w:ascii="Verdana" w:cs="Verdana" w:eastAsia="Verdana" w:hAnsi="Verdana"/>
                <w:sz w:val="20"/>
                <w:szCs w:val="20"/>
              </w:rPr>
              <w:t xml:space="preserve">Gokul Developers LLP bought inputs and input services of Rs. 10,00,00,000 for the project in FY 2025-26, after excluding development rights of Rs. 3,00,00,000, electricity of Rs. 40,00,000 and diesel of Rs. 60,00,000. Purchases from registered suppliers were Rs. 7,40,00,000. All cement was bought from registered dealers.</w:t>
            </w:r>
          </w:p>
          <w:p>
            <w:pPr>
              <w:spacing w:after="60" w:line="260"/>
            </w:pPr>
            <w:r>
              <w:rPr>
                <w:rFonts w:ascii="Verdana" w:cs="Verdana" w:eastAsia="Verdana" w:hAnsi="Verdana"/>
                <w:sz w:val="20"/>
                <w:szCs w:val="20"/>
              </w:rPr>
              <w:t xml:space="preserve">Step 1: Minimum required from registered persons = 80% of Rs. 10,00,00,000 = Rs. 8,00,00,000.</w:t>
            </w:r>
          </w:p>
          <w:p>
            <w:pPr>
              <w:spacing w:after="60" w:line="260"/>
            </w:pPr>
            <w:r>
              <w:rPr>
                <w:rFonts w:ascii="Verdana" w:cs="Verdana" w:eastAsia="Verdana" w:hAnsi="Verdana"/>
                <w:sz w:val="20"/>
                <w:szCs w:val="20"/>
              </w:rPr>
              <w:t xml:space="preserve">Step 2: Shortfall = Rs. 8,00,00,000 less Rs. 7,40,00,000 = Rs. 60,00,000.</w:t>
            </w:r>
          </w:p>
          <w:p>
            <w:pPr>
              <w:spacing w:after="60" w:line="260"/>
            </w:pPr>
            <w:r>
              <w:rPr>
                <w:rFonts w:ascii="Verdana" w:cs="Verdana" w:eastAsia="Verdana" w:hAnsi="Verdana"/>
                <w:sz w:val="20"/>
                <w:szCs w:val="20"/>
              </w:rPr>
              <w:t xml:space="preserve">Step 3: Tax under reverse charge at 18% = Rs. 10,80,000 (CGST Rs. 5,40,000 + SGST Rs. 5,40,000), paid in cash through DRC-03 by 30 June 2026.</w:t>
            </w:r>
          </w:p>
          <w:p>
            <w:pPr>
              <w:spacing w:after="60" w:line="260"/>
            </w:pPr>
            <w:r>
              <w:rPr>
                <w:rFonts w:ascii="Verdana" w:cs="Verdana" w:eastAsia="Verdana" w:hAnsi="Verdana"/>
                <w:sz w:val="20"/>
                <w:szCs w:val="20"/>
              </w:rPr>
              <w:t xml:space="preserve">Step 4: No credit is available for this tax. Unregistered labour contractors are the usual cause, so track the ratio monthly.</w:t>
            </w:r>
          </w:p>
        </w:tc>
      </w:tr>
    </w:tbl>
    <w:p>
      <w:pPr>
        <w:spacing w:after="60"/>
      </w:pPr>
    </w:p>
    <w:p>
      <w:pPr>
        <w:pStyle w:val="Heading2"/>
        <w:keepNext/>
        <w:spacing w:after="120" w:before="240"/>
      </w:pPr>
      <w:r>
        <w:rPr>
          <w:rFonts w:ascii="Verdana" w:cs="Verdana" w:eastAsia="Verdana" w:hAnsi="Verdana"/>
        </w:rPr>
        <w:t xml:space="preserve">27.4 Sale before and after the completion certificate</w:t>
      </w:r>
    </w:p>
    <w:p>
      <w:pPr>
        <w:spacing w:after="120" w:line="276"/>
        <w:jc w:val="both"/>
      </w:pPr>
      <w:r>
        <w:rPr>
          <w:rFonts w:ascii="Verdana" w:cs="Verdana" w:eastAsia="Verdana" w:hAnsi="Verdana"/>
        </w:rPr>
        <w:t xml:space="preserve">For a flat or shop, the tax point is each instalment: tax is due on the date of invoice or receipt, whichever is earlier, as the builder demands the milestones. Once the CC is issued, sale of an unsold unit where the whole consideration comes after the CC is outside GST. Two consequences follow.</w:t>
      </w:r>
    </w:p>
    <w:p>
      <w:pPr>
        <w:pStyle w:val="ListParagraph"/>
        <w:numPr>
          <w:ilvl w:val="0"/>
          <w:numId w:val="2"/>
        </w:numPr>
        <w:spacing w:after="60" w:line="264"/>
      </w:pPr>
      <w:r>
        <w:rPr>
          <w:rFonts w:ascii="Verdana" w:cs="Verdana" w:eastAsia="Verdana" w:hAnsi="Verdana"/>
        </w:rPr>
        <w:t xml:space="preserve">A buyer who books before the CC pays GST on every instalment, including those paid after the CC. The test is whether any part of the consideration was received before the CC.</w:t>
      </w:r>
    </w:p>
    <w:p>
      <w:pPr>
        <w:pStyle w:val="ListParagraph"/>
        <w:numPr>
          <w:ilvl w:val="0"/>
          <w:numId w:val="2"/>
        </w:numPr>
        <w:spacing w:after="60" w:line="264"/>
      </w:pPr>
      <w:r>
        <w:rPr>
          <w:rFonts w:ascii="Verdana" w:cs="Verdana" w:eastAsia="Verdana" w:hAnsi="Verdana"/>
        </w:rPr>
        <w:t xml:space="preserve">In a commercial project under the 18% with ITC route, ITC attributable to units still unsold on the CC date must be reversed, because their sale will be a non-taxable supply. Rules 42 and 43 contain specific provisions for this and the reversal is worked out project-wise at the CC stage.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151: Commercial office unit with ITC</w:t>
            </w:r>
          </w:p>
          <w:p>
            <w:pPr>
              <w:spacing w:after="60" w:line="260"/>
            </w:pPr>
            <w:r>
              <w:rPr>
                <w:rFonts w:ascii="Verdana" w:cs="Verdana" w:eastAsia="Verdana" w:hAnsi="Verdana"/>
                <w:sz w:val="20"/>
                <w:szCs w:val="20"/>
              </w:rPr>
              <w:t xml:space="preserve">Sapphire Business Park is a commercial project (not an RREP) in Pune. Anand Traders books an office for Rs. 2,00,00,000 before the CC. ITC attributable to this unit on inputs and services is Rs. 15,00,000.</w:t>
            </w:r>
          </w:p>
          <w:p>
            <w:pPr>
              <w:spacing w:after="60" w:line="260"/>
            </w:pPr>
            <w:r>
              <w:rPr>
                <w:rFonts w:ascii="Verdana" w:cs="Verdana" w:eastAsia="Verdana" w:hAnsi="Verdana"/>
                <w:sz w:val="20"/>
                <w:szCs w:val="20"/>
              </w:rPr>
              <w:t xml:space="preserve">Step 1: Value after one-third land deduction = Rs. 1,33,33,333.33.</w:t>
            </w:r>
          </w:p>
          <w:p>
            <w:pPr>
              <w:spacing w:after="60" w:line="260"/>
            </w:pPr>
            <w:r>
              <w:rPr>
                <w:rFonts w:ascii="Verdana" w:cs="Verdana" w:eastAsia="Verdana" w:hAnsi="Verdana"/>
                <w:sz w:val="20"/>
                <w:szCs w:val="20"/>
              </w:rPr>
              <w:t xml:space="preserve">Step 2: GST at 18% on that value = Rs. 24,00,000 (effective 12% of the price; CGST Rs. 12,00,000 + SGST Rs. 12,00,000).</w:t>
            </w:r>
          </w:p>
          <w:p>
            <w:pPr>
              <w:spacing w:after="60" w:line="260"/>
            </w:pPr>
            <w:r>
              <w:rPr>
                <w:rFonts w:ascii="Verdana" w:cs="Verdana" w:eastAsia="Verdana" w:hAnsi="Verdana"/>
                <w:sz w:val="20"/>
                <w:szCs w:val="20"/>
              </w:rPr>
              <w:t xml:space="preserve">Step 3: Net cash tax after ITC = Rs. 24,00,000 less Rs. 15,00,000 = Rs. 9,00,000.</w:t>
            </w:r>
          </w:p>
          <w:p>
            <w:pPr>
              <w:spacing w:after="60" w:line="260"/>
            </w:pPr>
            <w:r>
              <w:rPr>
                <w:rFonts w:ascii="Verdana" w:cs="Verdana" w:eastAsia="Verdana" w:hAnsi="Verdana"/>
                <w:sz w:val="20"/>
                <w:szCs w:val="20"/>
              </w:rPr>
              <w:t xml:space="preserve">Step 4: If the same office had remained unsold and been sold after the CC for Rs. 2,20,00,000, there would be no GST on the sale, but the ITC of Rs. 15,00,000 attributable to it would have to be reversed.</w:t>
            </w:r>
          </w:p>
          <w:p>
            <w:pPr>
              <w:spacing w:after="60" w:line="260"/>
            </w:pPr>
            <w:r>
              <w:rPr>
                <w:rFonts w:ascii="Verdana" w:cs="Verdana" w:eastAsia="Verdana" w:hAnsi="Verdana"/>
                <w:sz w:val="20"/>
                <w:szCs w:val="20"/>
              </w:rPr>
              <w:t xml:space="preserve">Result: for Anand Traders the office is a capitalised immovable property, and the department treats its credit of Rs. 24,00,000 as blocked under section 17(5)(d).</w:t>
            </w:r>
          </w:p>
        </w:tc>
      </w:tr>
    </w:tbl>
    <w:p>
      <w:pPr>
        <w:spacing w:after="60"/>
      </w:pPr>
    </w:p>
    <w:p>
      <w:pPr>
        <w:pStyle w:val="Heading2"/>
        <w:keepNext/>
        <w:spacing w:after="120" w:before="240"/>
      </w:pPr>
      <w:r>
        <w:rPr>
          <w:rFonts w:ascii="Verdana" w:cs="Verdana" w:eastAsia="Verdana" w:hAnsi="Verdana"/>
        </w:rPr>
        <w:t xml:space="preserve">27.5 Joint development agreements and development rights</w:t>
      </w:r>
    </w:p>
    <w:p>
      <w:pPr>
        <w:spacing w:after="120" w:line="276"/>
        <w:jc w:val="both"/>
      </w:pPr>
      <w:r>
        <w:rPr>
          <w:rFonts w:ascii="Verdana" w:cs="Verdana" w:eastAsia="Verdana" w:hAnsi="Verdana"/>
        </w:rPr>
        <w:t xml:space="preserve">In a joint development agreement (JDA) the landowner transfers development rights (TDR or FSI) to the developer, and gets a share of the built flats in return. The landowner supplies development rights to the promoter, and the promoter supplies construction service to the landowner. Both are barter transactions.</w:t>
      </w:r>
    </w:p>
    <w:p>
      <w:pPr>
        <w:pStyle w:val="ListParagraph"/>
        <w:numPr>
          <w:ilvl w:val="0"/>
          <w:numId w:val="2"/>
        </w:numPr>
        <w:spacing w:after="60" w:line="264"/>
      </w:pPr>
      <w:r>
        <w:rPr>
          <w:rFonts w:ascii="Verdana" w:cs="Verdana" w:eastAsia="Verdana" w:hAnsi="Verdana"/>
          <w:b/>
          <w:bCs/>
        </w:rPr>
        <w:t xml:space="preserve">Landowner flats:</w:t>
      </w:r>
      <w:r>
        <w:rPr>
          <w:rFonts w:ascii="Verdana" w:cs="Verdana" w:eastAsia="Verdana" w:hAnsi="Verdana"/>
        </w:rPr>
        <w:t xml:space="preserve"> the value is the price charged by the promoter for similar apartments to independent buyers nearest to the date of the JDA. Tax arises on the date of CC or first occupation, whichever is earlier, at the rate applicable to the flats (1% or 5% effective).</w:t>
      </w:r>
    </w:p>
    <w:p>
      <w:pPr>
        <w:pStyle w:val="ListParagraph"/>
        <w:numPr>
          <w:ilvl w:val="0"/>
          <w:numId w:val="2"/>
        </w:numPr>
        <w:spacing w:after="60" w:line="264"/>
      </w:pPr>
      <w:r>
        <w:rPr>
          <w:rFonts w:ascii="Verdana" w:cs="Verdana" w:eastAsia="Verdana" w:hAnsi="Verdana"/>
          <w:b/>
          <w:bCs/>
        </w:rPr>
        <w:t xml:space="preserve">Development rights:</w:t>
      </w:r>
      <w:r>
        <w:rPr>
          <w:rFonts w:ascii="Verdana" w:cs="Verdana" w:eastAsia="Verdana" w:hAnsi="Verdana"/>
        </w:rPr>
        <w:t xml:space="preserve"> tax is payable by the promoter under reverse charge. Development rights relating to flats booked before the CC are exempt. For the unsold portion, tax is at 18%, but limited to 1% or 5% of the value of the unsold residential apartments. The time of supply is the date of CC or first occupation.</w:t>
      </w:r>
    </w:p>
    <w:p>
      <w:pPr>
        <w:pStyle w:val="ListParagraph"/>
        <w:numPr>
          <w:ilvl w:val="0"/>
          <w:numId w:val="2"/>
        </w:numPr>
        <w:spacing w:after="60" w:line="264"/>
      </w:pPr>
      <w:r>
        <w:rPr>
          <w:rFonts w:ascii="Verdana" w:cs="Verdana" w:eastAsia="Verdana" w:hAnsi="Verdana"/>
          <w:b/>
          <w:bCs/>
        </w:rPr>
        <w:t xml:space="preserve">Landowner selling his flats:</w:t>
      </w:r>
      <w:r>
        <w:rPr>
          <w:rFonts w:ascii="Verdana" w:cs="Verdana" w:eastAsia="Verdana" w:hAnsi="Verdana"/>
        </w:rPr>
        <w:t xml:space="preserve"> if the landowner sells his share of flats before the CC, he charges GST and can take credit of the tax the promoter charged him on those flats.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152: JDA: landowner flats and development rights</w:t>
            </w:r>
          </w:p>
          <w:p>
            <w:pPr>
              <w:spacing w:after="60" w:line="260"/>
            </w:pPr>
            <w:r>
              <w:rPr>
                <w:rFonts w:ascii="Verdana" w:cs="Verdana" w:eastAsia="Verdana" w:hAnsi="Verdana"/>
                <w:sz w:val="20"/>
                <w:szCs w:val="20"/>
              </w:rPr>
              <w:t xml:space="preserve">Mr. Ramesh Desai gives land in Surat to Parshva Homes under a JDA dated 1 April 2024 and gets 30 of the 100 flats. Similar flats were sold to outside buyers near that date at Rs. 50,00,000 each. The CC is issued on 10 January 2026. Of the promoter's 70 flats, 50 were booked before the CC and 20 are unsold. The price of similar flats on the CC date is Rs. 60,00,000.</w:t>
            </w:r>
          </w:p>
          <w:p>
            <w:pPr>
              <w:spacing w:after="60" w:line="260"/>
            </w:pPr>
            <w:r>
              <w:rPr>
                <w:rFonts w:ascii="Verdana" w:cs="Verdana" w:eastAsia="Verdana" w:hAnsi="Verdana"/>
                <w:sz w:val="20"/>
                <w:szCs w:val="20"/>
              </w:rPr>
              <w:t xml:space="preserve">Step 1: Value of landowner flats = 30 x Rs. 50,00,000 = Rs. 15,00,00,000.</w:t>
            </w:r>
          </w:p>
          <w:p>
            <w:pPr>
              <w:spacing w:after="60" w:line="260"/>
            </w:pPr>
            <w:r>
              <w:rPr>
                <w:rFonts w:ascii="Verdana" w:cs="Verdana" w:eastAsia="Verdana" w:hAnsi="Verdana"/>
                <w:sz w:val="20"/>
                <w:szCs w:val="20"/>
              </w:rPr>
              <w:t xml:space="preserve">Step 2: Less one-third land = Rs. 5,00,00,000; taxable value = Rs. 10,00,00,000; GST at 7.5% = Rs. 75,00,000, payable by Parshva Homes for January 2026.</w:t>
            </w:r>
          </w:p>
          <w:p>
            <w:pPr>
              <w:spacing w:after="60" w:line="260"/>
            </w:pPr>
            <w:r>
              <w:rPr>
                <w:rFonts w:ascii="Verdana" w:cs="Verdana" w:eastAsia="Verdana" w:hAnsi="Verdana"/>
                <w:sz w:val="20"/>
                <w:szCs w:val="20"/>
              </w:rPr>
              <w:t xml:space="preserve">Step 3: Development rights are valued at the value of flats given for them, Rs. 15,00,00,000. Unsold flats are 20 of 100, so 20% is taxable: Rs. 3,00,00,000.</w:t>
            </w:r>
          </w:p>
          <w:p>
            <w:pPr>
              <w:spacing w:after="60" w:line="260"/>
            </w:pPr>
            <w:r>
              <w:rPr>
                <w:rFonts w:ascii="Verdana" w:cs="Verdana" w:eastAsia="Verdana" w:hAnsi="Verdana"/>
                <w:sz w:val="20"/>
                <w:szCs w:val="20"/>
              </w:rPr>
              <w:t xml:space="preserve">Step 4: Tax at 18% under reverse charge = Rs. 54,00,000.</w:t>
            </w:r>
          </w:p>
          <w:p>
            <w:pPr>
              <w:spacing w:after="60" w:line="260"/>
            </w:pPr>
            <w:r>
              <w:rPr>
                <w:rFonts w:ascii="Verdana" w:cs="Verdana" w:eastAsia="Verdana" w:hAnsi="Verdana"/>
                <w:sz w:val="20"/>
                <w:szCs w:val="20"/>
              </w:rPr>
              <w:t xml:space="preserve">Step 5: Cap: 5% of value of unsold flats = 20 x Rs. 60,00,000 x 5% = Rs. 60,00,000. The tax is the lower amount, Rs. 54,00,000 (CGST Rs. 27,00,000 + SGST Rs. 27,00,000).</w:t>
            </w:r>
          </w:p>
          <w:p>
            <w:pPr>
              <w:spacing w:after="60" w:line="260"/>
            </w:pPr>
            <w:r>
              <w:rPr>
                <w:rFonts w:ascii="Verdana" w:cs="Verdana" w:eastAsia="Verdana" w:hAnsi="Verdana"/>
                <w:sz w:val="20"/>
                <w:szCs w:val="20"/>
              </w:rPr>
              <w:t xml:space="preserve">Result: January 2026 cash outflow on the CC is Rs. 1,29,00,000. Every flat sold before the CC would have reduced the development rights tax.</w:t>
            </w:r>
          </w:p>
        </w:tc>
      </w:tr>
    </w:tbl>
    <w:p>
      <w:pPr>
        <w:spacing w:after="60"/>
      </w:pPr>
    </w:p>
    <w:p>
      <w:pPr>
        <w:pStyle w:val="Heading2"/>
        <w:keepNext/>
        <w:spacing w:after="120" w:before="240"/>
      </w:pPr>
      <w:r>
        <w:rPr>
          <w:rFonts w:ascii="Verdana" w:cs="Verdana" w:eastAsia="Verdana" w:hAnsi="Verdana"/>
        </w:rPr>
        <w:t xml:space="preserve">27.6 Long-term lease of land and assignment of leasehold rights</w:t>
      </w:r>
    </w:p>
    <w:p>
      <w:pPr>
        <w:spacing w:after="120" w:line="276"/>
        <w:jc w:val="both"/>
      </w:pPr>
      <w:r>
        <w:rPr>
          <w:rFonts w:ascii="Verdana" w:cs="Verdana" w:eastAsia="Verdana" w:hAnsi="Verdana"/>
        </w:rPr>
        <w:t xml:space="preserve">Industrial plots are often allotted on a lease of 30 years or more by State industrial development corporations on payment of an upfront premium. That upfront amount is exempt where the lessor is a State Government industrial development corporation or undertaking, or another entity with the Government ownership specified in the entry, and the plot is for an industrial or financial business area. The annual lease rent remains taxable at 18%. In residential projects, upfront lease premium is treated like development rights.</w:t>
      </w:r>
    </w:p>
    <w:p>
      <w:pPr>
        <w:spacing w:after="120" w:line="276"/>
        <w:jc w:val="both"/>
      </w:pPr>
      <w:r>
        <w:rPr>
          <w:rFonts w:ascii="Verdana" w:cs="Verdana" w:eastAsia="Verdana" w:hAnsi="Verdana"/>
        </w:rPr>
        <w:t xml:space="preserve">The department had also demanded tax when a lessee assigned his leasehold rights in a GIDC plot to a third party for a premium. The courts rejected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Assignment of leasehold rights</w:t>
            </w:r>
          </w:p>
          <w:p>
            <w:pPr>
              <w:spacing w:after="60" w:line="260"/>
            </w:pPr>
            <w:r>
              <w:rPr>
                <w:rFonts w:ascii="Verdana" w:cs="Verdana" w:eastAsia="Verdana" w:hAnsi="Verdana"/>
                <w:b/>
                <w:bCs/>
                <w:sz w:val="20"/>
                <w:szCs w:val="20"/>
              </w:rPr>
              <w:t xml:space="preserve">Gujarat Chamber of Commerce and Industry v. Union of India (Gujarat High Court, 2025):</w:t>
            </w:r>
            <w:r>
              <w:rPr>
                <w:rFonts w:ascii="Verdana" w:cs="Verdana" w:eastAsia="Verdana" w:hAnsi="Verdana"/>
                <w:sz w:val="20"/>
                <w:szCs w:val="20"/>
              </w:rPr>
              <w:t xml:space="preserve"> assignment of leasehold rights in land by the lessee to a third party is a transfer of benefits arising out of immovable property and is akin to sale of land. It is not a supply of service and no GST is payable on the premium. The Supreme Court dismissed the revenue's special leave petition in July 2026 (Union of India v. Gujarat Chamber of Commerce and Industry). The original grant of a lease and periodic rent remain taxable unless exempt.</w:t>
            </w:r>
          </w:p>
        </w:tc>
      </w:tr>
    </w:tbl>
    <w:p>
      <w:pPr>
        <w:spacing w:after="60"/>
      </w:pPr>
    </w:p>
    <w:p>
      <w:pPr>
        <w:pStyle w:val="Heading2"/>
        <w:keepNext/>
        <w:spacing w:after="120" w:before="240"/>
      </w:pPr>
      <w:r>
        <w:rPr>
          <w:rFonts w:ascii="Verdana" w:cs="Verdana" w:eastAsia="Verdana" w:hAnsi="Verdana"/>
        </w:rPr>
        <w:t xml:space="preserve">27.7 Works contracts, Government works and sub-contractors</w:t>
      </w:r>
    </w:p>
    <w:p>
      <w:pPr>
        <w:spacing w:after="120" w:line="276"/>
        <w:jc w:val="both"/>
      </w:pPr>
      <w:r>
        <w:rPr>
          <w:rFonts w:ascii="Verdana" w:cs="Verdana" w:eastAsia="Verdana" w:hAnsi="Verdana"/>
        </w:rPr>
        <w:t xml:space="preserve">Section 2(119) defines a works contract as a contract for building, construction, installation, repair, renovation or commissioning (among other activities) of any immovable property, involving transfer of property in goods. It is treated as a supply of service.</w:t>
      </w:r>
    </w:p>
    <w:p>
      <w:pPr>
        <w:spacing w:after="120" w:line="276"/>
        <w:jc w:val="both"/>
      </w:pPr>
      <w:r>
        <w:rPr>
          <w:rFonts w:ascii="Verdana" w:cs="Verdana" w:eastAsia="Verdana" w:hAnsi="Verdana"/>
        </w:rPr>
        <w:t xml:space="preserve">After GST 2.0 most works contract services, including those supplied to Central and State Governments, local authorities and Government entities, are taxed at 18% with ITC. Before charging a lower rate on any works contract, verify the current entry in the rate notification for services as amended from 22 September 2025, because several of the old concessions have been removed or rewritten.</w:t>
      </w:r>
    </w:p>
    <w:p>
      <w:pPr>
        <w:spacing w:after="120" w:line="276"/>
        <w:jc w:val="both"/>
      </w:pPr>
      <w:r>
        <w:rPr>
          <w:rFonts w:ascii="Verdana" w:cs="Verdana" w:eastAsia="Verdana" w:hAnsi="Verdana"/>
        </w:rPr>
        <w:t xml:space="preserve">A sub-contractor supplying works contract service to the main contractor charges the same rate as applies to his own service. The main contractor gets ITC of it because section 17(5)(c) allows credit on works contract services where they are an input service for further supply of works contract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153: Main contractor and sub-contractor</w:t>
            </w:r>
          </w:p>
          <w:p>
            <w:pPr>
              <w:spacing w:after="60" w:line="260"/>
            </w:pPr>
            <w:r>
              <w:rPr>
                <w:rFonts w:ascii="Verdana" w:cs="Verdana" w:eastAsia="Verdana" w:hAnsi="Verdana"/>
                <w:sz w:val="20"/>
                <w:szCs w:val="20"/>
              </w:rPr>
              <w:t xml:space="preserve">Vardhman Infra Pvt. Ltd. has a contract to build a private hospital building in Rajkot for Rs. 5,00,00,000. It sub-contracts the plumbing and electrical work to Om Services for Rs. 1,50,00,000 and buys materials of Rs. 2,00,00,000. All at 18%.</w:t>
            </w:r>
          </w:p>
          <w:p>
            <w:pPr>
              <w:spacing w:after="60" w:line="260"/>
            </w:pPr>
            <w:r>
              <w:rPr>
                <w:rFonts w:ascii="Verdana" w:cs="Verdana" w:eastAsia="Verdana" w:hAnsi="Verdana"/>
                <w:sz w:val="20"/>
                <w:szCs w:val="20"/>
              </w:rPr>
              <w:t xml:space="preserve">Step 1: Output tax on Rs. 5,00,00,000 at 18% = Rs. 90,00,000.</w:t>
            </w:r>
          </w:p>
          <w:p>
            <w:pPr>
              <w:spacing w:after="60" w:line="260"/>
            </w:pPr>
            <w:r>
              <w:rPr>
                <w:rFonts w:ascii="Verdana" w:cs="Verdana" w:eastAsia="Verdana" w:hAnsi="Verdana"/>
                <w:sz w:val="20"/>
                <w:szCs w:val="20"/>
              </w:rPr>
              <w:t xml:space="preserve">Step 2: ITC on sub-contract = Rs. 27,00,000; ITC on materials = Rs. 36,00,000. Total ITC = Rs. 63,00,000.</w:t>
            </w:r>
          </w:p>
          <w:p>
            <w:pPr>
              <w:spacing w:after="60" w:line="260"/>
            </w:pPr>
            <w:r>
              <w:rPr>
                <w:rFonts w:ascii="Verdana" w:cs="Verdana" w:eastAsia="Verdana" w:hAnsi="Verdana"/>
                <w:sz w:val="20"/>
                <w:szCs w:val="20"/>
              </w:rPr>
              <w:t xml:space="preserve">Step 3: Net cash tax of Vardhman Infra = Rs. 27,00,000.</w:t>
            </w:r>
          </w:p>
          <w:p>
            <w:pPr>
              <w:spacing w:after="60" w:line="260"/>
            </w:pPr>
            <w:r>
              <w:rPr>
                <w:rFonts w:ascii="Verdana" w:cs="Verdana" w:eastAsia="Verdana" w:hAnsi="Verdana"/>
                <w:sz w:val="20"/>
                <w:szCs w:val="20"/>
              </w:rPr>
              <w:t xml:space="preserve">Step 4: The hospital (whose health care services are exempt in any case) cannot take ITC of Rs. 90,00,000: section 17(5)(c) blocks works contract service for construction of immovable property except as an input for further works contract service. The tax is part of the building cost.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Works contracts before GST</w:t>
            </w:r>
          </w:p>
          <w:p>
            <w:pPr>
              <w:spacing w:after="60" w:line="260"/>
            </w:pPr>
            <w:r>
              <w:rPr>
                <w:rFonts w:ascii="Verdana" w:cs="Verdana" w:eastAsia="Verdana" w:hAnsi="Verdana"/>
                <w:b/>
                <w:bCs/>
                <w:sz w:val="20"/>
                <w:szCs w:val="20"/>
              </w:rPr>
              <w:t xml:space="preserve">Larsen and Toubro Ltd. v. State of Karnataka (Supreme Court, 2013):</w:t>
            </w:r>
            <w:r>
              <w:rPr>
                <w:rFonts w:ascii="Verdana" w:cs="Verdana" w:eastAsia="Verdana" w:hAnsi="Verdana"/>
                <w:sz w:val="20"/>
                <w:szCs w:val="20"/>
              </w:rPr>
              <w:t xml:space="preserve"> a developer who agrees to build flats for buyers before completion is executing a works contract, and the State can levy VAT on the value of goods at the time of incorporation. This is the root of the GST rule that sale of an under-construction flat is a supply of construction service, while sale after completion is a sale of immovable property outside GST.</w:t>
            </w:r>
          </w:p>
          <w:p>
            <w:pPr>
              <w:spacing w:after="60" w:line="260"/>
            </w:pPr>
            <w:r>
              <w:rPr>
                <w:rFonts w:ascii="Verdana" w:cs="Verdana" w:eastAsia="Verdana" w:hAnsi="Verdana"/>
                <w:b/>
                <w:bCs/>
                <w:sz w:val="20"/>
                <w:szCs w:val="20"/>
              </w:rPr>
              <w:t xml:space="preserve">Kone Elevator India (P) Ltd. v. State of Tamil Nadu (Supreme Court, 2014):</w:t>
            </w:r>
            <w:r>
              <w:rPr>
                <w:rFonts w:ascii="Verdana" w:cs="Verdana" w:eastAsia="Verdana" w:hAnsi="Verdana"/>
                <w:sz w:val="20"/>
                <w:szCs w:val="20"/>
              </w:rPr>
              <w:t xml:space="preserve"> supply and installation of lifts is a works contract, not a sale of goods, because installation is an integral part of the contract. Under GST the principle helps decide whether a supply-and-install contract relates to immovable property. Lift installation embedded in a building is generally treated as a works contract at 18%.</w:t>
            </w:r>
          </w:p>
        </w:tc>
      </w:tr>
    </w:tbl>
    <w:p>
      <w:pPr>
        <w:spacing w:after="60"/>
      </w:pPr>
    </w:p>
    <w:p>
      <w:pPr>
        <w:pStyle w:val="Heading2"/>
        <w:keepNext/>
        <w:spacing w:after="120" w:before="240"/>
      </w:pPr>
      <w:r>
        <w:rPr>
          <w:rFonts w:ascii="Verdana" w:cs="Verdana" w:eastAsia="Verdana" w:hAnsi="Verdana"/>
        </w:rPr>
        <w:t xml:space="preserve">27.8 Renting of immovable property</w:t>
      </w:r>
    </w:p>
    <w:p>
      <w:pPr>
        <w:spacing w:after="120" w:line="276"/>
        <w:jc w:val="both"/>
      </w:pPr>
      <w:r>
        <w:rPr>
          <w:rFonts w:ascii="Verdana" w:cs="Verdana" w:eastAsia="Verdana" w:hAnsi="Verdana"/>
        </w:rPr>
        <w:t xml:space="preserve">Renting of immovable property for business is taxable at 18%. Renting of a residential dwelling for use as residence is exempt, except that a registered tenant pays GST under reverse charge (unless he is an individual renting it as his own residence in his personal capacity).</w:t>
      </w:r>
    </w:p>
    <w:p>
      <w:pPr>
        <w:spacing w:after="120" w:line="276"/>
        <w:jc w:val="both"/>
      </w:pPr>
      <w:r>
        <w:rPr>
          <w:rFonts w:ascii="Verdana" w:cs="Verdana" w:eastAsia="Verdana" w:hAnsi="Verdana"/>
        </w:rPr>
        <w:t xml:space="preserve">From 10 October 2024, renting of any immovable property other than a residential dwelling by an unregistered person to a registered person is taxed under reverse charge. The tenant pays 18% and takes credit in the same return. Tenants registered under the composition scheme were excluded from this reverse charge from 16 January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154: Rent under reverse charge</w:t>
            </w:r>
          </w:p>
          <w:p>
            <w:pPr>
              <w:spacing w:after="60" w:line="260"/>
            </w:pPr>
            <w:r>
              <w:rPr>
                <w:rFonts w:ascii="Verdana" w:cs="Verdana" w:eastAsia="Verdana" w:hAnsi="Verdana"/>
                <w:sz w:val="20"/>
                <w:szCs w:val="20"/>
              </w:rPr>
              <w:t xml:space="preserve">Meera Fabrics Pvt. Ltd., a registered company in Ahmedabad, pays (a) Rs. 60,000 a month for a shop owned by Mr. Joshi, who is not registered, and (b) Rs. 45,000 a month for a flat used as a guest house for its staff, owned by Mrs. Iyer, also unregistered.</w:t>
            </w:r>
          </w:p>
          <w:p>
            <w:pPr>
              <w:spacing w:after="60" w:line="260"/>
            </w:pPr>
            <w:r>
              <w:rPr>
                <w:rFonts w:ascii="Verdana" w:cs="Verdana" w:eastAsia="Verdana" w:hAnsi="Verdana"/>
                <w:sz w:val="20"/>
                <w:szCs w:val="20"/>
              </w:rPr>
              <w:t xml:space="preserve">Step 1: Shop: commercial property from an unregistered landlord to a registered tenant, so reverse charge at 18% = Rs. 10,800 a month (CGST Rs. 5,400 + SGST Rs. 5,400).</w:t>
            </w:r>
          </w:p>
          <w:p>
            <w:pPr>
              <w:spacing w:after="60" w:line="260"/>
            </w:pPr>
            <w:r>
              <w:rPr>
                <w:rFonts w:ascii="Verdana" w:cs="Verdana" w:eastAsia="Verdana" w:hAnsi="Verdana"/>
                <w:sz w:val="20"/>
                <w:szCs w:val="20"/>
              </w:rPr>
              <w:t xml:space="preserve">Step 2: Flat: residential dwelling rented to a registered person, so reverse charge at 18% = Rs. 8,100 a month.</w:t>
            </w:r>
          </w:p>
          <w:p>
            <w:pPr>
              <w:spacing w:after="60" w:line="260"/>
            </w:pPr>
            <w:r>
              <w:rPr>
                <w:rFonts w:ascii="Verdana" w:cs="Verdana" w:eastAsia="Verdana" w:hAnsi="Verdana"/>
                <w:sz w:val="20"/>
                <w:szCs w:val="20"/>
              </w:rPr>
              <w:t xml:space="preserve">Step 3: Total reverse charge = Rs. 18,900 a month, paid in cash in GSTR-3B. ITC on the shop rent of Rs. 10,800 is available in the same return.</w:t>
            </w:r>
          </w:p>
          <w:p>
            <w:pPr>
              <w:spacing w:after="60" w:line="260"/>
            </w:pPr>
            <w:r>
              <w:rPr>
                <w:rFonts w:ascii="Verdana" w:cs="Verdana" w:eastAsia="Verdana" w:hAnsi="Verdana"/>
                <w:sz w:val="20"/>
                <w:szCs w:val="20"/>
              </w:rPr>
              <w:t xml:space="preserve">Step 4: ITC on the guest house rent is doubtful under section 17(5)(b); treat Rs. 8,100 as a cost unless the facts clearly support credit.</w:t>
            </w:r>
          </w:p>
        </w:tc>
      </w:tr>
    </w:tbl>
    <w:p>
      <w:pPr>
        <w:spacing w:after="60"/>
      </w:pPr>
    </w:p>
    <w:p>
      <w:pPr>
        <w:pStyle w:val="Heading2"/>
        <w:keepNext/>
        <w:spacing w:after="120" w:before="240"/>
      </w:pPr>
      <w:r>
        <w:rPr>
          <w:rFonts w:ascii="Verdana" w:cs="Verdana" w:eastAsia="Verdana" w:hAnsi="Verdana"/>
        </w:rPr>
        <w:t xml:space="preserve">27.9 ITC restrictions for construction</w:t>
      </w:r>
    </w:p>
    <w:p>
      <w:pPr>
        <w:spacing w:after="120" w:line="276"/>
        <w:jc w:val="both"/>
      </w:pPr>
      <w:r>
        <w:rPr>
          <w:rFonts w:ascii="Verdana" w:cs="Verdana" w:eastAsia="Verdana" w:hAnsi="Verdana"/>
        </w:rPr>
        <w:t xml:space="preserve">Section 17(5)(c) blocks ITC on works contract services for construction of immovable property (other than plant and machinery), except where the service is an input for further supply of works contract service. Section 17(5)(d) blocks ITC on goods or services received for construction of immovable property on one's own account, other than plant and machinery (the words were "plant or machinery" until the Finance Act, 2025 amendment), even when used for business. Construction includes reconstruction, renovation, additions, alterations or repairs to the extent capitalised.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Credit on buildings let out</w:t>
            </w:r>
          </w:p>
          <w:p>
            <w:pPr>
              <w:spacing w:after="60" w:line="260"/>
            </w:pPr>
            <w:r>
              <w:rPr>
                <w:rFonts w:ascii="Verdana" w:cs="Verdana" w:eastAsia="Verdana" w:hAnsi="Verdana"/>
                <w:b/>
                <w:bCs/>
                <w:sz w:val="20"/>
                <w:szCs w:val="20"/>
              </w:rPr>
              <w:t xml:space="preserve">Safari Retreats (P) Ltd. v. Chief Commissioner of CGST (Supreme Court, 2024):</w:t>
            </w:r>
            <w:r>
              <w:rPr>
                <w:rFonts w:ascii="Verdana" w:cs="Verdana" w:eastAsia="Verdana" w:hAnsi="Verdana"/>
                <w:sz w:val="20"/>
                <w:szCs w:val="20"/>
              </w:rPr>
              <w:t xml:space="preserve"> section 17(5)(c) and (d) were held valid, but "plant or machinery" in clause (d) was read differently from "plant and machinery", so a mall could be a "plant" on a functionality test. The Finance Act, 2025 replaced "plant or machinery" with "plant and machinery" in clause (d), retrospectively from 1 July 2017. The functionality argument is no longer available, subject to any challenge to the retrospective amendment.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A builder selling under-construction commercial units can take ITC, but must reverse credit on any floor kept for letting. Keep separate cost centres for sale and rental areas.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Residential flats: 1% (affordable) or 5% (others) effective, without ITC, after a deemed one-third land deduction; affordable means up to 60 or 90 square metres and up to Rs. 45 lakh.</w:t>
            </w:r>
          </w:p>
          <w:p>
            <w:pPr>
              <w:spacing w:after="60" w:line="260"/>
            </w:pPr>
            <w:r>
              <w:rPr>
                <w:rFonts w:ascii="Verdana" w:cs="Verdana" w:eastAsia="Verdana" w:hAnsi="Verdana"/>
                <w:sz w:val="20"/>
                <w:szCs w:val="20"/>
              </w:rPr>
              <w:t xml:space="preserve">•  Shops in an RREP (commercial area up to 15%) go at 5% without ITC; commercial projects go at 18% on two-thirds (12% effective) with ITC.</w:t>
            </w:r>
          </w:p>
          <w:p>
            <w:pPr>
              <w:spacing w:after="60" w:line="260"/>
            </w:pPr>
            <w:r>
              <w:rPr>
                <w:rFonts w:ascii="Verdana" w:cs="Verdana" w:eastAsia="Verdana" w:hAnsi="Verdana"/>
                <w:sz w:val="20"/>
                <w:szCs w:val="20"/>
              </w:rPr>
              <w:t xml:space="preserve">•  At least 80% of inputs must come from registered suppliers; the shortfall bears 18% reverse charge by 30 June; cement from unregistered persons bears its own rate.</w:t>
            </w:r>
          </w:p>
          <w:p>
            <w:pPr>
              <w:spacing w:after="60" w:line="260"/>
            </w:pPr>
            <w:r>
              <w:rPr>
                <w:rFonts w:ascii="Verdana" w:cs="Verdana" w:eastAsia="Verdana" w:hAnsi="Verdana"/>
                <w:sz w:val="20"/>
                <w:szCs w:val="20"/>
              </w:rPr>
              <w:t xml:space="preserve">•  No GST where the whole price is received after the CC, but ITC on unsold units of a commercial project must be reversed.</w:t>
            </w:r>
          </w:p>
          <w:p>
            <w:pPr>
              <w:spacing w:after="60" w:line="260"/>
            </w:pPr>
            <w:r>
              <w:rPr>
                <w:rFonts w:ascii="Verdana" w:cs="Verdana" w:eastAsia="Verdana" w:hAnsi="Verdana"/>
                <w:sz w:val="20"/>
                <w:szCs w:val="20"/>
              </w:rPr>
              <w:t xml:space="preserve">•  JDA: landowner flats valued at the price of similar flats nearest the JDA; development rights for unsold flats taxed under reverse charge, capped at 1% or 5%; tax point is the CC.</w:t>
            </w:r>
          </w:p>
          <w:p>
            <w:pPr>
              <w:spacing w:after="60" w:line="260"/>
            </w:pPr>
            <w:r>
              <w:rPr>
                <w:rFonts w:ascii="Verdana" w:cs="Verdana" w:eastAsia="Verdana" w:hAnsi="Verdana"/>
                <w:sz w:val="20"/>
                <w:szCs w:val="20"/>
              </w:rPr>
              <w:t xml:space="preserve">•  Commercial rent from unregistered landlords is under reverse charge from 10 October 2024; residential rent to registered persons is under reverse charge.</w:t>
            </w:r>
          </w:p>
          <w:p>
            <w:pPr>
              <w:spacing w:after="60" w:line="260"/>
            </w:pPr>
            <w:r>
              <w:rPr>
                <w:rFonts w:ascii="Verdana" w:cs="Verdana" w:eastAsia="Verdana" w:hAnsi="Verdana"/>
                <w:sz w:val="20"/>
                <w:szCs w:val="20"/>
              </w:rPr>
              <w:t xml:space="preserve">•  After the Finance Act, 2025 amendment, ITC on buildings constructed for letting is blocked despite Safari Retreats.</w:t>
            </w:r>
          </w:p>
        </w:tc>
      </w:tr>
    </w:tbl>
    <w:p>
      <w:pPr>
        <w:pStyle w:val="Heading1"/>
        <w:pageBreakBefore/>
        <w:spacing w:after="200" w:before="0"/>
      </w:pPr>
      <w:r>
        <w:rPr>
          <w:rFonts w:ascii="Verdana" w:cs="Verdana" w:eastAsia="Verdana" w:hAnsi="Verdana"/>
        </w:rPr>
        <w:t xml:space="preserve">28. E-Commerce, Digital Services and Online Gaming</w:t>
      </w:r>
    </w:p>
    <w:p>
      <w:pPr>
        <w:spacing w:after="120" w:line="276"/>
        <w:jc w:val="both"/>
      </w:pPr>
      <w:r>
        <w:rPr>
          <w:rFonts w:ascii="Verdana" w:cs="Verdana" w:eastAsia="Verdana" w:hAnsi="Verdana"/>
        </w:rPr>
        <w:t xml:space="preserve">Online platforms bring together millions of small sellers and consumers. The law uses the platform as a collection point: it collects tax at source on sellers' sales, and for some services it pays the whole tax in place of the supplier. This chapter covers those two mechanisms, then digital services from abroad and online gaming.</w:t>
      </w:r>
    </w:p>
    <w:p>
      <w:pPr>
        <w:pStyle w:val="Heading2"/>
        <w:keepNext/>
        <w:spacing w:after="120" w:before="240"/>
      </w:pPr>
      <w:r>
        <w:rPr>
          <w:rFonts w:ascii="Verdana" w:cs="Verdana" w:eastAsia="Verdana" w:hAnsi="Verdana"/>
        </w:rPr>
        <w:t xml:space="preserve">28.1 Who is an e-commerce operator</w:t>
      </w:r>
    </w:p>
    <w:p>
      <w:pPr>
        <w:spacing w:after="120" w:line="276"/>
        <w:jc w:val="both"/>
      </w:pPr>
      <w:r>
        <w:rPr>
          <w:rFonts w:ascii="Verdana" w:cs="Verdana" w:eastAsia="Verdana" w:hAnsi="Verdana"/>
        </w:rPr>
        <w:t xml:space="preserve">Electronic commerce means supply of goods or services, including digital products, over a digital or electronic network (section 2(44) of the CGST Act). An electronic commerce operator (ECO) is any person who owns, operates or manages a digital or electronic facility or platform for electronic commerce (section 2(45)). A marketplace such as a food delivery app or an online store for third-party sellers is an ECO.</w:t>
      </w:r>
    </w:p>
    <w:p>
      <w:pPr>
        <w:spacing w:after="120" w:line="276"/>
        <w:jc w:val="both"/>
      </w:pPr>
      <w:r>
        <w:rPr>
          <w:rFonts w:ascii="Verdana" w:cs="Verdana" w:eastAsia="Verdana" w:hAnsi="Verdana"/>
        </w:rPr>
        <w:t xml:space="preserve">In the marketplace model, independent sellers sell through the platform, which collects TCS and charges 18% on its commission. In the inventory model, the platform sells its own goods and pays tax on them as a seller; no TCS arises.</w:t>
      </w:r>
    </w:p>
    <w:p>
      <w:pPr>
        <w:pStyle w:val="Heading2"/>
        <w:keepNext/>
        <w:spacing w:after="120" w:before="240"/>
      </w:pPr>
      <w:r>
        <w:rPr>
          <w:rFonts w:ascii="Verdana" w:cs="Verdana" w:eastAsia="Verdana" w:hAnsi="Verdana"/>
        </w:rPr>
        <w:t xml:space="preserve">28.2 Tax collected at source (section 52)</w:t>
      </w:r>
    </w:p>
    <w:p>
      <w:pPr>
        <w:spacing w:after="120" w:line="276"/>
        <w:jc w:val="both"/>
      </w:pPr>
      <w:r>
        <w:rPr>
          <w:rFonts w:ascii="Verdana" w:cs="Verdana" w:eastAsia="Verdana" w:hAnsi="Verdana"/>
        </w:rPr>
        <w:t xml:space="preserve">An ECO must collect tax at 0.5% (0.25% CGST + 0.25% SGST, or 0.5% IGST) on the net value of taxable supplies made through it by other suppliers, where the ECO collects the consideration. The rate was 1% until 9 July 2024. Net value means taxable supplies less returns during the month; supplies on which the ECO itself pays tax under section 9(5) are excluded. TCS is deposited by the 10th of the next month with GSTR-8. The seller gets it in his cash ledger.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155: TCS on a marketplace seller</w:t>
            </w:r>
          </w:p>
          <w:p>
            <w:pPr>
              <w:spacing w:after="60" w:line="260"/>
            </w:pPr>
            <w:r>
              <w:rPr>
                <w:rFonts w:ascii="Verdana" w:cs="Verdana" w:eastAsia="Verdana" w:hAnsi="Verdana"/>
                <w:sz w:val="20"/>
                <w:szCs w:val="20"/>
              </w:rPr>
              <w:t xml:space="preserve">Kavya Handicrafts, Jaipur, sells through an online marketplace in October 2025. Gross sales Rs. 8,40,000 (all 5% goods, intra-State and inter-State mixed); returns in the month Rs. 40,000. The marketplace charges commission of 12% on gross sales.</w:t>
            </w:r>
          </w:p>
          <w:p>
            <w:pPr>
              <w:spacing w:after="60" w:line="260"/>
            </w:pPr>
            <w:r>
              <w:rPr>
                <w:rFonts w:ascii="Verdana" w:cs="Verdana" w:eastAsia="Verdana" w:hAnsi="Verdana"/>
                <w:sz w:val="20"/>
                <w:szCs w:val="20"/>
              </w:rPr>
              <w:t xml:space="preserve">Step 1: Net value of taxable supplies = Rs. 8,40,000 less Rs. 40,000 = Rs. 8,00,000.</w:t>
            </w:r>
          </w:p>
          <w:p>
            <w:pPr>
              <w:spacing w:after="60" w:line="260"/>
            </w:pPr>
            <w:r>
              <w:rPr>
                <w:rFonts w:ascii="Verdana" w:cs="Verdana" w:eastAsia="Verdana" w:hAnsi="Verdana"/>
                <w:sz w:val="20"/>
                <w:szCs w:val="20"/>
              </w:rPr>
              <w:t xml:space="preserve">Step 2: TCS at 0.5% = Rs. 4,000, reported by the ECO in GSTR-8 by 10 November 2025 and credited to Kavya's cash ledger.</w:t>
            </w:r>
          </w:p>
          <w:p>
            <w:pPr>
              <w:spacing w:after="60" w:line="260"/>
            </w:pPr>
            <w:r>
              <w:rPr>
                <w:rFonts w:ascii="Verdana" w:cs="Verdana" w:eastAsia="Verdana" w:hAnsi="Verdana"/>
                <w:sz w:val="20"/>
                <w:szCs w:val="20"/>
              </w:rPr>
              <w:t xml:space="preserve">Step 3: Commission = 12% of Rs. 8,40,000 = Rs. 1,00,800; GST on commission at 18% = Rs. 18,144, charged by the ECO on its invoice. Kavya takes ITC of it.</w:t>
            </w:r>
          </w:p>
          <w:p>
            <w:pPr>
              <w:spacing w:after="60" w:line="260"/>
            </w:pPr>
            <w:r>
              <w:rPr>
                <w:rFonts w:ascii="Verdana" w:cs="Verdana" w:eastAsia="Verdana" w:hAnsi="Verdana"/>
                <w:sz w:val="20"/>
                <w:szCs w:val="20"/>
              </w:rPr>
              <w:t xml:space="preserve">Step 4: Kavya's output tax = 5% of Rs. 8,00,000 = Rs. 40,000. Less ITC on commission Rs. 18,144 = Rs. 21,856. Less TCS Rs. 4,000 from the cash ledger. Balance cash = Rs. 17,856.</w:t>
            </w:r>
          </w:p>
        </w:tc>
      </w:tr>
    </w:tbl>
    <w:p>
      <w:pPr>
        <w:spacing w:after="60"/>
      </w:pPr>
    </w:p>
    <w:p>
      <w:pPr>
        <w:pStyle w:val="Heading2"/>
        <w:keepNext/>
        <w:spacing w:after="120" w:before="240"/>
      </w:pPr>
      <w:r>
        <w:rPr>
          <w:rFonts w:ascii="Verdana" w:cs="Verdana" w:eastAsia="Verdana" w:hAnsi="Verdana"/>
        </w:rPr>
        <w:t xml:space="preserve">28.3 Registration of sellers on platforms</w:t>
      </w:r>
    </w:p>
    <w:p>
      <w:pPr>
        <w:spacing w:after="120" w:line="276"/>
        <w:jc w:val="both"/>
      </w:pPr>
      <w:r>
        <w:rPr>
          <w:rFonts w:ascii="Verdana" w:cs="Verdana" w:eastAsia="Verdana" w:hAnsi="Verdana"/>
        </w:rPr>
        <w:t xml:space="preserve">Section 24(ix) requires compulsory registration of persons supplying through an ECO that collects TCS, but it has been relaxed. Suppliers of services through an ECO with aggregate turnover below the threshold are exempt from registration. From 1 October 2023 suppliers of goods through an ECO with turnover below the threshold are also exempt, provided they supply only intra-State, hold a PAN and obtain an enrolment number on the portal. Composition taxpayers may also sell goods intra-State through ECOs from that date. The ECO itself must register regardless of turnover (section 24(x)).</w:t>
      </w:r>
    </w:p>
    <w:p>
      <w:pPr>
        <w:pStyle w:val="Heading2"/>
        <w:keepNext/>
        <w:spacing w:after="120" w:before="240"/>
      </w:pPr>
      <w:r>
        <w:rPr>
          <w:rFonts w:ascii="Verdana" w:cs="Verdana" w:eastAsia="Verdana" w:hAnsi="Verdana"/>
        </w:rPr>
        <w:t xml:space="preserve">28.4 Services where the ECO pays the tax (section 9(5))</w:t>
      </w:r>
    </w:p>
    <w:p>
      <w:pPr>
        <w:spacing w:after="120" w:line="276"/>
        <w:jc w:val="both"/>
      </w:pPr>
      <w:r>
        <w:rPr>
          <w:rFonts w:ascii="Verdana" w:cs="Verdana" w:eastAsia="Verdana" w:hAnsi="Verdana"/>
        </w:rPr>
        <w:t xml:space="preserve">For some services the Government notified under section 9(5) that the ECO, not the actual supplier, is liable to pay tax as if it were the supplier. The notified services are:</w:t>
      </w:r>
    </w:p>
    <w:p>
      <w:pPr>
        <w:pStyle w:val="ListParagraph"/>
        <w:numPr>
          <w:ilvl w:val="0"/>
          <w:numId w:val="2"/>
        </w:numPr>
        <w:spacing w:after="60" w:line="264"/>
      </w:pPr>
      <w:r>
        <w:rPr>
          <w:rFonts w:ascii="Verdana" w:cs="Verdana" w:eastAsia="Verdana" w:hAnsi="Verdana"/>
        </w:rPr>
        <w:t xml:space="preserve">Passenger transport by radio taxi, motor cab, maxi cab, motorcycle or omnibus.</w:t>
      </w:r>
    </w:p>
    <w:p>
      <w:pPr>
        <w:pStyle w:val="ListParagraph"/>
        <w:numPr>
          <w:ilvl w:val="0"/>
          <w:numId w:val="2"/>
        </w:numPr>
        <w:spacing w:after="60" w:line="264"/>
      </w:pPr>
      <w:r>
        <w:rPr>
          <w:rFonts w:ascii="Verdana" w:cs="Verdana" w:eastAsia="Verdana" w:hAnsi="Verdana"/>
        </w:rPr>
        <w:t xml:space="preserve">Accommodation in hotels, inns, guest houses, clubs and similar places, except where the supplier is himself liable to be registered under section 22(1).</w:t>
      </w:r>
    </w:p>
    <w:p>
      <w:pPr>
        <w:pStyle w:val="ListParagraph"/>
        <w:numPr>
          <w:ilvl w:val="0"/>
          <w:numId w:val="2"/>
        </w:numPr>
        <w:spacing w:after="60" w:line="264"/>
      </w:pPr>
      <w:r>
        <w:rPr>
          <w:rFonts w:ascii="Verdana" w:cs="Verdana" w:eastAsia="Verdana" w:hAnsi="Verdana"/>
        </w:rPr>
        <w:t xml:space="preserve">Housekeeping services such as plumbing and carpentry, with the same exception.</w:t>
      </w:r>
    </w:p>
    <w:p>
      <w:pPr>
        <w:pStyle w:val="ListParagraph"/>
        <w:numPr>
          <w:ilvl w:val="0"/>
          <w:numId w:val="2"/>
        </w:numPr>
        <w:spacing w:after="60" w:line="264"/>
      </w:pPr>
      <w:r>
        <w:rPr>
          <w:rFonts w:ascii="Verdana" w:cs="Verdana" w:eastAsia="Verdana" w:hAnsi="Verdana"/>
        </w:rPr>
        <w:t xml:space="preserve">Restaurant services, from 1 January 2022, other than services at specified premises.</w:t>
      </w:r>
    </w:p>
    <w:p>
      <w:pPr>
        <w:pStyle w:val="ListParagraph"/>
        <w:numPr>
          <w:ilvl w:val="0"/>
          <w:numId w:val="2"/>
        </w:numPr>
        <w:spacing w:after="60" w:line="264"/>
      </w:pPr>
      <w:r>
        <w:rPr>
          <w:rFonts w:ascii="Verdana" w:cs="Verdana" w:eastAsia="Verdana" w:hAnsi="Verdana"/>
        </w:rPr>
        <w:t xml:space="preserve">Local delivery services, from 22 September 2025, where the supplier is not registered. The ECO pays 18%.</w:t>
      </w:r>
    </w:p>
    <w:p>
      <w:pPr>
        <w:spacing w:after="120" w:line="276"/>
        <w:jc w:val="both"/>
      </w:pPr>
      <w:r>
        <w:rPr>
          <w:rFonts w:ascii="Verdana" w:cs="Verdana" w:eastAsia="Verdana" w:hAnsi="Verdana"/>
        </w:rPr>
        <w:t xml:space="preserve">The ECO pays this tax in cash; ITC cannot be used for section 9(5) liability. Its own commission from the supplier is a separate supply at 18%. In GSTR-3B, Table 3.1.1(i) is used by the ECO to report supplies on which it pays tax under section 9(5), and Table 3.1.1(ii) is used by the registered supplier to report supplies made through the ECO on which the ECO pays tax, so that they are not taxed twice.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156: Section 9(5) on three platforms</w:t>
            </w:r>
          </w:p>
          <w:p>
            <w:pPr>
              <w:spacing w:after="60" w:line="260"/>
            </w:pPr>
            <w:r>
              <w:rPr>
                <w:rFonts w:ascii="Verdana" w:cs="Verdana" w:eastAsia="Verdana" w:hAnsi="Verdana"/>
                <w:sz w:val="20"/>
                <w:szCs w:val="20"/>
              </w:rPr>
              <w:t xml:space="preserve">A cab aggregator's rides in a month: fares Rs. 50,00,000. The aggregator pays GST on the fares at 5% = Rs. 2,50,000 under section 9(5). Its commission from drivers of Rs. 10,00,000 carries 18% = Rs. 1,80,000.</w:t>
            </w:r>
          </w:p>
          <w:p>
            <w:pPr>
              <w:spacing w:after="60" w:line="260"/>
            </w:pPr>
            <w:r>
              <w:rPr>
                <w:rFonts w:ascii="Verdana" w:cs="Verdana" w:eastAsia="Verdana" w:hAnsi="Verdana"/>
                <w:sz w:val="20"/>
                <w:szCs w:val="20"/>
              </w:rPr>
              <w:t xml:space="preserve">A food delivery app's restaurant orders: food value Rs. 1,20,00,000 (none from specified premises). The app pays 5% = Rs. 6,00,000 under section 9(5). Restaurants do not pay GST on these orders; they show them in Table 3.1.1(ii).</w:t>
            </w:r>
          </w:p>
          <w:p>
            <w:pPr>
              <w:spacing w:after="60" w:line="260"/>
            </w:pPr>
            <w:r>
              <w:rPr>
                <w:rFonts w:ascii="Verdana" w:cs="Verdana" w:eastAsia="Verdana" w:hAnsi="Verdana"/>
                <w:sz w:val="20"/>
                <w:szCs w:val="20"/>
              </w:rPr>
              <w:t xml:space="preserve">A local delivery app uses unregistered delivery partners for parcel delivery worth Rs. 20,00,000 in a month. From 22 September 2025 the app pays 18% = Rs. 3,60,000 (CGST Rs. 1,80,000 + SGST Rs. 1,80,000 for intra-State deliveries).</w:t>
            </w:r>
          </w:p>
          <w:p>
            <w:pPr>
              <w:spacing w:after="60" w:line="260"/>
            </w:pPr>
            <w:r>
              <w:rPr>
                <w:rFonts w:ascii="Verdana" w:cs="Verdana" w:eastAsia="Verdana" w:hAnsi="Verdana"/>
                <w:sz w:val="20"/>
                <w:szCs w:val="20"/>
              </w:rPr>
              <w:t xml:space="preserve">Result: total section 9(5) cash liability = Rs. 12,10,000. Only the commission tax of Rs. 1,80,000 can be paid using ITC.</w:t>
            </w:r>
          </w:p>
        </w:tc>
      </w:tr>
    </w:tbl>
    <w:p>
      <w:pPr>
        <w:spacing w:after="60"/>
      </w:pPr>
    </w:p>
    <w:p>
      <w:pPr>
        <w:pStyle w:val="Heading2"/>
        <w:keepNext/>
        <w:spacing w:after="120" w:before="240"/>
      </w:pPr>
      <w:r>
        <w:rPr>
          <w:rFonts w:ascii="Verdana" w:cs="Verdana" w:eastAsia="Verdana" w:hAnsi="Verdana"/>
        </w:rPr>
        <w:t xml:space="preserve">28.5 Digital services from abroad</w:t>
      </w:r>
    </w:p>
    <w:p>
      <w:pPr>
        <w:spacing w:after="120" w:line="276"/>
        <w:jc w:val="both"/>
      </w:pPr>
      <w:r>
        <w:rPr>
          <w:rFonts w:ascii="Verdana" w:cs="Verdana" w:eastAsia="Verdana" w:hAnsi="Verdana"/>
        </w:rPr>
        <w:t xml:space="preserve">Online information and database access or retrieval (OIDAR) services include streaming, cloud software, online advertising, e-books and similar services delivered over the internet. When a foreign supplier provides OIDAR services to an Indian consumer who is not registered (a non-taxable online recipient), the foreign supplier must register under the simplified scheme and pay IGST at 18% (section 14 of the IGST Act). From 1 October 2023 the definitions were widened to cover any unregistered recipient.</w:t>
      </w:r>
    </w:p>
    <w:p>
      <w:pPr>
        <w:spacing w:after="120" w:line="276"/>
        <w:jc w:val="both"/>
      </w:pPr>
      <w:r>
        <w:rPr>
          <w:rFonts w:ascii="Verdana" w:cs="Verdana" w:eastAsia="Verdana" w:hAnsi="Verdana"/>
        </w:rPr>
        <w:t xml:space="preserve">Where the Indian recipient is registered, the import is taxed under reverse charge. A company buying a foreign SaaS subscription pays IGST at 18% in cash and takes ITC in the same return, so the net cost is nil for a fully taxable business.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157: Import of SaaS under reverse charge</w:t>
            </w:r>
          </w:p>
          <w:p>
            <w:pPr>
              <w:spacing w:after="60" w:line="260"/>
            </w:pPr>
            <w:r>
              <w:rPr>
                <w:rFonts w:ascii="Verdana" w:cs="Verdana" w:eastAsia="Verdana" w:hAnsi="Verdana"/>
                <w:sz w:val="20"/>
                <w:szCs w:val="20"/>
              </w:rPr>
              <w:t xml:space="preserve">Patel Engineering Pvt. Ltd. pays USD 12,000 a year to a US company for design software. The exchange rate on the date of payment is Rs. 88 per dollar.</w:t>
            </w:r>
          </w:p>
          <w:p>
            <w:pPr>
              <w:spacing w:after="60" w:line="260"/>
            </w:pPr>
            <w:r>
              <w:rPr>
                <w:rFonts w:ascii="Verdana" w:cs="Verdana" w:eastAsia="Verdana" w:hAnsi="Verdana"/>
                <w:sz w:val="20"/>
                <w:szCs w:val="20"/>
              </w:rPr>
              <w:t xml:space="preserve">Step 1: Value = 12,000 x 88 = Rs. 10,56,000.</w:t>
            </w:r>
          </w:p>
          <w:p>
            <w:pPr>
              <w:spacing w:after="60" w:line="260"/>
            </w:pPr>
            <w:r>
              <w:rPr>
                <w:rFonts w:ascii="Verdana" w:cs="Verdana" w:eastAsia="Verdana" w:hAnsi="Verdana"/>
                <w:sz w:val="20"/>
                <w:szCs w:val="20"/>
              </w:rPr>
              <w:t xml:space="preserve">Step 2: IGST at 18% under reverse charge = Rs. 1,90,080, paid in cash (ITC cannot be used for reverse charge).</w:t>
            </w:r>
          </w:p>
          <w:p>
            <w:pPr>
              <w:spacing w:after="60" w:line="260"/>
            </w:pPr>
            <w:r>
              <w:rPr>
                <w:rFonts w:ascii="Verdana" w:cs="Verdana" w:eastAsia="Verdana" w:hAnsi="Verdana"/>
                <w:sz w:val="20"/>
                <w:szCs w:val="20"/>
              </w:rPr>
              <w:t xml:space="preserve">Step 3: ITC of Rs. 1,90,080 is taken in the same GSTR-3B. The net cost is nil where the company has enough output tax to use the credit; otherwise the credit accumulates in the ledger.</w:t>
            </w:r>
          </w:p>
        </w:tc>
      </w:tr>
    </w:tbl>
    <w:p>
      <w:pPr>
        <w:spacing w:after="60"/>
      </w:pPr>
    </w:p>
    <w:p>
      <w:pPr>
        <w:pStyle w:val="Heading2"/>
        <w:keepNext/>
        <w:spacing w:after="120" w:before="240"/>
      </w:pPr>
      <w:r>
        <w:rPr>
          <w:rFonts w:ascii="Verdana" w:cs="Verdana" w:eastAsia="Verdana" w:hAnsi="Verdana"/>
        </w:rPr>
        <w:t xml:space="preserve">28.6 Online gaming and actionable claims</w:t>
      </w:r>
    </w:p>
    <w:p>
      <w:pPr>
        <w:spacing w:after="120" w:line="276"/>
        <w:jc w:val="both"/>
      </w:pPr>
      <w:r>
        <w:rPr>
          <w:rFonts w:ascii="Verdana" w:cs="Verdana" w:eastAsia="Verdana" w:hAnsi="Verdana"/>
        </w:rPr>
        <w:t xml:space="preserve">From 1 October 2023, supply of actionable claims in online money gaming, betting, casinos, gambling and horse racing was made taxable at 28% on the full face value of the amount deposited by the player (sections 2(80A), 2(102A) and 15(5), rules 31B and 31C). The distinction between games of skill and games of chance was removed. The Promotion and Regulation of Online Gaming Act, 2025 then prohibited online money games altogether, while permitting e-sports and online social games. From 22 September 2025 these specified actionable claims (betting, casinos, gambling, horse racing, lottery and online money gaming) are taxed at 40%. Online games without stakes, such as social games and e-sports, continue at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Online gaming before October 2023</w:t>
            </w:r>
          </w:p>
          <w:p>
            <w:pPr>
              <w:spacing w:after="60" w:line="260"/>
            </w:pPr>
            <w:r>
              <w:rPr>
                <w:rFonts w:ascii="Verdana" w:cs="Verdana" w:eastAsia="Verdana" w:hAnsi="Verdana"/>
                <w:b/>
                <w:bCs/>
                <w:sz w:val="20"/>
                <w:szCs w:val="20"/>
              </w:rPr>
              <w:t xml:space="preserve">Directorate General of Goods and Services Tax Intelligence v. Gameskraft Technologies (P) Ltd. (Supreme Court, 2026):</w:t>
            </w:r>
            <w:r>
              <w:rPr>
                <w:rFonts w:ascii="Verdana" w:cs="Verdana" w:eastAsia="Verdana" w:hAnsi="Verdana"/>
                <w:sz w:val="20"/>
                <w:szCs w:val="20"/>
              </w:rPr>
              <w:t xml:space="preserve"> decided on 27 May 2026, the Court upheld tax at 28% on the full value of the stakes, holding that platforms where players stake money on uncertain outcomes supply actionable claims in betting and gambling, whether the game is one of skill or chance. It treated the 2023 amendments as clarificatory. Demands for 2017 to 2023 are to be reworked under the valuation in rules 31B and 31C. Practitioners with pending gaming notices should read the judgment for the exact directions on valuation.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Offshore online gaming platforms serving Indian players must register under section 14A of the IGST Act. With money games banned, the 40% entry now matters mainly for casinos, horse racing and lottery.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An ECO collects TCS at 0.5% on net taxable supplies of other suppliers (1% before 10 July 2024) and files GSTR-8 by the 10th.</w:t>
            </w:r>
          </w:p>
          <w:p>
            <w:pPr>
              <w:spacing w:after="60" w:line="260"/>
            </w:pPr>
            <w:r>
              <w:rPr>
                <w:rFonts w:ascii="Verdana" w:cs="Verdana" w:eastAsia="Verdana" w:hAnsi="Verdana"/>
                <w:sz w:val="20"/>
                <w:szCs w:val="20"/>
              </w:rPr>
              <w:t xml:space="preserve">•  Small service suppliers, and from 1 October 2023 small intra-State goods suppliers, can sell through ECOs without registration.</w:t>
            </w:r>
          </w:p>
          <w:p>
            <w:pPr>
              <w:spacing w:after="60" w:line="260"/>
            </w:pPr>
            <w:r>
              <w:rPr>
                <w:rFonts w:ascii="Verdana" w:cs="Verdana" w:eastAsia="Verdana" w:hAnsi="Verdana"/>
                <w:sz w:val="20"/>
                <w:szCs w:val="20"/>
              </w:rPr>
              <w:t xml:space="preserve">•  Under section 9(5) the ECO pays tax in cash on passenger transport, accommodation, housekeeping, restaurant services and, from 22 September 2025, local delivery by unregistered suppliers.</w:t>
            </w:r>
          </w:p>
          <w:p>
            <w:pPr>
              <w:spacing w:after="60" w:line="260"/>
            </w:pPr>
            <w:r>
              <w:rPr>
                <w:rFonts w:ascii="Verdana" w:cs="Verdana" w:eastAsia="Verdana" w:hAnsi="Verdana"/>
                <w:sz w:val="20"/>
                <w:szCs w:val="20"/>
              </w:rPr>
              <w:t xml:space="preserve">•  OIDAR to Indian consumers is taxed through foreign supplier registration; B2B imports of software are under reverse charge with ITC.</w:t>
            </w:r>
          </w:p>
          <w:p>
            <w:pPr>
              <w:spacing w:after="60" w:line="260"/>
            </w:pPr>
            <w:r>
              <w:rPr>
                <w:rFonts w:ascii="Verdana" w:cs="Verdana" w:eastAsia="Verdana" w:hAnsi="Verdana"/>
                <w:sz w:val="20"/>
                <w:szCs w:val="20"/>
              </w:rPr>
              <w:t xml:space="preserve">•  Online money gaming: 28% on deposits from 1 October 2023 (upheld by the Supreme Court in 2026), 40% on specified actionable claims from 22 September 2025, and money games now banned.</w:t>
            </w:r>
          </w:p>
        </w:tc>
      </w:tr>
    </w:tbl>
    <w:p>
      <w:pPr>
        <w:pStyle w:val="Heading1"/>
        <w:pageBreakBefore/>
        <w:spacing w:after="200" w:before="0"/>
      </w:pPr>
      <w:r>
        <w:rPr>
          <w:rFonts w:ascii="Verdana" w:cs="Verdana" w:eastAsia="Verdana" w:hAnsi="Verdana"/>
        </w:rPr>
        <w:t xml:space="preserve">29. Financial Services, Banking and Insurance</w:t>
      </w:r>
    </w:p>
    <w:p>
      <w:pPr>
        <w:spacing w:after="120" w:line="276"/>
        <w:jc w:val="both"/>
      </w:pPr>
      <w:r>
        <w:rPr>
          <w:rFonts w:ascii="Verdana" w:cs="Verdana" w:eastAsia="Verdana" w:hAnsi="Verdana"/>
        </w:rPr>
        <w:t xml:space="preserve">Financial services mix exempt interest, taxable fees and money and securities outside GST. The work is deciding which receipts are taxable and how much credit survives.</w:t>
      </w:r>
    </w:p>
    <w:p>
      <w:pPr>
        <w:pStyle w:val="Heading2"/>
        <w:keepNext/>
        <w:spacing w:after="120" w:before="240"/>
      </w:pPr>
      <w:r>
        <w:rPr>
          <w:rFonts w:ascii="Verdana" w:cs="Verdana" w:eastAsia="Verdana" w:hAnsi="Verdana"/>
        </w:rPr>
        <w:t xml:space="preserve">29.1 Interest, fees and what is outside GST</w:t>
      </w:r>
    </w:p>
    <w:p>
      <w:pPr>
        <w:spacing w:after="120" w:line="276"/>
        <w:jc w:val="both"/>
      </w:pPr>
      <w:r>
        <w:rPr>
          <w:rFonts w:ascii="Verdana" w:cs="Verdana" w:eastAsia="Verdana" w:hAnsi="Verdana"/>
        </w:rPr>
        <w:t xml:space="preserve">Services by way of extending deposits, loans or advances, where the consideration is interest or discount, are exempt (other than interest on credit card dues). Money and securities are excluded from the definitions of goods and services (sections 2(52) and 2(102)), so a transaction in money itself, or a sale of shares, bonds or units, is not a supply. Around these sit the fees that are taxable at 18%: loan processing fees, documentation charges, foreclosure charges, account maintenance charges, locker rent, card fees, brokerage and advisory fees.</w:t>
      </w:r>
    </w:p>
    <w:p>
      <w:pPr>
        <w:spacing w:after="120" w:line="276"/>
        <w:jc w:val="both"/>
      </w:pPr>
      <w:r>
        <w:rPr>
          <w:rFonts w:ascii="Verdana" w:cs="Verdana" w:eastAsia="Verdana" w:hAnsi="Verdana"/>
        </w:rPr>
        <w:t xml:space="preserve">Following the 55th Council meeting (December 2024), a CBIC circular clarified that penal charges levied by banks and NBFCs under RBI directions do not attract GST, and the exemption for card settlements up to Rs. 2,000 was extended to RBI-regulated payment aggregators (but not payment gateways).</w:t>
      </w:r>
    </w:p>
    <w:p>
      <w:pPr>
        <w:pStyle w:val="Heading2"/>
        <w:keepNext/>
        <w:spacing w:after="120" w:before="240"/>
      </w:pPr>
      <w:r>
        <w:rPr>
          <w:rFonts w:ascii="Verdana" w:cs="Verdana" w:eastAsia="Verdana" w:hAnsi="Verdana"/>
        </w:rPr>
        <w:t xml:space="preserve">29.2 Banks and the 50% ITC option</w:t>
      </w:r>
    </w:p>
    <w:p>
      <w:pPr>
        <w:spacing w:after="120" w:line="276"/>
        <w:jc w:val="both"/>
      </w:pPr>
      <w:r>
        <w:rPr>
          <w:rFonts w:ascii="Verdana" w:cs="Verdana" w:eastAsia="Verdana" w:hAnsi="Verdana"/>
        </w:rPr>
        <w:t xml:space="preserve">A banking company, financial institution or NBFC that supplies both exempt and taxable services has two choices under section 17(4) and rule 38. It can reverse ITC on common inputs under rules 42 and 43 like any other business, or it can take 50% of the eligible ITC every month and let the other 50% lapse. The option, once exercised, cannot be withdrawn during the financial year. The 50% restriction does not apply to tax paid on supplies from one registered person to another with the same PAN.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158: Rule 42 or the 50% option</w:t>
            </w:r>
          </w:p>
          <w:p>
            <w:pPr>
              <w:spacing w:after="60" w:line="260"/>
            </w:pPr>
            <w:r>
              <w:rPr>
                <w:rFonts w:ascii="Verdana" w:cs="Verdana" w:eastAsia="Verdana" w:hAnsi="Verdana"/>
                <w:sz w:val="20"/>
                <w:szCs w:val="20"/>
              </w:rPr>
              <w:t xml:space="preserve">Suraksha Finance Ltd., an NBFC, has common ITC of Rs. 12,00,000 in a month. Taxable turnover (fees) is Rs. 80,00,000 and exempt turnover (interest) is Rs. 4,20,00,000. For rule 42, the value of exempt interest income of an NBFC is included in exempt turnover.</w:t>
            </w:r>
          </w:p>
          <w:p>
            <w:pPr>
              <w:spacing w:after="60" w:line="260"/>
            </w:pPr>
            <w:r>
              <w:rPr>
                <w:rFonts w:ascii="Verdana" w:cs="Verdana" w:eastAsia="Verdana" w:hAnsi="Verdana"/>
                <w:sz w:val="20"/>
                <w:szCs w:val="20"/>
              </w:rPr>
              <w:t xml:space="preserve">Step 1: Total turnover = Rs. 5,00,00,000. Exempt share = 420/500 = 84%.</w:t>
            </w:r>
          </w:p>
          <w:p>
            <w:pPr>
              <w:spacing w:after="60" w:line="260"/>
            </w:pPr>
            <w:r>
              <w:rPr>
                <w:rFonts w:ascii="Verdana" w:cs="Verdana" w:eastAsia="Verdana" w:hAnsi="Verdana"/>
                <w:sz w:val="20"/>
                <w:szCs w:val="20"/>
              </w:rPr>
              <w:t xml:space="preserve">Step 2: Under rule 42, ITC reversed = 84% of Rs. 12,00,000 = Rs. 10,08,000. ITC retained = Rs. 1,92,000.</w:t>
            </w:r>
          </w:p>
          <w:p>
            <w:pPr>
              <w:spacing w:after="60" w:line="260"/>
            </w:pPr>
            <w:r>
              <w:rPr>
                <w:rFonts w:ascii="Verdana" w:cs="Verdana" w:eastAsia="Verdana" w:hAnsi="Verdana"/>
                <w:sz w:val="20"/>
                <w:szCs w:val="20"/>
              </w:rPr>
              <w:t xml:space="preserve">Step 3: Under the 50% option, ITC retained = Rs. 6,00,000.</w:t>
            </w:r>
          </w:p>
          <w:p>
            <w:pPr>
              <w:spacing w:after="60" w:line="260"/>
            </w:pPr>
            <w:r>
              <w:rPr>
                <w:rFonts w:ascii="Verdana" w:cs="Verdana" w:eastAsia="Verdana" w:hAnsi="Verdana"/>
                <w:sz w:val="20"/>
                <w:szCs w:val="20"/>
              </w:rPr>
              <w:t xml:space="preserve">Result: the 50% option gives Rs. 4,08,000 more credit every month for this NBFC. For an entity with mostly taxable income, rule 42 is better; the choice must be made each year on projected figures.</w:t>
            </w:r>
          </w:p>
        </w:tc>
      </w:tr>
    </w:tbl>
    <w:p>
      <w:pPr>
        <w:spacing w:after="60"/>
      </w:pPr>
    </w:p>
    <w:p>
      <w:pPr>
        <w:pStyle w:val="Heading2"/>
        <w:keepNext/>
        <w:spacing w:after="120" w:before="240"/>
      </w:pPr>
      <w:r>
        <w:rPr>
          <w:rFonts w:ascii="Verdana" w:cs="Verdana" w:eastAsia="Verdana" w:hAnsi="Verdana"/>
        </w:rPr>
        <w:t xml:space="preserve">29.3 Money changing: rule 32</w:t>
      </w:r>
    </w:p>
    <w:p>
      <w:pPr>
        <w:spacing w:after="120" w:line="276"/>
        <w:jc w:val="both"/>
      </w:pPr>
      <w:r>
        <w:rPr>
          <w:rFonts w:ascii="Verdana" w:cs="Verdana" w:eastAsia="Verdana" w:hAnsi="Verdana"/>
        </w:rPr>
        <w:t xml:space="preserve">Purchase or sale of foreign currency is a service; the value is not the currency amount. Under rule 32(2)(a) the value is the difference between the buying or selling rate and the RBI reference rate, multiplied by the units of currency. If the RBI reference rate is not available, the value is 1% of the gross amount of Indian rupees provided or received. Alternatively, under rule 32(2)(b), the supplier can opt for a slab value: 1% of the amount up to Rs. 1,00,000 (minimum Rs. 250); Rs. 1,000 plus 0.5% of the amount from Rs. 1,00,000 to Rs. 10,00,000; and Rs. 5,000 plus 0.1% of the amount above Rs. 10,00,000, subject to a maximum of Rs. 60,000.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159: Value of forex sale</w:t>
            </w:r>
          </w:p>
          <w:p>
            <w:pPr>
              <w:spacing w:after="60" w:line="260"/>
            </w:pPr>
            <w:r>
              <w:rPr>
                <w:rFonts w:ascii="Verdana" w:cs="Verdana" w:eastAsia="Verdana" w:hAnsi="Verdana"/>
                <w:sz w:val="20"/>
                <w:szCs w:val="20"/>
              </w:rPr>
              <w:t xml:space="preserve">Ria Forex sells USD 5,000 to a traveller at Rs. 88.60 when the RBI reference rate is Rs. 87.90.</w:t>
            </w:r>
          </w:p>
          <w:p>
            <w:pPr>
              <w:spacing w:after="60" w:line="260"/>
            </w:pPr>
            <w:r>
              <w:rPr>
                <w:rFonts w:ascii="Verdana" w:cs="Verdana" w:eastAsia="Verdana" w:hAnsi="Verdana"/>
                <w:sz w:val="20"/>
                <w:szCs w:val="20"/>
              </w:rPr>
              <w:t xml:space="preserve">Step 1: Rule 32(2)(a): (88.60 minus 87.90) x 5,000 = Rs. 3,500. GST at 18% = Rs. 630.</w:t>
            </w:r>
          </w:p>
          <w:p>
            <w:pPr>
              <w:spacing w:after="60" w:line="260"/>
            </w:pPr>
            <w:r>
              <w:rPr>
                <w:rFonts w:ascii="Verdana" w:cs="Verdana" w:eastAsia="Verdana" w:hAnsi="Verdana"/>
                <w:sz w:val="20"/>
                <w:szCs w:val="20"/>
              </w:rPr>
              <w:t xml:space="preserve">Step 2: Rupee amount = 5,000 x 88.60 = Rs. 4,43,000. Under rule 32(2)(b): Rs. 1,000 + 0.5% of (Rs. 4,43,000 less Rs. 1,00,000) = Rs. 1,000 + Rs. 1,715 = Rs. 2,715. GST at 18% = Rs. 488.70.</w:t>
            </w:r>
          </w:p>
          <w:p>
            <w:pPr>
              <w:spacing w:after="60" w:line="260"/>
            </w:pPr>
            <w:r>
              <w:rPr>
                <w:rFonts w:ascii="Verdana" w:cs="Verdana" w:eastAsia="Verdana" w:hAnsi="Verdana"/>
                <w:sz w:val="20"/>
                <w:szCs w:val="20"/>
              </w:rPr>
              <w:t xml:space="preserve">Result: the slab option gives a lower value here. The option must be applied to all transactions in a financial year.</w:t>
            </w:r>
          </w:p>
        </w:tc>
      </w:tr>
    </w:tbl>
    <w:p>
      <w:pPr>
        <w:spacing w:after="60"/>
      </w:pPr>
    </w:p>
    <w:p>
      <w:pPr>
        <w:pStyle w:val="Heading2"/>
        <w:keepNext/>
        <w:spacing w:after="120" w:before="240"/>
      </w:pPr>
      <w:r>
        <w:rPr>
          <w:rFonts w:ascii="Verdana" w:cs="Verdana" w:eastAsia="Verdana" w:hAnsi="Verdana"/>
        </w:rPr>
        <w:t xml:space="preserve">29.4 Insurance</w:t>
      </w:r>
    </w:p>
    <w:p>
      <w:pPr>
        <w:spacing w:after="120" w:line="276"/>
        <w:jc w:val="both"/>
      </w:pPr>
      <w:r>
        <w:rPr>
          <w:rFonts w:ascii="Verdana" w:cs="Verdana" w:eastAsia="Verdana" w:hAnsi="Verdana"/>
        </w:rPr>
        <w:t xml:space="preserve">General insurance, and life insurance other than the individual policies now exempt, is taxable at 18%. For taxable life insurance, rule 32(4) values the service at the premium less the investment portion, or at set percentages of the premium.</w:t>
      </w:r>
    </w:p>
    <w:p>
      <w:pPr>
        <w:spacing w:after="120" w:line="276"/>
        <w:jc w:val="both"/>
      </w:pPr>
      <w:r>
        <w:rPr>
          <w:rFonts w:ascii="Verdana" w:cs="Verdana" w:eastAsia="Verdana" w:hAnsi="Verdana"/>
        </w:rPr>
        <w:t xml:space="preserve">From 22 September 2025, individual life insurance policies (term, ULIP and endowment) and individual health insurance policies, including family floater policies and policies for senior citizens, together with their reinsurance, are exempt. Group policies bought by employers remain taxable at 18%. Insurers now have exempt outward supplies, so they must reverse ITC attributable to exempt policies under rules 42 and 43. Commission to insurance agents is still taxable, with the insurer paying tax under reverse charge; to the extent the commission relates to exempt policies, that tax is now a cost.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160: Health insurer after 22 September 2025</w:t>
            </w:r>
          </w:p>
          <w:p>
            <w:pPr>
              <w:spacing w:after="60" w:line="260"/>
            </w:pPr>
            <w:r>
              <w:rPr>
                <w:rFonts w:ascii="Verdana" w:cs="Verdana" w:eastAsia="Verdana" w:hAnsi="Verdana"/>
                <w:sz w:val="20"/>
                <w:szCs w:val="20"/>
              </w:rPr>
              <w:t xml:space="preserve">Arogya General Insurance Ltd. has monthly premium of Rs. 100 crore: individual health Rs. 60 crore (exempt), group health Rs. 25 crore and motor Rs. 15 crore (taxable at 18%). Common ITC for the month is Rs. 3 crore and reverse charge on agents' commission is Rs. 1.8 crore.</w:t>
            </w:r>
          </w:p>
          <w:p>
            <w:pPr>
              <w:spacing w:after="60" w:line="260"/>
            </w:pPr>
            <w:r>
              <w:rPr>
                <w:rFonts w:ascii="Verdana" w:cs="Verdana" w:eastAsia="Verdana" w:hAnsi="Verdana"/>
                <w:sz w:val="20"/>
                <w:szCs w:val="20"/>
              </w:rPr>
              <w:t xml:space="preserve">Step 1: Output tax on taxable premium of Rs. 40 crore at 18% = Rs. 7,20,00,000.</w:t>
            </w:r>
          </w:p>
          <w:p>
            <w:pPr>
              <w:spacing w:after="60" w:line="260"/>
            </w:pPr>
            <w:r>
              <w:rPr>
                <w:rFonts w:ascii="Verdana" w:cs="Verdana" w:eastAsia="Verdana" w:hAnsi="Verdana"/>
                <w:sz w:val="20"/>
                <w:szCs w:val="20"/>
              </w:rPr>
              <w:t xml:space="preserve">Step 2: Total ITC = common ITC Rs. 3,00,00,000 + reverse charge credit Rs. 1,80,00,000 = Rs. 4,80,00,000. Exempt share = 60%. ITC reversed = Rs. 2,88,00,000. ITC retained = Rs. 1,92,00,000.</w:t>
            </w:r>
          </w:p>
          <w:p>
            <w:pPr>
              <w:spacing w:after="60" w:line="260"/>
            </w:pPr>
            <w:r>
              <w:rPr>
                <w:rFonts w:ascii="Verdana" w:cs="Verdana" w:eastAsia="Verdana" w:hAnsi="Verdana"/>
                <w:sz w:val="20"/>
                <w:szCs w:val="20"/>
              </w:rPr>
              <w:t xml:space="preserve">Step 3: Net cash tax on output = Rs. 5,28,00,000; reverse charge Rs. 1,80,00,000 is paid in cash separately.</w:t>
            </w:r>
          </w:p>
          <w:p>
            <w:pPr>
              <w:spacing w:after="60" w:line="260"/>
            </w:pPr>
            <w:r>
              <w:rPr>
                <w:rFonts w:ascii="Verdana" w:cs="Verdana" w:eastAsia="Verdana" w:hAnsi="Verdana"/>
                <w:sz w:val="20"/>
                <w:szCs w:val="20"/>
              </w:rPr>
              <w:t xml:space="preserve">Result: Rs. 2,88,00,000 a month of lost credit becomes the insurer's cost.</w:t>
            </w:r>
          </w:p>
        </w:tc>
      </w:tr>
    </w:tbl>
    <w:p>
      <w:pPr>
        <w:spacing w:after="60"/>
      </w:pPr>
    </w:p>
    <w:p>
      <w:pPr>
        <w:pStyle w:val="Heading2"/>
        <w:keepNext/>
        <w:spacing w:after="120" w:before="240"/>
      </w:pPr>
      <w:r>
        <w:rPr>
          <w:rFonts w:ascii="Verdana" w:cs="Verdana" w:eastAsia="Verdana" w:hAnsi="Verdana"/>
        </w:rPr>
        <w:t xml:space="preserve">29.5 Mutual funds, brokers and securities</w:t>
      </w:r>
    </w:p>
    <w:p>
      <w:pPr>
        <w:spacing w:after="120" w:line="276"/>
        <w:jc w:val="both"/>
      </w:pPr>
      <w:r>
        <w:rPr>
          <w:rFonts w:ascii="Verdana" w:cs="Verdana" w:eastAsia="Verdana" w:hAnsi="Verdana"/>
        </w:rPr>
        <w:t xml:space="preserve">Units and shares are securities, so their issue, redemption and transfer are not supplies. The asset management company charges management fees to the scheme at 18%. Stock brokers charge 18% on brokerage and related charges. For ITC reversal under rules 42 and 43, the value of securities sold is taken at 1% of the sale value, which prevents a company that sells investments from losing most of its credit.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Banks, insurers and NBFCs are exempt from e-invoicing, but must still issue invoices (a consolidated monthly invoice is allowed). State-wise registrations and head office cross charge are the usual audit issues.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Interest on loans and deposits is exempt; fees and charges are taxable at 18%; money and securities are outside GST.</w:t>
            </w:r>
          </w:p>
          <w:p>
            <w:pPr>
              <w:spacing w:after="60" w:line="260"/>
            </w:pPr>
            <w:r>
              <w:rPr>
                <w:rFonts w:ascii="Verdana" w:cs="Verdana" w:eastAsia="Verdana" w:hAnsi="Verdana"/>
                <w:sz w:val="20"/>
                <w:szCs w:val="20"/>
              </w:rPr>
              <w:t xml:space="preserve">•  Penal charges under RBI directions are not taxable; payment aggregators get the Rs. 2,000 card exemption.</w:t>
            </w:r>
          </w:p>
          <w:p>
            <w:pPr>
              <w:spacing w:after="60" w:line="260"/>
            </w:pPr>
            <w:r>
              <w:rPr>
                <w:rFonts w:ascii="Verdana" w:cs="Verdana" w:eastAsia="Verdana" w:hAnsi="Verdana"/>
                <w:sz w:val="20"/>
                <w:szCs w:val="20"/>
              </w:rPr>
              <w:t xml:space="preserve">•  Banks, FIs and NBFCs may take 50% of ITC every month instead of rule 42 and 43 reversal.</w:t>
            </w:r>
          </w:p>
          <w:p>
            <w:pPr>
              <w:spacing w:after="60" w:line="260"/>
            </w:pPr>
            <w:r>
              <w:rPr>
                <w:rFonts w:ascii="Verdana" w:cs="Verdana" w:eastAsia="Verdana" w:hAnsi="Verdana"/>
                <w:sz w:val="20"/>
                <w:szCs w:val="20"/>
              </w:rPr>
              <w:t xml:space="preserve">•  Forex dealers value supplies under rule 32(2)(a) or the slab option under rule 32(2)(b).</w:t>
            </w:r>
          </w:p>
          <w:p>
            <w:pPr>
              <w:spacing w:after="60" w:line="260"/>
            </w:pPr>
            <w:r>
              <w:rPr>
                <w:rFonts w:ascii="Verdana" w:cs="Verdana" w:eastAsia="Verdana" w:hAnsi="Verdana"/>
                <w:sz w:val="20"/>
                <w:szCs w:val="20"/>
              </w:rPr>
              <w:t xml:space="preserve">•  Individual life and health insurance are exempt from 22 September 2025; group policies remain at 18%; insurers reverse ITC on exempt policies.</w:t>
            </w:r>
          </w:p>
        </w:tc>
      </w:tr>
    </w:tbl>
    <w:p>
      <w:pPr>
        <w:pStyle w:val="Heading1"/>
        <w:pageBreakBefore/>
        <w:spacing w:after="200" w:before="0"/>
      </w:pPr>
      <w:r>
        <w:rPr>
          <w:rFonts w:ascii="Verdana" w:cs="Verdana" w:eastAsia="Verdana" w:hAnsi="Verdana"/>
        </w:rPr>
        <w:t xml:space="preserve">30. Employees, Directors and Group Companies</w:t>
      </w:r>
    </w:p>
    <w:p>
      <w:pPr>
        <w:spacing w:after="120" w:line="276"/>
        <w:jc w:val="both"/>
      </w:pPr>
      <w:r>
        <w:rPr>
          <w:rFonts w:ascii="Verdana" w:cs="Verdana" w:eastAsia="Verdana" w:hAnsi="Verdana"/>
        </w:rPr>
        <w:t xml:space="preserve">Transactions with employees, directors and group companies often carry no invoice or price. GST reaches some of them through Schedule I and the valuation rules for related persons.</w:t>
      </w:r>
    </w:p>
    <w:p>
      <w:pPr>
        <w:pStyle w:val="Heading2"/>
        <w:keepNext/>
        <w:spacing w:after="120" w:before="240"/>
      </w:pPr>
      <w:r>
        <w:rPr>
          <w:rFonts w:ascii="Verdana" w:cs="Verdana" w:eastAsia="Verdana" w:hAnsi="Verdana"/>
        </w:rPr>
        <w:t xml:space="preserve">30.1 Employees: Schedule III and perquisites</w:t>
      </w:r>
    </w:p>
    <w:p>
      <w:pPr>
        <w:spacing w:after="120" w:line="276"/>
        <w:jc w:val="both"/>
      </w:pPr>
      <w:r>
        <w:rPr>
          <w:rFonts w:ascii="Verdana" w:cs="Verdana" w:eastAsia="Verdana" w:hAnsi="Verdana"/>
        </w:rPr>
        <w:t xml:space="preserve">Services by an employee to the employer in the course of employment are neither goods nor services (paragraph 1 of Schedule III). Salary therefore carries no GST. Employer and employee are related persons under section 15, and Schedule I paragraph 2 treats supplies between related persons without consideration as supplies. But the proviso to that paragraph says gifts by an employer to an employee up to Rs. 50,000 in value in a financial year are not supplies.</w:t>
      </w:r>
    </w:p>
    <w:p>
      <w:pPr>
        <w:spacing w:after="120" w:line="276"/>
        <w:jc w:val="both"/>
      </w:pPr>
      <w:r>
        <w:rPr>
          <w:rFonts w:ascii="Verdana" w:cs="Verdana" w:eastAsia="Verdana" w:hAnsi="Verdana"/>
        </w:rPr>
        <w:t xml:space="preserve">Circular 172/04/2022-GST clarified that perquisites given under the employment contract are not supplies. It also clarified that the proviso to section 17(5)(b), which allows ITC where it is obligatory for an employer to provide goods or services to employees under any law, applies to the whole of clause (b), including food, health services, life and health insurance and travel benefits.</w:t>
      </w:r>
    </w:p>
    <w:p>
      <w:pPr>
        <w:pStyle w:val="Heading3"/>
        <w:keepNext/>
        <w:spacing w:after="80" w:before="160"/>
      </w:pPr>
      <w:r>
        <w:rPr>
          <w:rFonts w:ascii="Verdana" w:cs="Verdana" w:eastAsia="Verdana" w:hAnsi="Verdana"/>
        </w:rPr>
        <w:t xml:space="preserve">Recoveries from employees</w:t>
      </w:r>
    </w:p>
    <w:p>
      <w:pPr>
        <w:pStyle w:val="ListParagraph"/>
        <w:numPr>
          <w:ilvl w:val="0"/>
          <w:numId w:val="2"/>
        </w:numPr>
        <w:spacing w:after="60" w:line="264"/>
      </w:pPr>
      <w:r>
        <w:rPr>
          <w:rFonts w:ascii="Verdana" w:cs="Verdana" w:eastAsia="Verdana" w:hAnsi="Verdana"/>
          <w:b/>
          <w:bCs/>
        </w:rPr>
        <w:t xml:space="preserve">Canteen:</w:t>
      </w:r>
      <w:r>
        <w:rPr>
          <w:rFonts w:ascii="Verdana" w:cs="Verdana" w:eastAsia="Verdana" w:hAnsi="Verdana"/>
        </w:rPr>
        <w:t xml:space="preserve"> where the employer collects the employees' share and passes it to a canteen contractor without any margin, advance rulings have generally held that the employer is not supplying food. Where the employer runs the canteen itself and charges, it is a supply.</w:t>
      </w:r>
    </w:p>
    <w:p>
      <w:pPr>
        <w:pStyle w:val="ListParagraph"/>
        <w:numPr>
          <w:ilvl w:val="0"/>
          <w:numId w:val="2"/>
        </w:numPr>
        <w:spacing w:after="60" w:line="264"/>
      </w:pPr>
      <w:r>
        <w:rPr>
          <w:rFonts w:ascii="Verdana" w:cs="Verdana" w:eastAsia="Verdana" w:hAnsi="Verdana"/>
          <w:b/>
          <w:bCs/>
        </w:rPr>
        <w:t xml:space="preserve">Notice pay and bond amounts:</w:t>
      </w:r>
      <w:r>
        <w:rPr>
          <w:rFonts w:ascii="Verdana" w:cs="Verdana" w:eastAsia="Verdana" w:hAnsi="Verdana"/>
        </w:rPr>
        <w:t xml:space="preserve"> Circular 178/10/2022-GST clarified that forfeiture of salary or payment by an employee for leaving before the agreed period or without notice is not consideration for tolerating an act, and is not taxable.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161: Diwali gifts and canteen</w:t>
            </w:r>
          </w:p>
          <w:p>
            <w:pPr>
              <w:spacing w:after="60" w:line="260"/>
            </w:pPr>
            <w:r>
              <w:rPr>
                <w:rFonts w:ascii="Verdana" w:cs="Verdana" w:eastAsia="Verdana" w:hAnsi="Verdana"/>
                <w:sz w:val="20"/>
                <w:szCs w:val="20"/>
              </w:rPr>
              <w:t xml:space="preserve">Mehta Pharma Ltd. gives each of its 400 employees a gift hamper worth Rs. 6,000 at Diwali and a watch worth Rs. 48,000 to 10 senior staff for long service. It has a canteen for 600 workers in its factory as required by the Factories Act, 1948. Canteen contractor bills are Rs. 5,00,000 a month plus 5% GST.</w:t>
            </w:r>
          </w:p>
          <w:p>
            <w:pPr>
              <w:spacing w:after="60" w:line="260"/>
            </w:pPr>
            <w:r>
              <w:rPr>
                <w:rFonts w:ascii="Verdana" w:cs="Verdana" w:eastAsia="Verdana" w:hAnsi="Verdana"/>
                <w:sz w:val="20"/>
                <w:szCs w:val="20"/>
              </w:rPr>
              <w:t xml:space="preserve">Step 1: Each employee receives gifts within Rs. 50,000 in the year: hamper Rs. 6,000, and for senior staff Rs. 6,000 + Rs. 48,000 = Rs. 54,000.</w:t>
            </w:r>
          </w:p>
          <w:p>
            <w:pPr>
              <w:spacing w:after="60" w:line="260"/>
            </w:pPr>
            <w:r>
              <w:rPr>
                <w:rFonts w:ascii="Verdana" w:cs="Verdana" w:eastAsia="Verdana" w:hAnsi="Verdana"/>
                <w:sz w:val="20"/>
                <w:szCs w:val="20"/>
              </w:rPr>
              <w:t xml:space="preserve">Step 2: For the 10 senior staff the total exceeds Rs. 50,000, so the gifts become supplies. Tax is payable on the value of the gifts (the full value, not only the excess) at the applicable rate. Credit on the watches is doubtful: section 17(5)(h) blocks goods disposed of by way of gift, and the department does not accept that paying tax on the gift unlocks it.</w:t>
            </w:r>
          </w:p>
          <w:p>
            <w:pPr>
              <w:spacing w:after="60" w:line="260"/>
            </w:pPr>
            <w:r>
              <w:rPr>
                <w:rFonts w:ascii="Verdana" w:cs="Verdana" w:eastAsia="Verdana" w:hAnsi="Verdana"/>
                <w:sz w:val="20"/>
                <w:szCs w:val="20"/>
              </w:rPr>
              <w:t xml:space="preserve">Step 3: For the 390 other employees, hampers are not supplies. ITC on them is blocked under section 17(5)(h) as gifts.</w:t>
            </w:r>
          </w:p>
          <w:p>
            <w:pPr>
              <w:spacing w:after="60" w:line="260"/>
            </w:pPr>
            <w:r>
              <w:rPr>
                <w:rFonts w:ascii="Verdana" w:cs="Verdana" w:eastAsia="Verdana" w:hAnsi="Verdana"/>
                <w:sz w:val="20"/>
                <w:szCs w:val="20"/>
              </w:rPr>
              <w:t xml:space="preserve">Step 4: Canteen: provision is obligatory under the Factories Act, so ITC of Rs. 25,000 a month is allowed under the proviso to section 17(5)(b), subject to the employer not recovering a margin. (Restaurant services at 5% carry no ITC in the hands of the canteen contractor, but that does not block the employer.)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The Rs. 50,000 limit counts all gifts to an employee in the year. Track gifts by employee code.</w:t>
            </w:r>
          </w:p>
        </w:tc>
      </w:tr>
    </w:tbl>
    <w:p>
      <w:pPr>
        <w:spacing w:after="60"/>
      </w:pPr>
    </w:p>
    <w:p>
      <w:pPr>
        <w:pStyle w:val="Heading2"/>
        <w:keepNext/>
        <w:spacing w:after="120" w:before="240"/>
      </w:pPr>
      <w:r>
        <w:rPr>
          <w:rFonts w:ascii="Verdana" w:cs="Verdana" w:eastAsia="Verdana" w:hAnsi="Verdana"/>
        </w:rPr>
        <w:t xml:space="preserve">30.2 Directors</w:t>
      </w:r>
    </w:p>
    <w:p>
      <w:pPr>
        <w:spacing w:after="120" w:line="276"/>
        <w:jc w:val="both"/>
      </w:pPr>
      <w:r>
        <w:rPr>
          <w:rFonts w:ascii="Verdana" w:cs="Verdana" w:eastAsia="Verdana" w:hAnsi="Verdana"/>
        </w:rPr>
        <w:t xml:space="preserve">Circular 140/10/2020-GST drew the line. Remuneration to a director that is treated as salary in the books and on which tax is deducted under the salary provisions of the income-tax law is not taxable, because the director is an employee. Other payments to a director, such as sitting fees and commission to independent directors, are consideration for services by the director to the company. These are taxed under reverse charge: the company pays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162: Sitting fees under reverse charge</w:t>
            </w:r>
          </w:p>
          <w:p>
            <w:pPr>
              <w:spacing w:after="60" w:line="260"/>
            </w:pPr>
            <w:r>
              <w:rPr>
                <w:rFonts w:ascii="Verdana" w:cs="Verdana" w:eastAsia="Verdana" w:hAnsi="Verdana"/>
                <w:sz w:val="20"/>
                <w:szCs w:val="20"/>
              </w:rPr>
              <w:t xml:space="preserve">Nirmal Plastics Ltd. pays its managing director a salary of Rs. 3,00,000 a month and pays three independent directors sitting fees of Rs. 40,000 per meeting for 6 meetings in a year, plus annual commission of Rs. 2,00,000 each.</w:t>
            </w:r>
          </w:p>
          <w:p>
            <w:pPr>
              <w:spacing w:after="60" w:line="260"/>
            </w:pPr>
            <w:r>
              <w:rPr>
                <w:rFonts w:ascii="Verdana" w:cs="Verdana" w:eastAsia="Verdana" w:hAnsi="Verdana"/>
                <w:sz w:val="20"/>
                <w:szCs w:val="20"/>
              </w:rPr>
              <w:t xml:space="preserve">Step 1: Managing director's salary: Schedule III, no GST.</w:t>
            </w:r>
          </w:p>
          <w:p>
            <w:pPr>
              <w:spacing w:after="60" w:line="260"/>
            </w:pPr>
            <w:r>
              <w:rPr>
                <w:rFonts w:ascii="Verdana" w:cs="Verdana" w:eastAsia="Verdana" w:hAnsi="Verdana"/>
                <w:sz w:val="20"/>
                <w:szCs w:val="20"/>
              </w:rPr>
              <w:t xml:space="preserve">Step 2: Sitting fees = 3 x 6 x Rs. 40,000 = Rs. 7,20,000; commission = 3 x Rs. 2,00,000 = Rs. 6,00,000. Total = Rs. 13,20,000.</w:t>
            </w:r>
          </w:p>
          <w:p>
            <w:pPr>
              <w:spacing w:after="60" w:line="260"/>
            </w:pPr>
            <w:r>
              <w:rPr>
                <w:rFonts w:ascii="Verdana" w:cs="Verdana" w:eastAsia="Verdana" w:hAnsi="Verdana"/>
                <w:sz w:val="20"/>
                <w:szCs w:val="20"/>
              </w:rPr>
              <w:t xml:space="preserve">Step 3: Reverse charge at 18% = Rs. 2,37,600 (CGST Rs. 1,18,800 + SGST Rs. 1,18,800), paid in cash and taken as ITC.</w:t>
            </w:r>
          </w:p>
        </w:tc>
      </w:tr>
    </w:tbl>
    <w:p>
      <w:pPr>
        <w:spacing w:after="60"/>
      </w:pPr>
    </w:p>
    <w:p>
      <w:pPr>
        <w:pStyle w:val="Heading2"/>
        <w:keepNext/>
        <w:spacing w:after="120" w:before="240"/>
      </w:pPr>
      <w:r>
        <w:rPr>
          <w:rFonts w:ascii="Verdana" w:cs="Verdana" w:eastAsia="Verdana" w:hAnsi="Verdana"/>
        </w:rPr>
        <w:t xml:space="preserve">30.3 Secondment and cross charge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Secondment of employees</w:t>
            </w:r>
          </w:p>
          <w:p>
            <w:pPr>
              <w:spacing w:after="60" w:line="260"/>
            </w:pPr>
            <w:r>
              <w:rPr>
                <w:rFonts w:ascii="Verdana" w:cs="Verdana" w:eastAsia="Verdana" w:hAnsi="Verdana"/>
                <w:b/>
                <w:bCs/>
                <w:sz w:val="20"/>
                <w:szCs w:val="20"/>
              </w:rPr>
              <w:t xml:space="preserve">Commissioner of Customs, Central Excise and Service Tax v. Northern Operating Systems (P) Ltd. (Supreme Court, 2022):</w:t>
            </w:r>
            <w:r>
              <w:rPr>
                <w:rFonts w:ascii="Verdana" w:cs="Verdana" w:eastAsia="Verdana" w:hAnsi="Verdana"/>
                <w:sz w:val="20"/>
                <w:szCs w:val="20"/>
              </w:rPr>
              <w:t xml:space="preserve"> where an overseas group company seconds its employees to the Indian entity, keeps the right to recall them and remains their legal employer, it supplies manpower service to the Indian entity. The Indian entity was liable to service tax under reverse charge on the reimbursements. Under GST the principle leads to IGST under reverse charge on import of services.</w:t>
            </w:r>
          </w:p>
        </w:tc>
      </w:tr>
    </w:tbl>
    <w:p>
      <w:pPr>
        <w:spacing w:after="60"/>
      </w:pPr>
    </w:p>
    <w:p>
      <w:pPr>
        <w:spacing w:after="120" w:line="276"/>
        <w:jc w:val="both"/>
      </w:pPr>
      <w:r>
        <w:rPr>
          <w:rFonts w:ascii="Verdana" w:cs="Verdana" w:eastAsia="Verdana" w:hAnsi="Verdana"/>
        </w:rPr>
        <w:t xml:space="preserve">Circular 210/4/2024-GST softened the valuation. Where the Indian recipient is eligible for full ITC, the invoice value of services from a foreign related party is treated as open market value under the second proviso to rule 28(1), and nil where no invoice is issued. Circular 199/11/2023-GST applies the same logic to services by a head office to branches in other States (distinct persons under section 25(4)): with full ITC at the branch, the declared value is accepted and salary cost of head office staff need not be included. From 1 April 2025, common input services from third parties must be distributed through an ISD registration.</w:t>
      </w:r>
    </w:p>
    <w:p>
      <w:pPr>
        <w:pStyle w:val="Heading2"/>
        <w:keepNext/>
        <w:spacing w:after="120" w:before="240"/>
      </w:pPr>
      <w:r>
        <w:rPr>
          <w:rFonts w:ascii="Verdana" w:cs="Verdana" w:eastAsia="Verdana" w:hAnsi="Verdana"/>
        </w:rPr>
        <w:t xml:space="preserve">30.4 Corporate guarantees</w:t>
      </w:r>
    </w:p>
    <w:p>
      <w:pPr>
        <w:spacing w:after="120" w:line="276"/>
        <w:jc w:val="both"/>
      </w:pPr>
      <w:r>
        <w:rPr>
          <w:rFonts w:ascii="Verdana" w:cs="Verdana" w:eastAsia="Verdana" w:hAnsi="Verdana"/>
        </w:rPr>
        <w:t xml:space="preserve">A holding company that gives a guarantee to a bank for its subsidiary's loan supplies a service to the subsidiary even if it charges nothing. Rule 28(2) (from 26 October 2023) values it at 1% of the amount guaranteed per year, or the actual consideration, whichever is higher. Circular 204/16/2023-GST clarified that a director's personal guarantee without consideration is not taxable, because the director's remuneration covers it. Circular 225/19/2024-GST clarified that rule 28(2) applies to guarantees issued or renewed on or after 26 October 2023, on the full amount guaranteed (not the amount disbursed), at 1% a year (proportionately for a shorter period), with tax due when the guarantee is issued and again on each renewal, and that an Indian company guaranteed by a foreign parent pays under reverse charge. A July 2024 amendment made the invoice value acceptable where the recipient is eligible for full ITC. Rule 28(2) does not apply to exports of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163: Corporate guarantee for a subsidiary</w:t>
            </w:r>
          </w:p>
          <w:p>
            <w:pPr>
              <w:spacing w:after="60" w:line="260"/>
            </w:pPr>
            <w:r>
              <w:rPr>
                <w:rFonts w:ascii="Verdana" w:cs="Verdana" w:eastAsia="Verdana" w:hAnsi="Verdana"/>
                <w:sz w:val="20"/>
                <w:szCs w:val="20"/>
              </w:rPr>
              <w:t xml:space="preserve">Sharma Holdings Ltd. guarantees a bank loan of Rs. 40 crore taken by its subsidiary Sharma Solar Pvt. Ltd., for one year from 1 November 2025, without charge. Sharma Solar makes both taxable and exempt supplies and is not eligible for full ITC.</w:t>
            </w:r>
          </w:p>
          <w:p>
            <w:pPr>
              <w:spacing w:after="60" w:line="260"/>
            </w:pPr>
            <w:r>
              <w:rPr>
                <w:rFonts w:ascii="Verdana" w:cs="Verdana" w:eastAsia="Verdana" w:hAnsi="Verdana"/>
                <w:sz w:val="20"/>
                <w:szCs w:val="20"/>
              </w:rPr>
              <w:t xml:space="preserve">Step 1: Value under rule 28(2) = 1% of Rs. 40,00,00,000 = Rs. 40,00,000.</w:t>
            </w:r>
          </w:p>
          <w:p>
            <w:pPr>
              <w:spacing w:after="60" w:line="260"/>
            </w:pPr>
            <w:r>
              <w:rPr>
                <w:rFonts w:ascii="Verdana" w:cs="Verdana" w:eastAsia="Verdana" w:hAnsi="Verdana"/>
                <w:sz w:val="20"/>
                <w:szCs w:val="20"/>
              </w:rPr>
              <w:t xml:space="preserve">Step 2: GST at 18% = Rs. 7,20,000, payable by Sharma Holdings (IGST if the subsidiary is in another State; otherwise CGST Rs. 3,60,000 + SGST Rs. 3,60,000).</w:t>
            </w:r>
          </w:p>
          <w:p>
            <w:pPr>
              <w:spacing w:after="60" w:line="260"/>
            </w:pPr>
            <w:r>
              <w:rPr>
                <w:rFonts w:ascii="Verdana" w:cs="Verdana" w:eastAsia="Verdana" w:hAnsi="Verdana"/>
                <w:sz w:val="20"/>
                <w:szCs w:val="20"/>
              </w:rPr>
              <w:t xml:space="preserve">Step 3: If Sharma Solar were eligible for full ITC, an invoice at the value declared (even a nominal one) would be accepted, and the tax would be neutral for the group.</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Arm's length price under the income-tax law and open market value under GST are separate tests. An upward transfer pricing adjustment needs a supplementary invoice with tax; a downward one needs a credit note. Officers now ask for the transfer pricing report in GST audits.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Salary is outside GST; employer gifts up to Rs. 50,000 per employee per year are not supplies; contractual perquisites are not supplies (Circular 172/04/2022).</w:t>
            </w:r>
          </w:p>
          <w:p>
            <w:pPr>
              <w:spacing w:after="60" w:line="260"/>
            </w:pPr>
            <w:r>
              <w:rPr>
                <w:rFonts w:ascii="Verdana" w:cs="Verdana" w:eastAsia="Verdana" w:hAnsi="Verdana"/>
                <w:sz w:val="20"/>
                <w:szCs w:val="20"/>
              </w:rPr>
              <w:t xml:space="preserve">•  Director salary is outside GST; sitting fees and commission are taxable under reverse charge (Circular 140/10/2020).</w:t>
            </w:r>
          </w:p>
          <w:p>
            <w:pPr>
              <w:spacing w:after="60" w:line="260"/>
            </w:pPr>
            <w:r>
              <w:rPr>
                <w:rFonts w:ascii="Verdana" w:cs="Verdana" w:eastAsia="Verdana" w:hAnsi="Verdana"/>
                <w:sz w:val="20"/>
                <w:szCs w:val="20"/>
              </w:rPr>
              <w:t xml:space="preserve">•  Secondment is a supply of manpower (Northern Operating Systems); with full ITC the declared value, even nil, is accepted (Circular 210/4/2024).</w:t>
            </w:r>
          </w:p>
          <w:p>
            <w:pPr>
              <w:spacing w:after="60" w:line="260"/>
            </w:pPr>
            <w:r>
              <w:rPr>
                <w:rFonts w:ascii="Verdana" w:cs="Verdana" w:eastAsia="Verdana" w:hAnsi="Verdana"/>
                <w:sz w:val="20"/>
                <w:szCs w:val="20"/>
              </w:rPr>
              <w:t xml:space="preserve">•  Cross charge to branches: declared value accepted where branch has full ITC (Circular 199/11/2023); ISD compulsory from 1 April 2025.</w:t>
            </w:r>
          </w:p>
          <w:p>
            <w:pPr>
              <w:spacing w:after="60" w:line="260"/>
            </w:pPr>
            <w:r>
              <w:rPr>
                <w:rFonts w:ascii="Verdana" w:cs="Verdana" w:eastAsia="Verdana" w:hAnsi="Verdana"/>
                <w:sz w:val="20"/>
                <w:szCs w:val="20"/>
              </w:rPr>
              <w:t xml:space="preserve">•  Corporate guarantees between related persons: 1% per year or actual consideration, whichever is higher (rule 28(2)).</w:t>
            </w:r>
          </w:p>
        </w:tc>
      </w:tr>
    </w:tbl>
    <w:p>
      <w:pPr>
        <w:pStyle w:val="Heading1"/>
        <w:pageBreakBefore/>
        <w:spacing w:after="200" w:before="0"/>
      </w:pPr>
      <w:r>
        <w:rPr>
          <w:rFonts w:ascii="Verdana" w:cs="Verdana" w:eastAsia="Verdana" w:hAnsi="Verdana"/>
        </w:rPr>
        <w:t xml:space="preserve">31. Hospitality, Travel, Transport and Logistics</w:t>
      </w:r>
    </w:p>
    <w:p>
      <w:pPr>
        <w:spacing w:after="120" w:line="276"/>
        <w:jc w:val="both"/>
      </w:pPr>
      <w:r>
        <w:rPr>
          <w:rFonts w:ascii="Verdana" w:cs="Verdana" w:eastAsia="Verdana" w:hAnsi="Verdana"/>
        </w:rPr>
        <w:t xml:space="preserve">Most rates in this sector come with a choice: 5% without ITC or 18% with ITC, forward or reverse charge. GST 2.0 removed the 12% options.</w:t>
      </w:r>
    </w:p>
    <w:p>
      <w:pPr>
        <w:pStyle w:val="Heading2"/>
        <w:keepNext/>
        <w:spacing w:after="120" w:before="240"/>
      </w:pPr>
      <w:r>
        <w:rPr>
          <w:rFonts w:ascii="Verdana" w:cs="Verdana" w:eastAsia="Verdana" w:hAnsi="Verdana"/>
        </w:rPr>
        <w:t xml:space="preserve">31.1 Hotels, restaurants and catering</w:t>
      </w:r>
    </w:p>
    <w:p>
      <w:pPr>
        <w:spacing w:after="120" w:line="276"/>
        <w:jc w:val="both"/>
      </w:pPr>
      <w:r>
        <w:rPr>
          <w:rFonts w:ascii="Verdana" w:cs="Verdana" w:eastAsia="Verdana" w:hAnsi="Verdana"/>
        </w:rPr>
        <w:t xml:space="preserve">Hotel accommodation with a value up to Rs. 7,500 per unit per day is taxed at 5% without ITC from 22 September 2025; above Rs. 7,500 it is 18% with ITC. The value is the amount actually charged for the unit per day, not the declared tariff.</w:t>
      </w:r>
    </w:p>
    <w:p>
      <w:pPr>
        <w:spacing w:after="120" w:line="276"/>
        <w:jc w:val="both"/>
      </w:pPr>
      <w:r>
        <w:rPr>
          <w:rFonts w:ascii="Verdana" w:cs="Verdana" w:eastAsia="Verdana" w:hAnsi="Verdana"/>
        </w:rPr>
        <w:t xml:space="preserve">Restaurant service is 5% without ITC. Restaurants in "specified premises" charge 18% with ITC. Specified premises are premises from which hotel accommodation of a value above Rs. 7,500 per unit per day was supplied in the preceding financial year, or premises for which the supplier has opted by declaration. Outdoor catering follows the same pattern: 5% without ITC, or 18% where supplied at or from specified premises.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164: A hotel bill after GST 2.0</w:t>
            </w:r>
          </w:p>
          <w:p>
            <w:pPr>
              <w:spacing w:after="60" w:line="260"/>
            </w:pPr>
            <w:r>
              <w:rPr>
                <w:rFonts w:ascii="Verdana" w:cs="Verdana" w:eastAsia="Verdana" w:hAnsi="Verdana"/>
                <w:sz w:val="20"/>
                <w:szCs w:val="20"/>
              </w:rPr>
              <w:t xml:space="preserve">Hotel Sahyadri, Nashik, charged Rs. 9,000 a night for its suites in FY 2024-25, so it is a specified premises in FY 2025-26. Mr. Gupta stays 3 nights in a deluxe room at Rs. 7,000 a night and spends Rs. 6,000 in the hotel restaurant.</w:t>
            </w:r>
          </w:p>
          <w:p>
            <w:pPr>
              <w:spacing w:after="60" w:line="260"/>
            </w:pPr>
            <w:r>
              <w:rPr>
                <w:rFonts w:ascii="Verdana" w:cs="Verdana" w:eastAsia="Verdana" w:hAnsi="Verdana"/>
                <w:sz w:val="20"/>
                <w:szCs w:val="20"/>
              </w:rPr>
              <w:t xml:space="preserve">Step 1: Room: Rs. 7,000 is within Rs. 7,500, so 5%: 3 x Rs. 7,000 x 5% = Rs. 1,050 (CGST Rs. 525 + SGST Rs. 525).</w:t>
            </w:r>
          </w:p>
          <w:p>
            <w:pPr>
              <w:spacing w:after="60" w:line="260"/>
            </w:pPr>
            <w:r>
              <w:rPr>
                <w:rFonts w:ascii="Verdana" w:cs="Verdana" w:eastAsia="Verdana" w:hAnsi="Verdana"/>
                <w:sz w:val="20"/>
                <w:szCs w:val="20"/>
              </w:rPr>
              <w:t xml:space="preserve">Step 2: Restaurant: specified premises, so 18%: Rs. 1,080.</w:t>
            </w:r>
          </w:p>
          <w:p>
            <w:pPr>
              <w:spacing w:after="60" w:line="260"/>
            </w:pPr>
            <w:r>
              <w:rPr>
                <w:rFonts w:ascii="Verdana" w:cs="Verdana" w:eastAsia="Verdana" w:hAnsi="Verdana"/>
                <w:sz w:val="20"/>
                <w:szCs w:val="20"/>
              </w:rPr>
              <w:t xml:space="preserve">Step 3: Total bill = Rs. 29,130.</w:t>
            </w:r>
          </w:p>
          <w:p>
            <w:pPr>
              <w:spacing w:after="60" w:line="260"/>
            </w:pPr>
            <w:r>
              <w:rPr>
                <w:rFonts w:ascii="Verdana" w:cs="Verdana" w:eastAsia="Verdana" w:hAnsi="Verdana"/>
                <w:sz w:val="20"/>
                <w:szCs w:val="20"/>
              </w:rPr>
              <w:t xml:space="preserve">Step 4: The hotel must split its ITC: credit relating to 5% rooms is not available, while credit relating to suites and the restaurant is. Common credit (lobby, lifts, electricity backup) is apportioned under rule 42 by turnover.</w:t>
            </w:r>
          </w:p>
        </w:tc>
      </w:tr>
    </w:tbl>
    <w:p>
      <w:pPr>
        <w:spacing w:after="60"/>
      </w:pPr>
    </w:p>
    <w:p>
      <w:pPr>
        <w:pStyle w:val="Heading2"/>
        <w:keepNext/>
        <w:spacing w:after="120" w:before="240"/>
      </w:pPr>
      <w:r>
        <w:rPr>
          <w:rFonts w:ascii="Verdana" w:cs="Verdana" w:eastAsia="Verdana" w:hAnsi="Verdana"/>
        </w:rPr>
        <w:t xml:space="preserve">31.2 Tour operators and passenger transport</w:t>
      </w:r>
    </w:p>
    <w:p>
      <w:pPr>
        <w:spacing w:after="120" w:line="276"/>
        <w:jc w:val="both"/>
      </w:pPr>
      <w:r>
        <w:rPr>
          <w:rFonts w:ascii="Verdana" w:cs="Verdana" w:eastAsia="Verdana" w:hAnsi="Verdana"/>
        </w:rPr>
        <w:t xml:space="preserve">Tour operator services are taxed at 5% without ITC on the gross package price (credit of tour operator services bought from other operators is allowed). Passenger transport by motor vehicle, such as buses and cabs, is 5% without ITC, except credit of input services in the same line of business (for example, hiring a bus from another operator); the operator may instead opt for 18% with full ITC. Rail travel in AC and first class is 5%. Air travel is 5% in economy and 18% in other classes.</w:t>
      </w:r>
    </w:p>
    <w:p>
      <w:pPr>
        <w:spacing w:after="120" w:line="276"/>
        <w:jc w:val="both"/>
      </w:pPr>
      <w:r>
        <w:rPr>
          <w:rFonts w:ascii="Verdana" w:cs="Verdana" w:eastAsia="Verdana" w:hAnsi="Verdana"/>
        </w:rPr>
        <w:t xml:space="preserve">Renting of a motor vehicle designed to carry passengers with the cost of fuel included, supplied by a person other than a body corporate to a body corporate, is under reverse charge where the supplier does not charge tax at the higher rate with ITC (18% after GST 2.0; 12% earlier). Verify the current rate entries for this service after GST 2.0 before advising.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165: Cab rental to a company</w:t>
            </w:r>
          </w:p>
          <w:p>
            <w:pPr>
              <w:spacing w:after="60" w:line="260"/>
            </w:pPr>
            <w:r>
              <w:rPr>
                <w:rFonts w:ascii="Verdana" w:cs="Verdana" w:eastAsia="Verdana" w:hAnsi="Verdana"/>
                <w:sz w:val="20"/>
                <w:szCs w:val="20"/>
              </w:rPr>
              <w:t xml:space="preserve">Singh Travels (a proprietorship) gives a car with driver and fuel to Apex Pvt. Ltd. for Rs. 80,000 a month.</w:t>
            </w:r>
          </w:p>
          <w:p>
            <w:pPr>
              <w:spacing w:after="60" w:line="260"/>
            </w:pPr>
            <w:r>
              <w:rPr>
                <w:rFonts w:ascii="Verdana" w:cs="Verdana" w:eastAsia="Verdana" w:hAnsi="Verdana"/>
                <w:sz w:val="20"/>
                <w:szCs w:val="20"/>
              </w:rPr>
              <w:t xml:space="preserve">Option 1: Singh Travels charges at 5% without ITC. Apex pays tax under reverse charge = Rs. 4,000.</w:t>
            </w:r>
          </w:p>
          <w:p>
            <w:pPr>
              <w:spacing w:after="60" w:line="260"/>
            </w:pPr>
            <w:r>
              <w:rPr>
                <w:rFonts w:ascii="Verdana" w:cs="Verdana" w:eastAsia="Verdana" w:hAnsi="Verdana"/>
                <w:sz w:val="20"/>
                <w:szCs w:val="20"/>
              </w:rPr>
              <w:t xml:space="preserve">Option 2: Singh Travels opts for 18% with ITC and charges Rs. 14,400 on its invoice.</w:t>
            </w:r>
          </w:p>
          <w:p>
            <w:pPr>
              <w:spacing w:after="60" w:line="260"/>
            </w:pPr>
            <w:r>
              <w:rPr>
                <w:rFonts w:ascii="Verdana" w:cs="Verdana" w:eastAsia="Verdana" w:hAnsi="Verdana"/>
                <w:sz w:val="20"/>
                <w:szCs w:val="20"/>
              </w:rPr>
              <w:t xml:space="preserve">Step 1: For Apex, ITC on renting of passenger motor vehicles is blocked under section 17(5)(b) unless an exception applies. So the tax is a cost in both options.</w:t>
            </w:r>
          </w:p>
          <w:p>
            <w:pPr>
              <w:spacing w:after="60" w:line="260"/>
            </w:pPr>
            <w:r>
              <w:rPr>
                <w:rFonts w:ascii="Verdana" w:cs="Verdana" w:eastAsia="Verdana" w:hAnsi="Verdana"/>
                <w:sz w:val="20"/>
                <w:szCs w:val="20"/>
              </w:rPr>
              <w:t xml:space="preserve">Result: Apex bears Rs. 4,000 under option 1 and Rs. 14,400 under option 2. Corporate customers therefore prefer suppliers who stay on the 5% route.</w:t>
            </w:r>
          </w:p>
        </w:tc>
      </w:tr>
    </w:tbl>
    <w:p>
      <w:pPr>
        <w:spacing w:after="60"/>
      </w:pPr>
    </w:p>
    <w:p>
      <w:pPr>
        <w:pStyle w:val="Heading2"/>
        <w:keepNext/>
        <w:spacing w:after="120" w:before="240"/>
      </w:pPr>
      <w:r>
        <w:rPr>
          <w:rFonts w:ascii="Verdana" w:cs="Verdana" w:eastAsia="Verdana" w:hAnsi="Verdana"/>
        </w:rPr>
        <w:t xml:space="preserve">31.3 Goods transport agencies (GTA)</w:t>
      </w:r>
    </w:p>
    <w:p>
      <w:pPr>
        <w:spacing w:after="120" w:line="276"/>
        <w:jc w:val="both"/>
      </w:pPr>
      <w:r>
        <w:rPr>
          <w:rFonts w:ascii="Verdana" w:cs="Verdana" w:eastAsia="Verdana" w:hAnsi="Verdana"/>
        </w:rPr>
        <w:t xml:space="preserve">A GTA is a person who supplies road transport of goods and issues a consignment note. A GTA can choose between (a) 5% without ITC, where tax is paid by the recipient under reverse charge if the recipient is a factory, society, co-operative society, registered person, body corporate, partnership firm or casual taxable person, or by the GTA itself otherwise; and (b) 18% with ITC under forward charge. The option to pay under forward charge is exercised by a declaration in Annexure V on the portal before the start of the financial year (by 31 March), and stays in force for later years until the GTA reverts by a declaration in Annexure VI. Transport of agricultural produce, milk, food grains and small consignments is exempt.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166: GTA: 5% under reverse charge or 18% with ITC</w:t>
            </w:r>
          </w:p>
          <w:p>
            <w:pPr>
              <w:spacing w:after="60" w:line="260"/>
            </w:pPr>
            <w:r>
              <w:rPr>
                <w:rFonts w:ascii="Verdana" w:cs="Verdana" w:eastAsia="Verdana" w:hAnsi="Verdana"/>
                <w:sz w:val="20"/>
                <w:szCs w:val="20"/>
              </w:rPr>
              <w:t xml:space="preserve">Balaji Roadways has annual freight of Rs. 1,00,00,000, all from registered companies. In the year it buys two trucks for Rs. 30,00,000 plus GST of 18% and spends Rs. 8,00,000 plus 18% on tyres and repairs. Diesel is outside GST.</w:t>
            </w:r>
          </w:p>
          <w:p>
            <w:pPr>
              <w:spacing w:after="60" w:line="260"/>
            </w:pPr>
            <w:r>
              <w:rPr>
                <w:rFonts w:ascii="Verdana" w:cs="Verdana" w:eastAsia="Verdana" w:hAnsi="Verdana"/>
                <w:sz w:val="20"/>
                <w:szCs w:val="20"/>
              </w:rPr>
              <w:t xml:space="preserve">Option A (5%, reverse charge): customers pay Rs. 5,00,000 and take credit. Balaji pays no output tax, but ITC of Rs. 5,40,000 on trucks and Rs. 1,44,000 on repairs, total Rs. 6,84,000, is lost.</w:t>
            </w:r>
          </w:p>
          <w:p>
            <w:pPr>
              <w:spacing w:after="60" w:line="260"/>
            </w:pPr>
            <w:r>
              <w:rPr>
                <w:rFonts w:ascii="Verdana" w:cs="Verdana" w:eastAsia="Verdana" w:hAnsi="Verdana"/>
                <w:sz w:val="20"/>
                <w:szCs w:val="20"/>
              </w:rPr>
              <w:t xml:space="preserve">Option B (18%, forward charge): output tax = Rs. 18,00,000. Less ITC Rs. 6,84,000. Cash payable = Rs. 11,16,000. Customers take credit of Rs. 18,00,000.</w:t>
            </w:r>
          </w:p>
          <w:p>
            <w:pPr>
              <w:spacing w:after="60" w:line="260"/>
            </w:pPr>
            <w:r>
              <w:rPr>
                <w:rFonts w:ascii="Verdana" w:cs="Verdana" w:eastAsia="Verdana" w:hAnsi="Verdana"/>
                <w:sz w:val="20"/>
                <w:szCs w:val="20"/>
              </w:rPr>
              <w:t xml:space="preserve">Step 1: For fully taxable customers the tax is neutral in both options.</w:t>
            </w:r>
          </w:p>
          <w:p>
            <w:pPr>
              <w:spacing w:after="60" w:line="260"/>
            </w:pPr>
            <w:r>
              <w:rPr>
                <w:rFonts w:ascii="Verdana" w:cs="Verdana" w:eastAsia="Verdana" w:hAnsi="Verdana"/>
                <w:sz w:val="20"/>
                <w:szCs w:val="20"/>
              </w:rPr>
              <w:t xml:space="preserve">Result: option B saves Balaji Rs. 6,84,000 of cost in a year of heavy capital spending. If Balaji carried goods for exempt or unregistered customers, option A would be cheaper for them, and the choice would change. The declaration must be filed by 31 March for the next year.</w:t>
            </w:r>
          </w:p>
        </w:tc>
      </w:tr>
    </w:tbl>
    <w:p>
      <w:pPr>
        <w:spacing w:after="60"/>
      </w:pPr>
    </w:p>
    <w:p>
      <w:pPr>
        <w:pStyle w:val="Heading2"/>
        <w:keepNext/>
        <w:spacing w:after="120" w:before="240"/>
      </w:pPr>
      <w:r>
        <w:rPr>
          <w:rFonts w:ascii="Verdana" w:cs="Verdana" w:eastAsia="Verdana" w:hAnsi="Verdana"/>
        </w:rPr>
        <w:t xml:space="preserve">31.4 Multimodal, courier, air cargo and ocean freight</w:t>
      </w:r>
    </w:p>
    <w:p>
      <w:pPr>
        <w:spacing w:after="120" w:line="276"/>
        <w:jc w:val="both"/>
      </w:pPr>
      <w:r>
        <w:rPr>
          <w:rFonts w:ascii="Verdana" w:cs="Verdana" w:eastAsia="Verdana" w:hAnsi="Verdana"/>
        </w:rPr>
        <w:t xml:space="preserve">Multimodal transport follows the GTA pattern: 5% without ITC or 18% with ITC. Courier services are 18%. The exemption for export freight by air and sea lapsed after 30 September 2022, and with the omission of section 13(9) of the IGST Act from 1 October 2023 the place of supply of goods transport services now follows the location of the recipient. Reverse charge IGST on ocean freight in CIF imports was struck down.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Ocean freight on CIF imports</w:t>
            </w:r>
          </w:p>
          <w:p>
            <w:pPr>
              <w:spacing w:after="60" w:line="260"/>
            </w:pPr>
            <w:r>
              <w:rPr>
                <w:rFonts w:ascii="Verdana" w:cs="Verdana" w:eastAsia="Verdana" w:hAnsi="Verdana"/>
                <w:b/>
                <w:bCs/>
                <w:sz w:val="20"/>
                <w:szCs w:val="20"/>
              </w:rPr>
              <w:t xml:space="preserve">Union of India v. Mohit Minerals (P) Ltd. (Supreme Court, 2022):</w:t>
            </w:r>
            <w:r>
              <w:rPr>
                <w:rFonts w:ascii="Verdana" w:cs="Verdana" w:eastAsia="Verdana" w:hAnsi="Verdana"/>
                <w:sz w:val="20"/>
                <w:szCs w:val="20"/>
              </w:rPr>
              <w:t xml:space="preserve"> recommendations of the GST Council are persuasive and not binding on Parliament and the States. On the merits, IGST under reverse charge on ocean freight in CIF imports was struck down, because the transport service is part of the composite supply of goods on which the importer already pays IGST at customs; taxing it separately offends section 8 of the CGST Act. The reverse charge entry was omitted from 1 October 2023. Importers who paid tax earlier may have refund claims subject to limitation.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Hotel rooms up to Rs. 7,500 per day: 5% without ITC; above: 18% with ITC.</w:t>
            </w:r>
          </w:p>
          <w:p>
            <w:pPr>
              <w:spacing w:after="60" w:line="260"/>
            </w:pPr>
            <w:r>
              <w:rPr>
                <w:rFonts w:ascii="Verdana" w:cs="Verdana" w:eastAsia="Verdana" w:hAnsi="Verdana"/>
                <w:sz w:val="20"/>
                <w:szCs w:val="20"/>
              </w:rPr>
              <w:t xml:space="preserve">•  Restaurants and outdoor catering: 5% without ITC; at or from specified premises: 18% with ITC.</w:t>
            </w:r>
          </w:p>
          <w:p>
            <w:pPr>
              <w:spacing w:after="60" w:line="260"/>
            </w:pPr>
            <w:r>
              <w:rPr>
                <w:rFonts w:ascii="Verdana" w:cs="Verdana" w:eastAsia="Verdana" w:hAnsi="Verdana"/>
                <w:sz w:val="20"/>
                <w:szCs w:val="20"/>
              </w:rPr>
              <w:t xml:space="preserve">•  Tour operators: 5% without ITC; passenger transport by road: 5% or 18% with ITC; air: 5% economy, 18% others.</w:t>
            </w:r>
          </w:p>
          <w:p>
            <w:pPr>
              <w:spacing w:after="60" w:line="260"/>
            </w:pPr>
            <w:r>
              <w:rPr>
                <w:rFonts w:ascii="Verdana" w:cs="Verdana" w:eastAsia="Verdana" w:hAnsi="Verdana"/>
                <w:sz w:val="20"/>
                <w:szCs w:val="20"/>
              </w:rPr>
              <w:t xml:space="preserve">•  GTA and multimodal transport: 5% without ITC (reverse charge for specified recipients) or 18% with ITC by declaration before 31 March.</w:t>
            </w:r>
          </w:p>
          <w:p>
            <w:pPr>
              <w:spacing w:after="60" w:line="260"/>
            </w:pPr>
            <w:r>
              <w:rPr>
                <w:rFonts w:ascii="Verdana" w:cs="Verdana" w:eastAsia="Verdana" w:hAnsi="Verdana"/>
                <w:sz w:val="20"/>
                <w:szCs w:val="20"/>
              </w:rPr>
              <w:t xml:space="preserve">•  No separate IGST on ocean freight in CIF imports after Mohit Minerals.</w:t>
            </w:r>
          </w:p>
        </w:tc>
      </w:tr>
    </w:tbl>
    <w:p>
      <w:pPr>
        <w:pStyle w:val="Heading1"/>
        <w:pageBreakBefore/>
        <w:spacing w:after="200" w:before="0"/>
      </w:pPr>
      <w:r>
        <w:rPr>
          <w:rFonts w:ascii="Verdana" w:cs="Verdana" w:eastAsia="Verdana" w:hAnsi="Verdana"/>
        </w:rPr>
        <w:t xml:space="preserve">32. Education, Healthcare, Charities, Grants and Government</w:t>
      </w:r>
    </w:p>
    <w:p>
      <w:pPr>
        <w:spacing w:after="120" w:line="276"/>
        <w:jc w:val="both"/>
      </w:pPr>
      <w:r>
        <w:rPr>
          <w:rFonts w:ascii="Verdana" w:cs="Verdana" w:eastAsia="Verdana" w:hAnsi="Verdana"/>
        </w:rPr>
        <w:t xml:space="preserve">Much of this sector is exempt, but exemptions are read strictly. Disputes arise on the taxable fringe.</w:t>
      </w:r>
    </w:p>
    <w:p>
      <w:pPr>
        <w:pStyle w:val="Heading2"/>
        <w:keepNext/>
        <w:spacing w:after="120" w:before="240"/>
      </w:pPr>
      <w:r>
        <w:rPr>
          <w:rFonts w:ascii="Verdana" w:cs="Verdana" w:eastAsia="Verdana" w:hAnsi="Verdana"/>
        </w:rPr>
        <w:t xml:space="preserve">32.1 Education</w:t>
      </w:r>
    </w:p>
    <w:p>
      <w:pPr>
        <w:spacing w:after="120" w:line="276"/>
        <w:jc w:val="both"/>
      </w:pPr>
      <w:r>
        <w:rPr>
          <w:rFonts w:ascii="Verdana" w:cs="Verdana" w:eastAsia="Verdana" w:hAnsi="Verdana"/>
        </w:rPr>
        <w:t xml:space="preserve">Services by an educational institution to its students, faculty and staff are exempt. An educational institution means one providing school education up to higher secondary, education for a qualification recognised by law, or an approved vocational course. Transport, catering, security and housekeeping services received by schools, and examination services received by any educational institution, are also exempt. Private coaching and ed-tech courses not leading to a recognised qualification are taxable at 18%.</w:t>
      </w:r>
    </w:p>
    <w:p>
      <w:pPr>
        <w:pStyle w:val="Heading2"/>
        <w:keepNext/>
        <w:spacing w:after="120" w:before="240"/>
      </w:pPr>
      <w:r>
        <w:rPr>
          <w:rFonts w:ascii="Verdana" w:cs="Verdana" w:eastAsia="Verdana" w:hAnsi="Verdana"/>
        </w:rPr>
        <w:t xml:space="preserve">32.2 Healthcare</w:t>
      </w:r>
    </w:p>
    <w:p>
      <w:pPr>
        <w:spacing w:after="120" w:line="276"/>
        <w:jc w:val="both"/>
      </w:pPr>
      <w:r>
        <w:rPr>
          <w:rFonts w:ascii="Verdana" w:cs="Verdana" w:eastAsia="Verdana" w:hAnsi="Verdana"/>
        </w:rPr>
        <w:t xml:space="preserve">Health care services by a clinical establishment, an authorised medical practitioner or paramedics are exempt. Medicines and consumables supplied to in-patients during treatment are part of this exempt composite supply. From 18 July 2022, a hospital room (other than ICU, CCU, ICCU or NICU) with a charge above Rs. 5,000 per day is taxed at 5% without ITC. Cosmetic surgery, other than reconstructive, is taxable.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167: Hospital room rent above Rs. 5,000</w:t>
            </w:r>
          </w:p>
          <w:p>
            <w:pPr>
              <w:spacing w:after="60" w:line="260"/>
            </w:pPr>
            <w:r>
              <w:rPr>
                <w:rFonts w:ascii="Verdana" w:cs="Verdana" w:eastAsia="Verdana" w:hAnsi="Verdana"/>
                <w:sz w:val="20"/>
                <w:szCs w:val="20"/>
              </w:rPr>
              <w:t xml:space="preserve">Mrs. Rao is admitted to Sunrise Hospital for 6 days: 2 days in ICU at Rs. 12,000 a day and 4 days in a private room at Rs. 6,000 a day. Treatment and medicines cost Rs. 1,50,000.</w:t>
            </w:r>
          </w:p>
          <w:p>
            <w:pPr>
              <w:spacing w:after="60" w:line="260"/>
            </w:pPr>
            <w:r>
              <w:rPr>
                <w:rFonts w:ascii="Verdana" w:cs="Verdana" w:eastAsia="Verdana" w:hAnsi="Verdana"/>
                <w:sz w:val="20"/>
                <w:szCs w:val="20"/>
              </w:rPr>
              <w:t xml:space="preserve">Step 1: ICU charges Rs. 24,000: exempt, whatever the rate.</w:t>
            </w:r>
          </w:p>
          <w:p>
            <w:pPr>
              <w:spacing w:after="60" w:line="260"/>
            </w:pPr>
            <w:r>
              <w:rPr>
                <w:rFonts w:ascii="Verdana" w:cs="Verdana" w:eastAsia="Verdana" w:hAnsi="Verdana"/>
                <w:sz w:val="20"/>
                <w:szCs w:val="20"/>
              </w:rPr>
              <w:t xml:space="preserve">Step 2: Private room Rs. 24,000: above Rs. 5,000 a day and not ICU, so 5% = Rs. 1,200 (CGST Rs. 600 + SGST Rs. 600).</w:t>
            </w:r>
          </w:p>
          <w:p>
            <w:pPr>
              <w:spacing w:after="60" w:line="260"/>
            </w:pPr>
            <w:r>
              <w:rPr>
                <w:rFonts w:ascii="Verdana" w:cs="Verdana" w:eastAsia="Verdana" w:hAnsi="Verdana"/>
                <w:sz w:val="20"/>
                <w:szCs w:val="20"/>
              </w:rPr>
              <w:t xml:space="preserve">Step 3: Treatment and medicines Rs. 1,50,000: exempt health care.</w:t>
            </w:r>
          </w:p>
          <w:p>
            <w:pPr>
              <w:spacing w:after="60" w:line="260"/>
            </w:pPr>
            <w:r>
              <w:rPr>
                <w:rFonts w:ascii="Verdana" w:cs="Verdana" w:eastAsia="Verdana" w:hAnsi="Verdana"/>
                <w:sz w:val="20"/>
                <w:szCs w:val="20"/>
              </w:rPr>
              <w:t xml:space="preserve">Step 4: Total bill = Rs. 1,99,200. The hospital gets no ITC on the room service and must apportion common credit, which in practice is small.</w:t>
            </w:r>
          </w:p>
        </w:tc>
      </w:tr>
    </w:tbl>
    <w:p>
      <w:pPr>
        <w:spacing w:after="60"/>
      </w:pPr>
    </w:p>
    <w:p>
      <w:pPr>
        <w:pStyle w:val="Heading2"/>
        <w:keepNext/>
        <w:spacing w:after="120" w:before="240"/>
      </w:pPr>
      <w:r>
        <w:rPr>
          <w:rFonts w:ascii="Verdana" w:cs="Verdana" w:eastAsia="Verdana" w:hAnsi="Verdana"/>
        </w:rPr>
        <w:t xml:space="preserve">32.3 Charities, religious places, grants and sponsorship</w:t>
      </w:r>
    </w:p>
    <w:p>
      <w:pPr>
        <w:spacing w:after="120" w:line="276"/>
        <w:jc w:val="both"/>
      </w:pPr>
      <w:r>
        <w:rPr>
          <w:rFonts w:ascii="Verdana" w:cs="Verdana" w:eastAsia="Verdana" w:hAnsi="Verdana"/>
        </w:rPr>
        <w:t xml:space="preserve">Services by an entity registered under section 12AB of the Income-tax Act, 1961 (and its successor in the Income-tax Act, 2025) by way of charitable activities are exempt. Charitable activities are defined narrowly: public health and welfare, advancement of religion, spirituality or yoga, advancement of educational programmes relating to abandoned children, prisoners and older persons in rural areas, and preservation of the environment. Renting of rooms in the precincts of a religious place run by such an entity is exempt where the charge is Rs. 1,000 or less per day; shops at Rs. 10,000 or less per month and community halls at Rs. 10,000 or less per day are also exempt.</w:t>
      </w:r>
    </w:p>
    <w:p>
      <w:pPr>
        <w:spacing w:after="120" w:line="276"/>
        <w:jc w:val="both"/>
      </w:pPr>
      <w:r>
        <w:rPr>
          <w:rFonts w:ascii="Verdana" w:cs="Verdana" w:eastAsia="Verdana" w:hAnsi="Verdana"/>
        </w:rPr>
        <w:t xml:space="preserve">A grant or donation given without any service in return is not consideration. The test is quid pro quo: if the donor gets publicity, naming rights or specific deliverables, it is sponsorship or a service. Sponsorship services supplied to a body corporate or partnership firm are taxed under reverse charge. Subsidies from the Central and State Governments are excluded from value under section 15(2)(e), while subsidies from others that are directly linked to price are included.</w:t>
      </w:r>
    </w:p>
    <w:p>
      <w:pPr>
        <w:spacing w:after="120" w:line="276"/>
        <w:jc w:val="both"/>
      </w:pPr>
      <w:r>
        <w:rPr>
          <w:rFonts w:ascii="Verdana" w:cs="Verdana" w:eastAsia="Verdana" w:hAnsi="Verdana"/>
        </w:rPr>
        <w:t xml:space="preserve">CSR spending has its own block. Section 17(5)(fa), from 1 October 2023, disallows ITC on goods or services used to fulfil obligations under section 135 of the Companies Act, 2013.</w:t>
      </w:r>
    </w:p>
    <w:p>
      <w:pPr>
        <w:pStyle w:val="Heading2"/>
        <w:keepNext/>
        <w:spacing w:after="120" w:before="240"/>
      </w:pPr>
      <w:r>
        <w:rPr>
          <w:rFonts w:ascii="Verdana" w:cs="Verdana" w:eastAsia="Verdana" w:hAnsi="Verdana"/>
        </w:rPr>
        <w:t xml:space="preserve">32.4 Incubators</w:t>
      </w:r>
    </w:p>
    <w:p>
      <w:pPr>
        <w:spacing w:after="120" w:line="276"/>
        <w:jc w:val="both"/>
      </w:pPr>
      <w:r>
        <w:rPr>
          <w:rFonts w:ascii="Verdana" w:cs="Verdana" w:eastAsia="Verdana" w:hAnsi="Verdana"/>
        </w:rPr>
        <w:t xml:space="preserve">A business incubator (often a section 8 company) usually has three kinds of receipts: Government grants for running programmes, incubation fees from startups, and equity or a share of revenue taken for services. The grant, without quid pro quo, is not a supply. Incubation fees for space, mentoring and support are taxable at 18%. Equity taken for services is non-monetary consideration, and the service is valued under section 15 and rule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168: Incubation fees and equity for services</w:t>
            </w:r>
          </w:p>
          <w:p>
            <w:pPr>
              <w:spacing w:after="60" w:line="260"/>
            </w:pPr>
            <w:r>
              <w:rPr>
                <w:rFonts w:ascii="Verdana" w:cs="Verdana" w:eastAsia="Verdana" w:hAnsi="Verdana"/>
                <w:sz w:val="20"/>
                <w:szCs w:val="20"/>
              </w:rPr>
              <w:t xml:space="preserve">Sabarmati Startup Foundation, a section 8 incubator in Ahmedabad, receives a Government grant of Rs. 50,00,000 for a programme with no deliverables to the grantor. It charges a startup Rs. 40,000 a month for space and mentoring, and takes 2% equity for a 12-month acceleration programme. The shares were valued at Rs. 6,00,000 on the basis of the startup's latest funding round.</w:t>
            </w:r>
          </w:p>
          <w:p>
            <w:pPr>
              <w:spacing w:after="60" w:line="260"/>
            </w:pPr>
            <w:r>
              <w:rPr>
                <w:rFonts w:ascii="Verdana" w:cs="Verdana" w:eastAsia="Verdana" w:hAnsi="Verdana"/>
                <w:sz w:val="20"/>
                <w:szCs w:val="20"/>
              </w:rPr>
              <w:t xml:space="preserve">Step 1: Grant: no supply, no GST. ITC on inputs used for the grant-funded programme should be examined; where it is used for non-business activity, it is reversed.</w:t>
            </w:r>
          </w:p>
          <w:p>
            <w:pPr>
              <w:spacing w:after="60" w:line="260"/>
            </w:pPr>
            <w:r>
              <w:rPr>
                <w:rFonts w:ascii="Verdana" w:cs="Verdana" w:eastAsia="Verdana" w:hAnsi="Verdana"/>
                <w:sz w:val="20"/>
                <w:szCs w:val="20"/>
              </w:rPr>
              <w:t xml:space="preserve">Step 2: Incubation fees: 12 x Rs. 40,000 = Rs. 4,80,000; GST at 18% = Rs. 86,400.</w:t>
            </w:r>
          </w:p>
          <w:p>
            <w:pPr>
              <w:spacing w:after="60" w:line="260"/>
            </w:pPr>
            <w:r>
              <w:rPr>
                <w:rFonts w:ascii="Verdana" w:cs="Verdana" w:eastAsia="Verdana" w:hAnsi="Verdana"/>
                <w:sz w:val="20"/>
                <w:szCs w:val="20"/>
              </w:rPr>
              <w:t xml:space="preserve">Step 3: Equity for services: the value is the money value of the non-monetary consideration, Rs. 6,00,000, supported by the valuation report. GST at 18% = Rs. 1,08,000, borne by the incubator from its own funds because the startup pays nothing in money.</w:t>
            </w:r>
          </w:p>
          <w:p>
            <w:pPr>
              <w:spacing w:after="60" w:line="260"/>
            </w:pPr>
            <w:r>
              <w:rPr>
                <w:rFonts w:ascii="Verdana" w:cs="Verdana" w:eastAsia="Verdana" w:hAnsi="Verdana"/>
                <w:sz w:val="20"/>
                <w:szCs w:val="20"/>
              </w:rPr>
              <w:t xml:space="preserve">Result: total output tax = Rs. 1,94,400. The startup can take ITC of both if it is registered.</w:t>
            </w:r>
          </w:p>
        </w:tc>
      </w:tr>
    </w:tbl>
    <w:p>
      <w:pPr>
        <w:spacing w:after="60"/>
      </w:pPr>
    </w:p>
    <w:p>
      <w:pPr>
        <w:pStyle w:val="Heading2"/>
        <w:keepNext/>
        <w:spacing w:after="120" w:before="240"/>
      </w:pPr>
      <w:r>
        <w:rPr>
          <w:rFonts w:ascii="Verdana" w:cs="Verdana" w:eastAsia="Verdana" w:hAnsi="Verdana"/>
        </w:rPr>
        <w:t xml:space="preserve">32.5 Government, local authorities, RWAs and clubs</w:t>
      </w:r>
    </w:p>
    <w:p>
      <w:pPr>
        <w:spacing w:after="120" w:line="276"/>
        <w:jc w:val="both"/>
      </w:pPr>
      <w:r>
        <w:rPr>
          <w:rFonts w:ascii="Verdana" w:cs="Verdana" w:eastAsia="Verdana" w:hAnsi="Verdana"/>
        </w:rPr>
        <w:t xml:space="preserve">Pure services (and composite supplies where goods are up to 25% of the value) supplied to Central and State Governments, Union territories and local authorities in relation to functions entrusted to panchayats and municipalities under Articles 243G and 243W are exempt. Services by Government to business entities are generally under reverse charge, and notified Government bodies deduct TDS at 2% under section 51.</w:t>
      </w:r>
    </w:p>
    <w:p>
      <w:pPr>
        <w:spacing w:after="120" w:line="276"/>
        <w:jc w:val="both"/>
      </w:pPr>
      <w:r>
        <w:rPr>
          <w:rFonts w:ascii="Verdana" w:cs="Verdana" w:eastAsia="Verdana" w:hAnsi="Verdana"/>
        </w:rPr>
        <w:t xml:space="preserve">Supply of services by a resident welfare association to its members is exempt where the contribution is up to Rs. 7,500 per member per month for common use of the society. If the contribution exceeds Rs. 7,500, the whole amount is taxable at 18%, not only the excess. An RWA with turnover within Rs. 20 lakh need not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169: RWA maintenance charges</w:t>
            </w:r>
          </w:p>
          <w:p>
            <w:pPr>
              <w:spacing w:after="60" w:line="260"/>
            </w:pPr>
            <w:r>
              <w:rPr>
                <w:rFonts w:ascii="Verdana" w:cs="Verdana" w:eastAsia="Verdana" w:hAnsi="Verdana"/>
                <w:sz w:val="20"/>
                <w:szCs w:val="20"/>
              </w:rPr>
              <w:t xml:space="preserve">Shanti Co-operative Housing Society collects maintenance of Rs. 6,500 a month from owners of 2 BHK flats and Rs. 9,000 a month from owners of penthouses. Its annual collection is Rs. 60 lakh.</w:t>
            </w:r>
          </w:p>
          <w:p>
            <w:pPr>
              <w:spacing w:after="60" w:line="260"/>
            </w:pPr>
            <w:r>
              <w:rPr>
                <w:rFonts w:ascii="Verdana" w:cs="Verdana" w:eastAsia="Verdana" w:hAnsi="Verdana"/>
                <w:sz w:val="20"/>
                <w:szCs w:val="20"/>
              </w:rPr>
              <w:t xml:space="preserve">Step 1: 2 BHK members: Rs. 6,500 is within Rs. 7,500, exempt.</w:t>
            </w:r>
          </w:p>
          <w:p>
            <w:pPr>
              <w:spacing w:after="60" w:line="260"/>
            </w:pPr>
            <w:r>
              <w:rPr>
                <w:rFonts w:ascii="Verdana" w:cs="Verdana" w:eastAsia="Verdana" w:hAnsi="Verdana"/>
                <w:sz w:val="20"/>
                <w:szCs w:val="20"/>
              </w:rPr>
              <w:t xml:space="preserve">Step 2: Penthouse members: Rs. 9,000 exceeds Rs. 7,500, so GST at 18% on the whole amount = Rs. 1,620 a month per member (CGST Rs. 810 + SGST Rs. 810).</w:t>
            </w:r>
          </w:p>
          <w:p>
            <w:pPr>
              <w:spacing w:after="60" w:line="260"/>
            </w:pPr>
            <w:r>
              <w:rPr>
                <w:rFonts w:ascii="Verdana" w:cs="Verdana" w:eastAsia="Verdana" w:hAnsi="Verdana"/>
                <w:sz w:val="20"/>
                <w:szCs w:val="20"/>
              </w:rPr>
              <w:t xml:space="preserve">Step 3: Turnover exceeds Rs. 20 lakh, so the society must register. Property tax, water charges and electricity collected on behalf of the municipality or utility are excluded from the Rs. 7,500 limit.</w:t>
            </w:r>
          </w:p>
        </w:tc>
      </w:tr>
    </w:tbl>
    <w:p>
      <w:pPr>
        <w:spacing w:after="60"/>
      </w:pPr>
    </w:p>
    <w:p>
      <w:pPr>
        <w:spacing w:after="120" w:line="276"/>
        <w:jc w:val="both"/>
      </w:pPr>
      <w:r>
        <w:rPr>
          <w:rFonts w:ascii="Verdana" w:cs="Verdana" w:eastAsia="Verdana" w:hAnsi="Verdana"/>
        </w:rPr>
        <w:t xml:space="preserve">Clubs and associations raise the question of mutuality. Section 7(1)(aa), inserted by the Finance Act, 2021 with effect from 1 July 2017, treats activities of a club or association for its members as a supply.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Clubs and the principle of mutuality</w:t>
            </w:r>
          </w:p>
          <w:p>
            <w:pPr>
              <w:spacing w:after="60" w:line="260"/>
            </w:pPr>
            <w:r>
              <w:rPr>
                <w:rFonts w:ascii="Verdana" w:cs="Verdana" w:eastAsia="Verdana" w:hAnsi="Verdana"/>
                <w:b/>
                <w:bCs/>
                <w:sz w:val="20"/>
                <w:szCs w:val="20"/>
              </w:rPr>
              <w:t xml:space="preserve">State of West Bengal v. Calcutta Club Ltd. (Supreme Court, 2019):</w:t>
            </w:r>
            <w:r>
              <w:rPr>
                <w:rFonts w:ascii="Verdana" w:cs="Verdana" w:eastAsia="Verdana" w:hAnsi="Verdana"/>
                <w:sz w:val="20"/>
                <w:szCs w:val="20"/>
              </w:rPr>
              <w:t xml:space="preserve"> a members' club supplying food and services to its members does not make a sale or a taxable service, because the club and the members are not distinct persons (principle of mutuality). This was decided under the sales tax and service tax laws.</w:t>
            </w:r>
          </w:p>
          <w:p>
            <w:pPr>
              <w:spacing w:after="60" w:line="260"/>
            </w:pPr>
            <w:r>
              <w:rPr>
                <w:rFonts w:ascii="Verdana" w:cs="Verdana" w:eastAsia="Verdana" w:hAnsi="Verdana"/>
                <w:b/>
                <w:bCs/>
                <w:sz w:val="20"/>
                <w:szCs w:val="20"/>
              </w:rPr>
              <w:t xml:space="preserve">Indian Medical Association v. Union of India (Kerala High Court, 2025):</w:t>
            </w:r>
            <w:r>
              <w:rPr>
                <w:rFonts w:ascii="Verdana" w:cs="Verdana" w:eastAsia="Verdana" w:hAnsi="Verdana"/>
                <w:sz w:val="20"/>
                <w:szCs w:val="20"/>
              </w:rPr>
              <w:t xml:space="preserve"> a Division Bench held section 7(1)(aa) and section 2(17)(e) of the CGST Act unconstitutional, because the legislature cannot deem a transaction between a club and its members to be a supply without the constitutional definition supporting it. The ruling binds authorities in Kerala. The Union has appealed: the Supreme Court issued notice in July 2025 and directed that no recovery steps be taken against the Association, without staying the judgment, so check the current status. Clubs elsewhere should continue to pay tax or keep the issue open in their correspondence with the department.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School and recognised education are exempt; private coaching and ed-tech courses are 18%.</w:t>
            </w:r>
          </w:p>
          <w:p>
            <w:pPr>
              <w:spacing w:after="60" w:line="260"/>
            </w:pPr>
            <w:r>
              <w:rPr>
                <w:rFonts w:ascii="Verdana" w:cs="Verdana" w:eastAsia="Verdana" w:hAnsi="Verdana"/>
                <w:sz w:val="20"/>
                <w:szCs w:val="20"/>
              </w:rPr>
              <w:t xml:space="preserve">•  Health care is exempt; non-ICU rooms above Rs. 5,000 a day are 5% without ITC.</w:t>
            </w:r>
          </w:p>
          <w:p>
            <w:pPr>
              <w:spacing w:after="60" w:line="260"/>
            </w:pPr>
            <w:r>
              <w:rPr>
                <w:rFonts w:ascii="Verdana" w:cs="Verdana" w:eastAsia="Verdana" w:hAnsi="Verdana"/>
                <w:sz w:val="20"/>
                <w:szCs w:val="20"/>
              </w:rPr>
              <w:t xml:space="preserve">•  Grants without quid pro quo are not supplies; sponsorship to companies is under reverse charge; CSR inputs are blocked under section 17(5)(fa).</w:t>
            </w:r>
          </w:p>
          <w:p>
            <w:pPr>
              <w:spacing w:after="60" w:line="260"/>
            </w:pPr>
            <w:r>
              <w:rPr>
                <w:rFonts w:ascii="Verdana" w:cs="Verdana" w:eastAsia="Verdana" w:hAnsi="Verdana"/>
                <w:sz w:val="20"/>
                <w:szCs w:val="20"/>
              </w:rPr>
              <w:t xml:space="preserve">•  Incubation fees are 18%; equity for services is non-monetary consideration taxable at its money value.</w:t>
            </w:r>
          </w:p>
          <w:p>
            <w:pPr>
              <w:spacing w:after="60" w:line="260"/>
            </w:pPr>
            <w:r>
              <w:rPr>
                <w:rFonts w:ascii="Verdana" w:cs="Verdana" w:eastAsia="Verdana" w:hAnsi="Verdana"/>
                <w:sz w:val="20"/>
                <w:szCs w:val="20"/>
              </w:rPr>
              <w:t xml:space="preserve">•  RWA contributions above Rs. 7,500 per member per month are taxable in full; section 7(1)(aa) on clubs was struck down by the Kerala High Court in 2025, and the Union's appeal is pending in the Supreme Court.</w:t>
            </w:r>
          </w:p>
        </w:tc>
      </w:tr>
    </w:tbl>
    <w:p>
      <w:pPr>
        <w:pStyle w:val="Heading1"/>
        <w:pageBreakBefore/>
        <w:spacing w:after="200" w:before="0"/>
      </w:pPr>
      <w:r>
        <w:rPr>
          <w:rFonts w:ascii="Verdana" w:cs="Verdana" w:eastAsia="Verdana" w:hAnsi="Verdana"/>
        </w:rPr>
        <w:t xml:space="preserve">33. MSMEs, Professionals and Startups</w:t>
      </w:r>
    </w:p>
    <w:p>
      <w:pPr>
        <w:spacing w:after="120" w:line="276"/>
        <w:jc w:val="both"/>
      </w:pPr>
      <w:r>
        <w:rPr>
          <w:rFonts w:ascii="Verdana" w:cs="Verdana" w:eastAsia="Verdana" w:hAnsi="Verdana"/>
        </w:rPr>
        <w:t xml:space="preserve">Small businesses face the same law as large ones with fewer people to handle it. The choices that matter most for them are registration, the return scheme, reverse charge on professional fees, and cash flow.</w:t>
      </w:r>
    </w:p>
    <w:p>
      <w:pPr>
        <w:pStyle w:val="Heading2"/>
        <w:keepNext/>
        <w:spacing w:after="120" w:before="240"/>
      </w:pPr>
      <w:r>
        <w:rPr>
          <w:rFonts w:ascii="Verdana" w:cs="Verdana" w:eastAsia="Verdana" w:hAnsi="Verdana"/>
        </w:rPr>
        <w:t xml:space="preserve">33.1 Registration, QRMP and composition</w:t>
      </w:r>
    </w:p>
    <w:p>
      <w:pPr>
        <w:spacing w:after="120" w:line="276"/>
        <w:jc w:val="both"/>
      </w:pPr>
      <w:r>
        <w:rPr>
          <w:rFonts w:ascii="Verdana" w:cs="Verdana" w:eastAsia="Verdana" w:hAnsi="Verdana"/>
        </w:rPr>
        <w:t xml:space="preserve">The registration threshold is tested on aggregate turnover of all registrations under the same PAN across India, including exempt supplies and exports but excluding inward supplies under reverse charge. A service provider with turnover up to Rs. 20 lakh need not register even if it makes inter-State supplies. Once registered, a person with aggregate turnover up to Rs. 5 crore can opt for the QRMP scheme: quarterly GSTR-1 and GSTR-3B with monthly tax payment through PMT-06. Service providers with turnover up to Rs. 50 lakh may opt for composition under section 10(2A) at 6%, but lose ITC and cannot charge tax to B2B customers, which rarely suits a consultant with business clients.</w:t>
      </w:r>
    </w:p>
    <w:p>
      <w:pPr>
        <w:pStyle w:val="Heading2"/>
        <w:keepNext/>
        <w:spacing w:after="120" w:before="240"/>
      </w:pPr>
      <w:r>
        <w:rPr>
          <w:rFonts w:ascii="Verdana" w:cs="Verdana" w:eastAsia="Verdana" w:hAnsi="Verdana"/>
        </w:rPr>
        <w:t xml:space="preserve">33.2 Professional fees and reverse charge</w:t>
      </w:r>
    </w:p>
    <w:p>
      <w:pPr>
        <w:spacing w:after="120" w:line="276"/>
        <w:jc w:val="both"/>
      </w:pPr>
      <w:r>
        <w:rPr>
          <w:rFonts w:ascii="Verdana" w:cs="Verdana" w:eastAsia="Verdana" w:hAnsi="Verdana"/>
        </w:rPr>
        <w:t xml:space="preserve">Chartered accountants, company secretaries, consultants and architects charge 18% under forward charge. Legal services by an individual advocate or a firm of advocates to a business entity are under reverse charge: the business entity pays 18%. Business entities with turnover up to the registration threshold in the preceding year are exempt from this, as are individuals and non-business clients.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170: Professional fees in a small company</w:t>
            </w:r>
          </w:p>
          <w:p>
            <w:pPr>
              <w:spacing w:after="60" w:line="260"/>
            </w:pPr>
            <w:r>
              <w:rPr>
                <w:rFonts w:ascii="Verdana" w:cs="Verdana" w:eastAsia="Verdana" w:hAnsi="Verdana"/>
                <w:sz w:val="20"/>
                <w:szCs w:val="20"/>
              </w:rPr>
              <w:t xml:space="preserve">Kiran Foods Pvt. Ltd. (turnover Rs. 3 crore) pays a law firm Rs. 1,50,000 for a recovery suit and a chartered accountant firm Rs. 2,00,000 for audit and tax work.</w:t>
            </w:r>
          </w:p>
          <w:p>
            <w:pPr>
              <w:spacing w:after="60" w:line="260"/>
            </w:pPr>
            <w:r>
              <w:rPr>
                <w:rFonts w:ascii="Verdana" w:cs="Verdana" w:eastAsia="Verdana" w:hAnsi="Verdana"/>
                <w:sz w:val="20"/>
                <w:szCs w:val="20"/>
              </w:rPr>
              <w:t xml:space="preserve">Step 1: Legal fees: reverse charge at 18% = Rs. 27,000, paid in cash by Kiran Foods; credit taken in the same return.</w:t>
            </w:r>
          </w:p>
          <w:p>
            <w:pPr>
              <w:spacing w:after="60" w:line="260"/>
            </w:pPr>
            <w:r>
              <w:rPr>
                <w:rFonts w:ascii="Verdana" w:cs="Verdana" w:eastAsia="Verdana" w:hAnsi="Verdana"/>
                <w:sz w:val="20"/>
                <w:szCs w:val="20"/>
              </w:rPr>
              <w:t xml:space="preserve">Step 2: CA fees: the firm charges 18% = Rs. 36,000 on its invoice; Kiran Foods takes ITC once it appears in GSTR-2B.</w:t>
            </w:r>
          </w:p>
          <w:p>
            <w:pPr>
              <w:spacing w:after="60" w:line="260"/>
            </w:pPr>
            <w:r>
              <w:rPr>
                <w:rFonts w:ascii="Verdana" w:cs="Verdana" w:eastAsia="Verdana" w:hAnsi="Verdana"/>
                <w:sz w:val="20"/>
                <w:szCs w:val="20"/>
              </w:rPr>
              <w:t xml:space="preserve">Step 3: Cash outflow on tax in the month = Rs. 63,000, with credit of the same amount. The reverse charge amount cannot be paid out of ITC.</w:t>
            </w:r>
          </w:p>
        </w:tc>
      </w:tr>
    </w:tbl>
    <w:p>
      <w:pPr>
        <w:spacing w:after="60"/>
      </w:pPr>
    </w:p>
    <w:p>
      <w:pPr>
        <w:pStyle w:val="Heading2"/>
        <w:keepNext/>
        <w:spacing w:after="120" w:before="240"/>
      </w:pPr>
      <w:r>
        <w:rPr>
          <w:rFonts w:ascii="Verdana" w:cs="Verdana" w:eastAsia="Verdana" w:hAnsi="Verdana"/>
        </w:rPr>
        <w:t xml:space="preserve">33.3 Freelancers and exporters of services</w:t>
      </w:r>
    </w:p>
    <w:p>
      <w:pPr>
        <w:spacing w:after="120" w:line="276"/>
        <w:jc w:val="both"/>
      </w:pPr>
      <w:r>
        <w:rPr>
          <w:rFonts w:ascii="Verdana" w:cs="Verdana" w:eastAsia="Verdana" w:hAnsi="Verdana"/>
        </w:rPr>
        <w:t xml:space="preserve">A freelancer designing for foreign clients exports services if the conditions of section 2(6) of the IGST Act are met: supplier in India, recipient outside India, place of supply outside India, payment received in convertible foreign exchange or in Indian rupees where permitted by the RBI (for example, through special rupee vostro accounts), and supplier and recipient not merely establishments of the same person. Exports are zero-rated. Under a Letter of Undertaking (LUT, filed in RFD-11 each year) no tax is paid, and unused ITC is refunded under rule 89(4). The e-BRC or FIRC from the bank is the proof of realisation.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171: A freelance designer</w:t>
            </w:r>
          </w:p>
          <w:p>
            <w:pPr>
              <w:spacing w:after="60" w:line="260"/>
            </w:pPr>
            <w:r>
              <w:rPr>
                <w:rFonts w:ascii="Verdana" w:cs="Verdana" w:eastAsia="Verdana" w:hAnsi="Verdana"/>
                <w:sz w:val="20"/>
                <w:szCs w:val="20"/>
              </w:rPr>
              <w:t xml:space="preserve">Rohan, a UI designer in Pune, earns Rs. 30,00,000 from clients in the USA and Rs. 4,00,000 from Indian companies in FY 2025-26. He buys a laptop for Rs. 1,50,000 plus GST.</w:t>
            </w:r>
          </w:p>
          <w:p>
            <w:pPr>
              <w:spacing w:after="60" w:line="260"/>
            </w:pPr>
            <w:r>
              <w:rPr>
                <w:rFonts w:ascii="Verdana" w:cs="Verdana" w:eastAsia="Verdana" w:hAnsi="Verdana"/>
                <w:sz w:val="20"/>
                <w:szCs w:val="20"/>
              </w:rPr>
              <w:t xml:space="preserve">Step 1: Aggregate turnover = Rs. 34,00,000, which exceeds Rs. 20 lakh. Exports count, so Rohan must register.</w:t>
            </w:r>
          </w:p>
          <w:p>
            <w:pPr>
              <w:spacing w:after="60" w:line="260"/>
            </w:pPr>
            <w:r>
              <w:rPr>
                <w:rFonts w:ascii="Verdana" w:cs="Verdana" w:eastAsia="Verdana" w:hAnsi="Verdana"/>
                <w:sz w:val="20"/>
                <w:szCs w:val="20"/>
              </w:rPr>
              <w:t xml:space="preserve">Step 2: Exports under LUT: no tax. Domestic fees: 18% = Rs. 72,000.</w:t>
            </w:r>
          </w:p>
          <w:p>
            <w:pPr>
              <w:spacing w:after="60" w:line="260"/>
            </w:pPr>
            <w:r>
              <w:rPr>
                <w:rFonts w:ascii="Verdana" w:cs="Verdana" w:eastAsia="Verdana" w:hAnsi="Verdana"/>
                <w:sz w:val="20"/>
                <w:szCs w:val="20"/>
              </w:rPr>
              <w:t xml:space="preserve">Step 3: ITC on laptop = Rs. 27,000. Net tax on domestic fees = Rs. 45,000. If ITC exceeded domestic tax, the balance could be claimed as refund under rule 89(4).</w:t>
            </w:r>
          </w:p>
        </w:tc>
      </w:tr>
    </w:tbl>
    <w:p>
      <w:pPr>
        <w:spacing w:after="60"/>
      </w:pPr>
    </w:p>
    <w:p>
      <w:pPr>
        <w:spacing w:after="120" w:line="276"/>
        <w:jc w:val="both"/>
      </w:pPr>
      <w:r>
        <w:rPr>
          <w:rFonts w:ascii="Verdana" w:cs="Verdana" w:eastAsia="Verdana" w:hAnsi="Verdana"/>
        </w:rPr>
        <w:t xml:space="preserve">Free trials of software or services are not supplies to unrelated customers because there is no consideration. Where a startup gives free services to a related company, Schedule I may apply, and the value falls under rule 28.</w:t>
      </w:r>
    </w:p>
    <w:p>
      <w:pPr>
        <w:pStyle w:val="Heading2"/>
        <w:keepNext/>
        <w:spacing w:after="120" w:before="240"/>
      </w:pPr>
      <w:r>
        <w:rPr>
          <w:rFonts w:ascii="Verdana" w:cs="Verdana" w:eastAsia="Verdana" w:hAnsi="Verdana"/>
        </w:rPr>
        <w:t xml:space="preserve">33.4 Cash flow and vendor risk</w:t>
      </w:r>
    </w:p>
    <w:p>
      <w:pPr>
        <w:spacing w:after="120" w:line="276"/>
        <w:jc w:val="both"/>
      </w:pPr>
      <w:r>
        <w:rPr>
          <w:rFonts w:ascii="Verdana" w:cs="Verdana" w:eastAsia="Verdana" w:hAnsi="Verdana"/>
        </w:rPr>
        <w:t xml:space="preserve">Rule 37 requires a buyer to reverse ITC if the supplier is not paid within 180 days of the invoice date, with interest if the credit was used; credit comes back on payment. Rule 86B requires registered persons with monthly taxable supplies above Rs. 50 lakh to pay at least 1% of output tax in cash, with exceptions such as where the proprietor or directors paid income tax above Rs. 1 lakh in each of the last two years. On the income-tax side, section 37 of the Income-tax Act, 2025 (carrying forward section 43B(h) of the 1961 Act) allows a deduction for dues to micro and small enterprises only on payment, where payment is made beyond 45 days (15 days where there is no written agreement); the companion guide on the Income-tax Act, 2025 covers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172: The 180-day rule</w:t>
            </w:r>
          </w:p>
          <w:p>
            <w:pPr>
              <w:spacing w:after="60" w:line="260"/>
            </w:pPr>
            <w:r>
              <w:rPr>
                <w:rFonts w:ascii="Verdana" w:cs="Verdana" w:eastAsia="Verdana" w:hAnsi="Verdana"/>
                <w:sz w:val="20"/>
                <w:szCs w:val="20"/>
              </w:rPr>
              <w:t xml:space="preserve">Tara Traders buys goods on an invoice dated 1 January 2025 for Rs. 5,00,000 plus GST of Rs. 90,000 and takes ITC in January 2025. It pays the supplier only on 15 September 2025.</w:t>
            </w:r>
          </w:p>
          <w:p>
            <w:pPr>
              <w:spacing w:after="60" w:line="260"/>
            </w:pPr>
            <w:r>
              <w:rPr>
                <w:rFonts w:ascii="Verdana" w:cs="Verdana" w:eastAsia="Verdana" w:hAnsi="Verdana"/>
                <w:sz w:val="20"/>
                <w:szCs w:val="20"/>
              </w:rPr>
              <w:t xml:space="preserve">Step 1: 180 days from 1 January 2025 end on 30 June 2025. ITC of Rs. 90,000 is added to output tax in the GSTR-3B for July 2025, the tax period immediately following the 180 days (rule 37(2)), with interest at 18% under section 50(3) from the date of utilisation if it had been used.</w:t>
            </w:r>
          </w:p>
          <w:p>
            <w:pPr>
              <w:spacing w:after="60" w:line="260"/>
            </w:pPr>
            <w:r>
              <w:rPr>
                <w:rFonts w:ascii="Verdana" w:cs="Verdana" w:eastAsia="Verdana" w:hAnsi="Verdana"/>
                <w:sz w:val="20"/>
                <w:szCs w:val="20"/>
              </w:rPr>
              <w:t xml:space="preserve">Step 2: On payment on 15 September 2025, ITC of Rs. 90,000 is re-availed in the September 2025 return. No time limit under section 16(4) applies to re-availment.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Buyer's credit when the supplier defaults</w:t>
            </w:r>
          </w:p>
          <w:p>
            <w:pPr>
              <w:spacing w:after="60" w:line="260"/>
            </w:pPr>
            <w:r>
              <w:rPr>
                <w:rFonts w:ascii="Verdana" w:cs="Verdana" w:eastAsia="Verdana" w:hAnsi="Verdana"/>
                <w:b/>
                <w:bCs/>
                <w:sz w:val="20"/>
                <w:szCs w:val="20"/>
              </w:rPr>
              <w:t xml:space="preserve">Bhandari Scrap Traders v. Union of India (Supreme Court, 2026):</w:t>
            </w:r>
            <w:r>
              <w:rPr>
                <w:rFonts w:ascii="Verdana" w:cs="Verdana" w:eastAsia="Verdana" w:hAnsi="Verdana"/>
                <w:sz w:val="20"/>
                <w:szCs w:val="20"/>
              </w:rPr>
              <w:t xml:space="preserve"> the Court dismissed the challenge to section 16(2)(c) on 24 July 2026 and affirmed the Gujarat High Court. ITC can be denied to a buyer where the supplier has not paid the tax, and restored when the supplier pays. Earlier rulings that read the provision down (such as the Calcutta High Court in Suncraft Energy) must be read subject to this. For MSMEs the lesson is vendor checks: GSTIN status, return filing history on the portal, IRN validity of e-invoices, and clauses allowing the buyer to withhold tax until the invoice appears in GSTR-2B.</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Threshold is tested on all-India aggregate turnover under one PAN, including exports and exempt supplies.</w:t>
            </w:r>
          </w:p>
          <w:p>
            <w:pPr>
              <w:spacing w:after="60" w:line="260"/>
            </w:pPr>
            <w:r>
              <w:rPr>
                <w:rFonts w:ascii="Verdana" w:cs="Verdana" w:eastAsia="Verdana" w:hAnsi="Verdana"/>
                <w:sz w:val="20"/>
                <w:szCs w:val="20"/>
              </w:rPr>
              <w:t xml:space="preserve">•  Legal fees to business entities are under reverse charge; CA and consultancy fees are under forward charge at 18%.</w:t>
            </w:r>
          </w:p>
          <w:p>
            <w:pPr>
              <w:spacing w:after="60" w:line="260"/>
            </w:pPr>
            <w:r>
              <w:rPr>
                <w:rFonts w:ascii="Verdana" w:cs="Verdana" w:eastAsia="Verdana" w:hAnsi="Verdana"/>
                <w:sz w:val="20"/>
                <w:szCs w:val="20"/>
              </w:rPr>
              <w:t xml:space="preserve">•  Export of services under LUT is zero-rated; payment in foreign exchange or permitted INR; refund of unused ITC under rule 89(4).</w:t>
            </w:r>
          </w:p>
          <w:p>
            <w:pPr>
              <w:spacing w:after="60" w:line="260"/>
            </w:pPr>
            <w:r>
              <w:rPr>
                <w:rFonts w:ascii="Verdana" w:cs="Verdana" w:eastAsia="Verdana" w:hAnsi="Verdana"/>
                <w:sz w:val="20"/>
                <w:szCs w:val="20"/>
              </w:rPr>
              <w:t xml:space="preserve">•  Pay suppliers within 180 days to keep ITC; rule 86B requires 1% cash payment for larger businesses.</w:t>
            </w:r>
          </w:p>
          <w:p>
            <w:pPr>
              <w:spacing w:after="60" w:line="260"/>
            </w:pPr>
            <w:r>
              <w:rPr>
                <w:rFonts w:ascii="Verdana" w:cs="Verdana" w:eastAsia="Verdana" w:hAnsi="Verdana"/>
                <w:sz w:val="20"/>
                <w:szCs w:val="20"/>
              </w:rPr>
              <w:t xml:space="preserve">•  After Bhandari Scrap Traders, vendor compliance checks are the buyer's only protection.</w:t>
            </w:r>
          </w:p>
        </w:tc>
      </w:tr>
    </w:tbl>
    <w:p>
      <w:pPr>
        <w:pStyle w:val="Heading1"/>
        <w:pageBreakBefore/>
        <w:spacing w:after="200" w:before="0"/>
      </w:pPr>
      <w:r>
        <w:rPr>
          <w:rFonts w:ascii="Verdana" w:cs="Verdana" w:eastAsia="Verdana" w:hAnsi="Verdana"/>
        </w:rPr>
        <w:t xml:space="preserve">34. Business Restructuring, Transfers and Insolvency</w:t>
      </w:r>
    </w:p>
    <w:p>
      <w:pPr>
        <w:spacing w:after="120" w:line="276"/>
        <w:jc w:val="both"/>
      </w:pPr>
      <w:r>
        <w:rPr>
          <w:rFonts w:ascii="Verdana" w:cs="Verdana" w:eastAsia="Verdana" w:hAnsi="Verdana"/>
        </w:rPr>
        <w:t xml:space="preserve">When a business is sold, merged, split or closed, GST asks three questions: is the transfer itself taxable, what happens to the unused credit, and who carries the old liabilities.</w:t>
      </w:r>
    </w:p>
    <w:p>
      <w:pPr>
        <w:pStyle w:val="Heading2"/>
        <w:keepNext/>
        <w:spacing w:after="120" w:before="240"/>
      </w:pPr>
      <w:r>
        <w:rPr>
          <w:rFonts w:ascii="Verdana" w:cs="Verdana" w:eastAsia="Verdana" w:hAnsi="Verdana"/>
        </w:rPr>
        <w:t xml:space="preserve">34.1 Transfer of a going concern and slump sale</w:t>
      </w:r>
    </w:p>
    <w:p>
      <w:pPr>
        <w:spacing w:after="120" w:line="276"/>
        <w:jc w:val="both"/>
      </w:pPr>
      <w:r>
        <w:rPr>
          <w:rFonts w:ascii="Verdana" w:cs="Verdana" w:eastAsia="Verdana" w:hAnsi="Verdana"/>
        </w:rPr>
        <w:t xml:space="preserve">Services by way of transfer of a going concern, as a whole or an independent part of it, are exempt. A going concern transfer moves the business with its assets, liabilities, employees and contracts so that the buyer can carry it on without a break. A slump sale for a lump sum usually qualifies. An itemised sale, where assets are sold one by one at separate prices, is a series of taxable supplies of goods. Under section 18(3) and rule 41, unused ITC moves to the transferee on a sale, merger, demerger, amalgamation, lease or transfer of business with a specific provision for transfer of liabilities; the transferor files ITC-02 and the transferee accepts it on the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173: Slump sale or itemised sale</w:t>
            </w:r>
          </w:p>
          <w:p>
            <w:pPr>
              <w:spacing w:after="60" w:line="260"/>
            </w:pPr>
            <w:r>
              <w:rPr>
                <w:rFonts w:ascii="Verdana" w:cs="Verdana" w:eastAsia="Verdana" w:hAnsi="Verdana"/>
                <w:sz w:val="20"/>
                <w:szCs w:val="20"/>
              </w:rPr>
              <w:t xml:space="preserve">Joshi Engineering sells its fabrication division to Kumar Industries. The division has stock of Rs. 50,00,000 and machinery with a sale value of Rs. 80,00,000 (all 18% goods). Unused ITC relating to the division is Rs. 6,00,000.</w:t>
            </w:r>
          </w:p>
          <w:p>
            <w:pPr>
              <w:spacing w:after="60" w:line="260"/>
            </w:pPr>
            <w:r>
              <w:rPr>
                <w:rFonts w:ascii="Verdana" w:cs="Verdana" w:eastAsia="Verdana" w:hAnsi="Verdana"/>
                <w:sz w:val="20"/>
                <w:szCs w:val="20"/>
              </w:rPr>
              <w:t xml:space="preserve">Option A (itemised sale): tax on stock Rs. 9,00,000 + tax on machinery Rs. 14,40,000 = Rs. 23,40,000, subject to section 18(6) on machinery. Kumar Industries takes ITC of Rs. 23,40,000. Joshi's unused credit stays with Joshi.</w:t>
            </w:r>
          </w:p>
          <w:p>
            <w:pPr>
              <w:spacing w:after="60" w:line="260"/>
            </w:pPr>
            <w:r>
              <w:rPr>
                <w:rFonts w:ascii="Verdana" w:cs="Verdana" w:eastAsia="Verdana" w:hAnsi="Verdana"/>
                <w:sz w:val="20"/>
                <w:szCs w:val="20"/>
              </w:rPr>
              <w:t xml:space="preserve">Option B (going concern): no GST on the transfer. The ITC of Rs. 6,00,000 moves to Kumar Industries through ITC-02.</w:t>
            </w:r>
          </w:p>
          <w:p>
            <w:pPr>
              <w:spacing w:after="60" w:line="260"/>
            </w:pPr>
            <w:r>
              <w:rPr>
                <w:rFonts w:ascii="Verdana" w:cs="Verdana" w:eastAsia="Verdana" w:hAnsi="Verdana"/>
                <w:sz w:val="20"/>
                <w:szCs w:val="20"/>
              </w:rPr>
              <w:t xml:space="preserve">Result: option A blocks Rs. 23,40,000 of the buyer's cash until it is used; option B has no cash cost but requires the agreement to transfer the division as a running business, with employees, contracts and liabilities.</w:t>
            </w:r>
          </w:p>
        </w:tc>
      </w:tr>
    </w:tbl>
    <w:p>
      <w:pPr>
        <w:spacing w:after="60"/>
      </w:pPr>
    </w:p>
    <w:p>
      <w:pPr>
        <w:spacing w:after="120" w:line="276"/>
        <w:jc w:val="both"/>
      </w:pPr>
      <w:r>
        <w:rPr>
          <w:rFonts w:ascii="Verdana" w:cs="Verdana" w:eastAsia="Verdana" w:hAnsi="Verdana"/>
        </w:rPr>
        <w:t xml:space="preserve">In an amalgamation the transferor's registration continues until the court or NCLT order, and supplies between the amalgamating companies in the period between the appointed date and the order are taxable (section 87). In a demerger, credit is apportioned in the ratio of the value of assets of the new units. A sale of shares is outside GST, and the target keeps its credits and liabilities.</w:t>
      </w:r>
    </w:p>
    <w:p>
      <w:pPr>
        <w:pStyle w:val="Heading2"/>
        <w:keepNext/>
        <w:spacing w:after="120" w:before="240"/>
      </w:pPr>
      <w:r>
        <w:rPr>
          <w:rFonts w:ascii="Verdana" w:cs="Verdana" w:eastAsia="Verdana" w:hAnsi="Verdana"/>
        </w:rPr>
        <w:t xml:space="preserve">34.2 Sale of capital goods and closure</w:t>
      </w:r>
    </w:p>
    <w:p>
      <w:pPr>
        <w:spacing w:after="120" w:line="276"/>
        <w:jc w:val="both"/>
      </w:pPr>
      <w:r>
        <w:rPr>
          <w:rFonts w:ascii="Verdana" w:cs="Verdana" w:eastAsia="Verdana" w:hAnsi="Verdana"/>
        </w:rPr>
        <w:t xml:space="preserve">When capital goods on which ITC was taken are sold, section 18(6) and rule 40(2) require payment of the higher of (a) ITC taken reduced by 5 percentage points for every quarter or part of it from the invoice date, and (b) tax on the transaction value. When a registration is cancelled, section 29(5) requires payment of ITC on stock of inputs, semi-finished and finished goods and on capital goods (for capital goods, the credit for the remaining part of a five-year life under rule 44), or the output tax on them, whichever is higher, declared in ITC-03 and reported in GSTR-10.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174: Sale of a used machine</w:t>
            </w:r>
          </w:p>
          <w:p>
            <w:pPr>
              <w:spacing w:after="60" w:line="260"/>
            </w:pPr>
            <w:r>
              <w:rPr>
                <w:rFonts w:ascii="Verdana" w:cs="Verdana" w:eastAsia="Verdana" w:hAnsi="Verdana"/>
                <w:sz w:val="20"/>
                <w:szCs w:val="20"/>
              </w:rPr>
              <w:t xml:space="preserve">Anand Plastics bought a moulding machine on 1 June 2023 for Rs. 20,00,000 and took ITC of Rs. 3,60,000. It sells the machine on 10 August 2025 for Rs. 12,00,000.</w:t>
            </w:r>
          </w:p>
          <w:p>
            <w:pPr>
              <w:spacing w:after="60" w:line="260"/>
            </w:pPr>
            <w:r>
              <w:rPr>
                <w:rFonts w:ascii="Verdana" w:cs="Verdana" w:eastAsia="Verdana" w:hAnsi="Verdana"/>
                <w:sz w:val="20"/>
                <w:szCs w:val="20"/>
              </w:rPr>
              <w:t xml:space="preserve">Step 1: Quarters or part quarters from 1 June 2023 to 10 August 2025 = 9. Reduction = 9 x 5 = 45 percentage points.</w:t>
            </w:r>
          </w:p>
          <w:p>
            <w:pPr>
              <w:spacing w:after="60" w:line="260"/>
            </w:pPr>
            <w:r>
              <w:rPr>
                <w:rFonts w:ascii="Verdana" w:cs="Verdana" w:eastAsia="Verdana" w:hAnsi="Verdana"/>
                <w:sz w:val="20"/>
                <w:szCs w:val="20"/>
              </w:rPr>
              <w:t xml:space="preserve">Step 2: ITC less reduction = Rs. 3,60,000 x 55% = Rs. 1,98,000.</w:t>
            </w:r>
          </w:p>
          <w:p>
            <w:pPr>
              <w:spacing w:after="60" w:line="260"/>
            </w:pPr>
            <w:r>
              <w:rPr>
                <w:rFonts w:ascii="Verdana" w:cs="Verdana" w:eastAsia="Verdana" w:hAnsi="Verdana"/>
                <w:sz w:val="20"/>
                <w:szCs w:val="20"/>
              </w:rPr>
              <w:t xml:space="preserve">Step 3: Tax on transaction value = Rs. 12,00,000 x 18% = Rs. 2,16,000.</w:t>
            </w:r>
          </w:p>
          <w:p>
            <w:pPr>
              <w:spacing w:after="60" w:line="260"/>
            </w:pPr>
            <w:r>
              <w:rPr>
                <w:rFonts w:ascii="Verdana" w:cs="Verdana" w:eastAsia="Verdana" w:hAnsi="Verdana"/>
                <w:sz w:val="20"/>
                <w:szCs w:val="20"/>
              </w:rPr>
              <w:t xml:space="preserve">Step 4: Pay the higher, Rs. 2,16,000 (CGST Rs. 1,08,000 + SGST Rs. 1,08,000), on a tax invoice. If the price had been Rs. 8,00,000, tax on value would be Rs. 1,44,000 and Rs. 1,98,000 would be payable.</w:t>
            </w:r>
          </w:p>
        </w:tc>
      </w:tr>
    </w:tbl>
    <w:p>
      <w:pPr>
        <w:spacing w:after="60"/>
      </w:pPr>
    </w:p>
    <w:p>
      <w:pPr>
        <w:pStyle w:val="Heading2"/>
        <w:keepNext/>
        <w:spacing w:after="120" w:before="240"/>
      </w:pPr>
      <w:r>
        <w:rPr>
          <w:rFonts w:ascii="Verdana" w:cs="Verdana" w:eastAsia="Verdana" w:hAnsi="Verdana"/>
        </w:rPr>
        <w:t xml:space="preserve">34.3 Insolvency</w:t>
      </w:r>
    </w:p>
    <w:p>
      <w:pPr>
        <w:spacing w:after="120" w:line="276"/>
        <w:jc w:val="both"/>
      </w:pPr>
      <w:r>
        <w:rPr>
          <w:rFonts w:ascii="Verdana" w:cs="Verdana" w:eastAsia="Verdana" w:hAnsi="Verdana"/>
        </w:rPr>
        <w:t xml:space="preserve">When a corporate debtor enters the corporate insolvency resolution process, the IRP or RP takes over management. Notification 11/2020-Central Tax treats the IRP or RP as a distinct person from the corporate debtor, requiring a fresh registration within 30 days of appointment. Circular 134/04/2020-GST clarified that dues for the period before the insolvency commencement date are claims under the Insolvency and Bankruptcy Code, 2016 and cannot be recovered outside it; returns for the earlier period are still to be filed, and the new registration pays tax on supplies after the commencement 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Dues extinguished by a resolution plan</w:t>
            </w:r>
          </w:p>
          <w:p>
            <w:pPr>
              <w:spacing w:after="60" w:line="260"/>
            </w:pPr>
            <w:r>
              <w:rPr>
                <w:rFonts w:ascii="Verdana" w:cs="Verdana" w:eastAsia="Verdana" w:hAnsi="Verdana"/>
                <w:b/>
                <w:bCs/>
                <w:sz w:val="20"/>
                <w:szCs w:val="20"/>
              </w:rPr>
              <w:t xml:space="preserve">Ghanashyam Mishra and Sons (P) Ltd. v. Edelweiss Asset Reconstruction Co. Ltd. (Supreme Court, 2021):</w:t>
            </w:r>
            <w:r>
              <w:rPr>
                <w:rFonts w:ascii="Verdana" w:cs="Verdana" w:eastAsia="Verdana" w:hAnsi="Verdana"/>
                <w:sz w:val="20"/>
                <w:szCs w:val="20"/>
              </w:rPr>
              <w:t xml:space="preserve"> once a resolution plan is approved under section 31 of the Code, all claims not part of the plan, including dues of the Central Government, State Governments and local authorities, stand extinguished. No proceedings can be continued for the period before approval. GST officers therefore cannot raise or recover pre-resolution demands against the company after the plan is approved; the department must file its claim with the resolution professional in time.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175: GST dues in a resolution plan</w:t>
            </w:r>
          </w:p>
          <w:p>
            <w:pPr>
              <w:spacing w:after="60" w:line="260"/>
            </w:pPr>
            <w:r>
              <w:rPr>
                <w:rFonts w:ascii="Verdana" w:cs="Verdana" w:eastAsia="Verdana" w:hAnsi="Verdana"/>
                <w:sz w:val="20"/>
                <w:szCs w:val="20"/>
              </w:rPr>
              <w:t xml:space="preserve">Varun Steels Ltd. entered insolvency on 1 July 2025. GST dues for FY 2023-24 of Rs. 2,40,00,000 are admitted by the RP. The approved plan pays operational creditors 10%.</w:t>
            </w:r>
          </w:p>
          <w:p>
            <w:pPr>
              <w:spacing w:after="60" w:line="260"/>
            </w:pPr>
            <w:r>
              <w:rPr>
                <w:rFonts w:ascii="Verdana" w:cs="Verdana" w:eastAsia="Verdana" w:hAnsi="Verdana"/>
                <w:sz w:val="20"/>
                <w:szCs w:val="20"/>
              </w:rPr>
              <w:t xml:space="preserve">Step 1: The department receives 10% = Rs. 24,00,000.</w:t>
            </w:r>
          </w:p>
          <w:p>
            <w:pPr>
              <w:spacing w:after="60" w:line="260"/>
            </w:pPr>
            <w:r>
              <w:rPr>
                <w:rFonts w:ascii="Verdana" w:cs="Verdana" w:eastAsia="Verdana" w:hAnsi="Verdana"/>
                <w:sz w:val="20"/>
                <w:szCs w:val="20"/>
              </w:rPr>
              <w:t xml:space="preserve">Step 2: The balance Rs. 2,16,00,000 is extinguished on approval. A show cause notice issued later for FY 2023-24 would be invalid.</w:t>
            </w:r>
          </w:p>
          <w:p>
            <w:pPr>
              <w:spacing w:after="60" w:line="260"/>
            </w:pPr>
            <w:r>
              <w:rPr>
                <w:rFonts w:ascii="Verdana" w:cs="Verdana" w:eastAsia="Verdana" w:hAnsi="Verdana"/>
                <w:sz w:val="20"/>
                <w:szCs w:val="20"/>
              </w:rPr>
              <w:t xml:space="preserve">Step 3: From 1 July 2025 the RP's new registration pays tax on current supplies in the normal way.</w:t>
            </w:r>
          </w:p>
        </w:tc>
      </w:tr>
    </w:tbl>
    <w:p>
      <w:pPr>
        <w:spacing w:after="60"/>
      </w:pPr>
    </w:p>
    <w:p>
      <w:pPr>
        <w:pStyle w:val="Heading2"/>
        <w:keepNext/>
        <w:spacing w:after="120" w:before="240"/>
      </w:pPr>
      <w:r>
        <w:rPr>
          <w:rFonts w:ascii="Verdana" w:cs="Verdana" w:eastAsia="Verdana" w:hAnsi="Verdana"/>
        </w:rPr>
        <w:t xml:space="preserve">34.4 GST due diligence checklist</w:t>
      </w:r>
    </w:p>
    <w:p>
      <w:pPr>
        <w:spacing w:after="120" w:line="276"/>
        <w:jc w:val="both"/>
      </w:pPr>
      <w:r>
        <w:rPr>
          <w:rFonts w:ascii="Verdana" w:cs="Verdana" w:eastAsia="Verdana" w:hAnsi="Verdana"/>
        </w:rPr>
        <w:t xml:space="preserve">Before an acquisition, the buyer should review the target's GST position. The table lists the usual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cantSplit/>
          <w:tblHeader/>
        </w:trPr>
        <w:tc>
          <w:tcPr>
            <w:tcW w:type="dxa" w:w="261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Area</w:t>
            </w:r>
          </w:p>
        </w:tc>
        <w:tc>
          <w:tcPr>
            <w:tcW w:type="dxa" w:w="702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What to check</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Registrations</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 GSTINs under the PAN, status, additional places of business</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Returns</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GSTR-1, 3B and 9 filed; three-year bar on late filing</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Reconciliation</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GSTR-1 v. 3B, 3B v. 2B, books v. returns, e-invoice and e-way bill data</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risk</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Suppliers with cancelled GSTINs, rule 37 and 37A reversals, blocked credits</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Classification</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Rates after GST 2.0, pending advance rulings</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Litigation</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Notices under sections 73, 74 and 74A, appeals, pre-deposits paid</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Related party</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Cross charge, corporate guarantees, secondment</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Refunds</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Pending claims, LUT, export realisation</w:t>
            </w:r>
          </w:p>
        </w:tc>
      </w:tr>
    </w:tbl>
    <w:p>
      <w:pPr>
        <w:spacing w:after="60"/>
      </w:pPr>
    </w:p>
    <w:p>
      <w:pPr>
        <w:spacing w:after="120" w:line="276"/>
        <w:jc w:val="both"/>
      </w:pPr>
      <w:r>
        <w:rPr>
          <w:rFonts w:ascii="Verdana" w:cs="Verdana" w:eastAsia="Verdana" w:hAnsi="Verdana"/>
        </w:rPr>
        <w:t xml:space="preserve">Findings go into indemnities in the transfer agreement, with an escrow for large exposures.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Transfer of a going concern is exempt; an itemised sale is taxable asset by asset.</w:t>
            </w:r>
          </w:p>
          <w:p>
            <w:pPr>
              <w:spacing w:after="60" w:line="260"/>
            </w:pPr>
            <w:r>
              <w:rPr>
                <w:rFonts w:ascii="Verdana" w:cs="Verdana" w:eastAsia="Verdana" w:hAnsi="Verdana"/>
                <w:sz w:val="20"/>
                <w:szCs w:val="20"/>
              </w:rPr>
              <w:t xml:space="preserve">•  Unused ITC moves to the transferee under section 18(3) through ITC-02.</w:t>
            </w:r>
          </w:p>
          <w:p>
            <w:pPr>
              <w:spacing w:after="60" w:line="260"/>
            </w:pPr>
            <w:r>
              <w:rPr>
                <w:rFonts w:ascii="Verdana" w:cs="Verdana" w:eastAsia="Verdana" w:hAnsi="Verdana"/>
                <w:sz w:val="20"/>
                <w:szCs w:val="20"/>
              </w:rPr>
              <w:t xml:space="preserve">•  Sale of capital goods: pay the higher of reduced ITC and tax on transaction value (section 18(6)).</w:t>
            </w:r>
          </w:p>
          <w:p>
            <w:pPr>
              <w:spacing w:after="60" w:line="260"/>
            </w:pPr>
            <w:r>
              <w:rPr>
                <w:rFonts w:ascii="Verdana" w:cs="Verdana" w:eastAsia="Verdana" w:hAnsi="Verdana"/>
                <w:sz w:val="20"/>
                <w:szCs w:val="20"/>
              </w:rPr>
              <w:t xml:space="preserve">•  On cancellation, section 29(5) requires payment on stock and capital goods through GSTR-10.</w:t>
            </w:r>
          </w:p>
          <w:p>
            <w:pPr>
              <w:spacing w:after="60" w:line="260"/>
            </w:pPr>
            <w:r>
              <w:rPr>
                <w:rFonts w:ascii="Verdana" w:cs="Verdana" w:eastAsia="Verdana" w:hAnsi="Verdana"/>
                <w:sz w:val="20"/>
                <w:szCs w:val="20"/>
              </w:rPr>
              <w:t xml:space="preserve">•  The IRP or RP takes a new registration; pre-CIRP dues are claims under the Code and are extinguished by an approved plan (Ghanashyam Mishra).</w:t>
            </w:r>
          </w:p>
        </w:tc>
      </w:tr>
    </w:tbl>
    <w:p>
      <w:pPr>
        <w:pStyle w:val="TocPart"/>
        <w:pageBreakBefore/>
        <w:shd w:fill="92400E" w:color="auto" w:val="clear"/>
        <w:spacing w:after="0" w:before="0"/>
        <w:ind w:left="0"/>
      </w:pPr>
      <w:r>
        <w:rPr>
          <w:rFonts w:ascii="Verdana" w:cs="Verdana" w:eastAsia="Verdana" w:hAnsi="Verdana"/>
          <w:b/>
          <w:bCs/>
          <w:color w:val="FFFFFF"/>
          <w:sz w:val="26"/>
          <w:szCs w:val="26"/>
        </w:rPr>
        <w:t xml:space="preserve">  PART H: ASSESSMENT, INVESTIGATION AND DISPUTES</w:t>
      </w:r>
    </w:p>
    <w:p>
      <w:pPr>
        <w:shd w:fill="F6E8D2" w:color="auto" w:val="clear"/>
        <w:spacing w:after="200"/>
      </w:pPr>
      <w:r>
        <w:rPr>
          <w:rFonts w:ascii="Verdana" w:cs="Verdana" w:eastAsia="Verdana" w:hAnsi="Verdana"/>
          <w:i/>
          <w:iCs/>
          <w:color w:val="92400E"/>
          <w:sz w:val="20"/>
          <w:szCs w:val="20"/>
        </w:rPr>
        <w:t xml:space="preserve">  Assessment, demands, search, advance rulings, appeals, penalties and anti-profiteering</w:t>
      </w:r>
    </w:p>
    <w:p>
      <w:pPr>
        <w:spacing w:after="240" w:line="276"/>
        <w:jc w:val="both"/>
      </w:pPr>
      <w:r>
        <w:rPr>
          <w:rFonts w:ascii="Verdana" w:cs="Verdana" w:eastAsia="Verdana" w:hAnsi="Verdana"/>
          <w:i/>
          <w:iCs/>
          <w:color w:val="404040"/>
          <w:sz w:val="21"/>
          <w:szCs w:val="21"/>
        </w:rPr>
        <w:t xml:space="preserve">This Part follows a tax position from the return to the courtroom. It covers how the department checks returns, raises and recovers demands and conducts searches, and how the taxpayer responds through advance rulings, appeals and settlement. The focus is on time limits, forms and the practical choices a professional makes at each stage.</w:t>
      </w:r>
    </w:p>
    <w:p>
      <w:pPr>
        <w:pStyle w:val="Heading1"/>
        <w:spacing w:after="200" w:before="120"/>
      </w:pPr>
      <w:r>
        <w:rPr>
          <w:rFonts w:ascii="Verdana" w:cs="Verdana" w:eastAsia="Verdana" w:hAnsi="Verdana"/>
        </w:rPr>
        <w:t xml:space="preserve">35. Assessment, Scrutiny and Audit (Sections 59 to 66)</w:t>
      </w:r>
    </w:p>
    <w:p>
      <w:pPr>
        <w:spacing w:after="120" w:line="276"/>
        <w:jc w:val="both"/>
      </w:pPr>
      <w:r>
        <w:rPr>
          <w:rFonts w:ascii="Verdana" w:cs="Verdana" w:eastAsia="Verdana" w:hAnsi="Verdana"/>
        </w:rPr>
        <w:t xml:space="preserve">GST is a self-assessed tax. The registered person works out the tax, pays it and files returns without any officer first approving the figures. The department then checks those returns in several ways: a desk scrutiny, an audit at the premises, a special audit by an outside professional, or an assessment where no return has been filed at all. Section 2(11) of the CGST Act defines assessment as determination of tax liability and includes self-assessment, re-assessment, provisional assessment, summary assessment and best judgement assessment.</w:t>
      </w:r>
    </w:p>
    <w:p>
      <w:pPr>
        <w:spacing w:after="120" w:line="276"/>
        <w:jc w:val="both"/>
      </w:pPr>
      <w:r>
        <w:rPr>
          <w:rFonts w:ascii="Verdana" w:cs="Verdana" w:eastAsia="Verdana" w:hAnsi="Verdana"/>
        </w:rPr>
        <w:t xml:space="preserve">Knowing which type of assessment is in play tells the professional what the officer can do, which form will come next and how much time is available. The table below is the map for this chapter.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963"/>
        <w:gridCol w:w="3212"/>
        <w:gridCol w:w="2679"/>
      </w:tblGrid>
      <w:tr>
        <w:trPr>
          <w:cantSplit/>
          <w:tblHeader/>
        </w:trPr>
        <w:tc>
          <w:tcPr>
            <w:tcW w:type="dxa" w:w="2784"/>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Type</w:t>
            </w:r>
          </w:p>
        </w:tc>
        <w:tc>
          <w:tcPr>
            <w:tcW w:type="dxa" w:w="96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Section</w:t>
            </w:r>
          </w:p>
        </w:tc>
        <w:tc>
          <w:tcPr>
            <w:tcW w:type="dxa" w:w="321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Who starts it</w:t>
            </w:r>
          </w:p>
        </w:tc>
        <w:tc>
          <w:tcPr>
            <w:tcW w:type="dxa" w:w="267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Main forms</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Self-assessment</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59</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Taxpayer</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GSTR-1, GSTR-3B, GSTR-9</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Provisional assessment</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60</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Taxpayer applies</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ASMT-01 to ASMT-09</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Scrutiny of returns</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61</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Proper officer</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ASMT-10, ASMT-11, ASMT-12</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Best judgement (non-filer)</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62</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Proper officer</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GSTR-3A notice, ASMT-13 order</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Unregistered person</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63</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Proper officer</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ASMT-14 notice, ASMT-15 order</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Summary assessment</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64</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Proper officer with prior approval</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ASMT-16 to ASMT-18</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Departmental audit</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65</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Commissioner or authorised officer</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ADT-01, ADT-02</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Special audit</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66</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Assistant Commissioner or above, with Commissioner's approval</w:t>
            </w:r>
          </w:p>
        </w:tc>
        <w:tc>
          <w:tcPr>
            <w:tcW w:type="dxa" w:w="267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ADT-03, ADT-04</w:t>
            </w:r>
          </w:p>
        </w:tc>
      </w:tr>
    </w:tbl>
    <w:p>
      <w:pPr>
        <w:spacing w:after="60"/>
      </w:pPr>
    </w:p>
    <w:p>
      <w:pPr>
        <w:pStyle w:val="Heading2"/>
        <w:keepNext/>
        <w:spacing w:after="120" w:before="240"/>
      </w:pPr>
      <w:r>
        <w:rPr>
          <w:rFonts w:ascii="Verdana" w:cs="Verdana" w:eastAsia="Verdana" w:hAnsi="Verdana"/>
        </w:rPr>
        <w:t xml:space="preserve">35.1 Self-assessment (Section 59)</w:t>
      </w:r>
    </w:p>
    <w:p>
      <w:pPr>
        <w:spacing w:after="120" w:line="276"/>
        <w:jc w:val="both"/>
      </w:pPr>
      <w:r>
        <w:rPr>
          <w:rFonts w:ascii="Verdana" w:cs="Verdana" w:eastAsia="Verdana" w:hAnsi="Verdana"/>
        </w:rPr>
        <w:t xml:space="preserve">Section 59 says every registered person shall self-assess the taxes payable and furnish a return for each tax period. The return is the assessment. There is no separate order confirming it. This is why errors in GSTR-3B matter so much: once filed, the figures stand as the taxpayer's own assessment and the department only has to show where they are wrong.</w:t>
      </w:r>
    </w:p>
    <w:p>
      <w:pPr>
        <w:spacing w:after="120" w:line="276"/>
        <w:jc w:val="both"/>
      </w:pPr>
      <w:r>
        <w:rPr>
          <w:rFonts w:ascii="Verdana" w:cs="Verdana" w:eastAsia="Verdana" w:hAnsi="Verdana"/>
        </w:rPr>
        <w:t xml:space="preserve">Self-assessed tax that is declared but not paid can be recovered directly under section 79 without a show cause notice (section 75(12)). From 1 January 2022 (Explanation to section 75(12), inserted by the Finance Act, 2021) this also covers outward supplies declared in GSTR-1 but not carried into GSTR-3B; rule 88C and DRC-01B flag such gaps.</w:t>
      </w:r>
    </w:p>
    <w:p>
      <w:pPr>
        <w:pStyle w:val="Heading2"/>
        <w:keepNext/>
        <w:spacing w:after="120" w:before="240"/>
      </w:pPr>
      <w:r>
        <w:rPr>
          <w:rFonts w:ascii="Verdana" w:cs="Verdana" w:eastAsia="Verdana" w:hAnsi="Verdana"/>
        </w:rPr>
        <w:t xml:space="preserve">35.2 Provisional Assessment (Section 60)</w:t>
      </w:r>
    </w:p>
    <w:p>
      <w:pPr>
        <w:spacing w:after="120" w:line="276"/>
        <w:jc w:val="both"/>
      </w:pPr>
      <w:r>
        <w:rPr>
          <w:rFonts w:ascii="Verdana" w:cs="Verdana" w:eastAsia="Verdana" w:hAnsi="Verdana"/>
        </w:rPr>
        <w:t xml:space="preserve">Sometimes a taxpayer honestly cannot determine the value or the rate of tax, for example a new product that falls between two tariff entries. Section 60 lets the taxpayer ask the proper officer to allow payment of tax on a provisional basis, so that business continues without the risk of a later allegation of suppression.</w:t>
      </w:r>
    </w:p>
    <w:p>
      <w:pPr>
        <w:pStyle w:val="ListParagraph"/>
        <w:numPr>
          <w:ilvl w:val="0"/>
          <w:numId w:val="2"/>
        </w:numPr>
        <w:spacing w:after="60" w:line="264"/>
      </w:pPr>
      <w:r>
        <w:rPr>
          <w:rFonts w:ascii="Verdana" w:cs="Verdana" w:eastAsia="Verdana" w:hAnsi="Verdana"/>
          <w:b/>
          <w:bCs/>
        </w:rPr>
        <w:t xml:space="preserve">Request and order:</w:t>
      </w:r>
      <w:r>
        <w:rPr>
          <w:rFonts w:ascii="Verdana" w:cs="Verdana" w:eastAsia="Verdana" w:hAnsi="Verdana"/>
        </w:rPr>
        <w:t xml:space="preserve"> request in ASMT-01; the officer may seek information in ASMT-02 (reply in ASMT-03) and passes an order in ASMT-04 within 90 days (rule 98).</w:t>
      </w:r>
    </w:p>
    <w:p>
      <w:pPr>
        <w:pStyle w:val="ListParagraph"/>
        <w:numPr>
          <w:ilvl w:val="0"/>
          <w:numId w:val="2"/>
        </w:numPr>
        <w:spacing w:after="60" w:line="264"/>
      </w:pPr>
      <w:r>
        <w:rPr>
          <w:rFonts w:ascii="Verdana" w:cs="Verdana" w:eastAsia="Verdana" w:hAnsi="Verdana"/>
          <w:b/>
          <w:bCs/>
        </w:rPr>
        <w:t xml:space="preserve">Bond and security:</w:t>
      </w:r>
      <w:r>
        <w:rPr>
          <w:rFonts w:ascii="Verdana" w:cs="Verdana" w:eastAsia="Verdana" w:hAnsi="Verdana"/>
        </w:rPr>
        <w:t xml:space="preserve"> the taxpayer executes a bond in ASMT-05 with security, in the form of a bank guarantee, of not more than 25% of the amount covered by the bond. The bond covers the difference between the tax finally assessed and the tax provisionally paid.</w:t>
      </w:r>
    </w:p>
    <w:p>
      <w:pPr>
        <w:pStyle w:val="ListParagraph"/>
        <w:numPr>
          <w:ilvl w:val="0"/>
          <w:numId w:val="2"/>
        </w:numPr>
        <w:spacing w:after="60" w:line="264"/>
      </w:pPr>
      <w:r>
        <w:rPr>
          <w:rFonts w:ascii="Verdana" w:cs="Verdana" w:eastAsia="Verdana" w:hAnsi="Verdana"/>
          <w:b/>
          <w:bCs/>
        </w:rPr>
        <w:t xml:space="preserve">Final assessment:</w:t>
      </w:r>
      <w:r>
        <w:rPr>
          <w:rFonts w:ascii="Verdana" w:cs="Verdana" w:eastAsia="Verdana" w:hAnsi="Verdana"/>
        </w:rPr>
        <w:t xml:space="preserve"> within six months from communication of the provisional order. The Joint or Additional Commissioner can extend this by six months and the Commissioner by up to four years in all (section 60(3)).</w:t>
      </w:r>
    </w:p>
    <w:p>
      <w:pPr>
        <w:pStyle w:val="ListParagraph"/>
        <w:numPr>
          <w:ilvl w:val="0"/>
          <w:numId w:val="2"/>
        </w:numPr>
        <w:spacing w:after="60" w:line="264"/>
      </w:pPr>
      <w:r>
        <w:rPr>
          <w:rFonts w:ascii="Verdana" w:cs="Verdana" w:eastAsia="Verdana" w:hAnsi="Verdana"/>
          <w:b/>
          <w:bCs/>
        </w:rPr>
        <w:t xml:space="preserve">Interest:</w:t>
      </w:r>
      <w:r>
        <w:rPr>
          <w:rFonts w:ascii="Verdana" w:cs="Verdana" w:eastAsia="Verdana" w:hAnsi="Verdana"/>
        </w:rPr>
        <w:t xml:space="preserve"> tax payable on final assessment carries interest under section 60(4) from the first day after the original due date until actual payment, whether paid before or after the final order.</w:t>
      </w:r>
    </w:p>
    <w:p>
      <w:pPr>
        <w:pStyle w:val="ListParagraph"/>
        <w:numPr>
          <w:ilvl w:val="0"/>
          <w:numId w:val="2"/>
        </w:numPr>
        <w:spacing w:after="60" w:line="264"/>
      </w:pPr>
      <w:r>
        <w:rPr>
          <w:rFonts w:ascii="Verdana" w:cs="Verdana" w:eastAsia="Verdana" w:hAnsi="Verdana"/>
          <w:b/>
          <w:bCs/>
        </w:rPr>
        <w:t xml:space="preserve">Refund and release:</w:t>
      </w:r>
      <w:r>
        <w:rPr>
          <w:rFonts w:ascii="Verdana" w:cs="Verdana" w:eastAsia="Verdana" w:hAnsi="Verdana"/>
        </w:rPr>
        <w:t xml:space="preserve"> a lower final tax gives a refund with interest (section 60(5)); security is released on application in ASMT-08, order in ASMT-09.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176: Provisional assessment and interest on final assessment (FY 2024-25, before GST 2.0)</w:t>
            </w:r>
          </w:p>
          <w:p>
            <w:pPr>
              <w:spacing w:after="60" w:line="260"/>
            </w:pPr>
            <w:r>
              <w:rPr>
                <w:rFonts w:ascii="Verdana" w:cs="Verdana" w:eastAsia="Verdana" w:hAnsi="Verdana"/>
                <w:sz w:val="20"/>
                <w:szCs w:val="20"/>
              </w:rPr>
              <w:t xml:space="preserve">Mehta Agro Implements, Pune, launched a combined spraying and pumping unit in April 2024. It believed the unit attracted 12% as agricultural machinery. The department's view was 18%. Mehta applied for provisional assessment and was allowed to pay tax at 12% for April to September 2024, on a bond of Rs. 7,20,000 with a bank guarantee of Rs. 1,80,000 (25%).</w:t>
            </w:r>
          </w:p>
          <w:p>
            <w:pPr>
              <w:spacing w:after="60" w:line="260"/>
            </w:pPr>
            <w:r>
              <w:rPr>
                <w:rFonts w:ascii="Verdana" w:cs="Verdana" w:eastAsia="Verdana" w:hAnsi="Verdana"/>
                <w:sz w:val="20"/>
                <w:szCs w:val="20"/>
              </w:rPr>
              <w:t xml:space="preserve">Step 1: Monthly taxable value Rs. 20,00,000. Differential rate 6%. Differential tax per month Rs. 1,20,000; for six months Rs. 7,20,000.</w:t>
            </w:r>
          </w:p>
          <w:p>
            <w:pPr>
              <w:spacing w:after="60" w:line="260"/>
            </w:pPr>
            <w:r>
              <w:rPr>
                <w:rFonts w:ascii="Verdana" w:cs="Verdana" w:eastAsia="Verdana" w:hAnsi="Verdana"/>
                <w:sz w:val="20"/>
                <w:szCs w:val="20"/>
              </w:rPr>
              <w:t xml:space="preserve">Step 2: The final assessment order in March 2025 held the rate to be 18%. Mehta paid the full Rs. 7,20,000 on 31 March 2025.</w:t>
            </w:r>
          </w:p>
          <w:p>
            <w:pPr>
              <w:spacing w:after="60" w:line="260"/>
            </w:pPr>
            <w:r>
              <w:rPr>
                <w:rFonts w:ascii="Verdana" w:cs="Verdana" w:eastAsia="Verdana" w:hAnsi="Verdana"/>
                <w:sz w:val="20"/>
                <w:szCs w:val="20"/>
              </w:rPr>
              <w:t xml:space="preserve">Step 3: Interest at 18% runs from the day after each month's GSTR-3B due date to 31 March 2025, as computed below.</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5"/>
        <w:gridCol w:w="2141"/>
        <w:gridCol w:w="2570"/>
        <w:gridCol w:w="2572"/>
      </w:tblGrid>
      <w:tr>
        <w:trPr>
          <w:cantSplit/>
          <w:tblHeader/>
        </w:trPr>
        <w:tc>
          <w:tcPr>
            <w:tcW w:type="dxa" w:w="235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Month</w:t>
            </w:r>
          </w:p>
        </w:tc>
        <w:tc>
          <w:tcPr>
            <w:tcW w:type="dxa" w:w="214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Due date</w:t>
            </w:r>
          </w:p>
        </w:tc>
        <w:tc>
          <w:tcPr>
            <w:tcW w:type="dxa" w:w="257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Days to 31.03.2025</w:t>
            </w:r>
          </w:p>
        </w:tc>
        <w:tc>
          <w:tcPr>
            <w:tcW w:type="dxa" w:w="257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Interest (Rs.)</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April 2024</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20.05.2024</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315</w:t>
            </w:r>
          </w:p>
        </w:tc>
        <w:tc>
          <w:tcPr>
            <w:tcW w:type="dxa" w:w="25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18,641</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May 2024</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20.06.2024</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284</w:t>
            </w:r>
          </w:p>
        </w:tc>
        <w:tc>
          <w:tcPr>
            <w:tcW w:type="dxa" w:w="25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16,807</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June 2024</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20.07.2024</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254</w:t>
            </w:r>
          </w:p>
        </w:tc>
        <w:tc>
          <w:tcPr>
            <w:tcW w:type="dxa" w:w="25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15,031</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July 2024</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20.08.2024</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223</w:t>
            </w:r>
          </w:p>
        </w:tc>
        <w:tc>
          <w:tcPr>
            <w:tcW w:type="dxa" w:w="25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13,197</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August 2024</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20.09.2024</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192</w:t>
            </w:r>
          </w:p>
        </w:tc>
        <w:tc>
          <w:tcPr>
            <w:tcW w:type="dxa" w:w="25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11,362</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September 2024</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20.10.2024</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162</w:t>
            </w:r>
          </w:p>
        </w:tc>
        <w:tc>
          <w:tcPr>
            <w:tcW w:type="dxa" w:w="25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9,587</w:t>
            </w:r>
          </w:p>
        </w:tc>
      </w:tr>
      <w:tr>
        <w:trPr>
          <w:cantSplit/>
        </w:trPr>
        <w:tc>
          <w:tcPr>
            <w:tcW w:type="dxa" w:w="2355"/>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w:t>
            </w:r>
          </w:p>
        </w:tc>
        <w:tc>
          <w:tcPr>
            <w:tcW w:type="dxa" w:w="2141"/>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p>
        </w:tc>
        <w:tc>
          <w:tcPr>
            <w:tcW w:type="dxa" w:w="257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p>
        </w:tc>
        <w:tc>
          <w:tcPr>
            <w:tcW w:type="dxa" w:w="2572"/>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84,625</w:t>
            </w:r>
          </w:p>
        </w:tc>
      </w:tr>
    </w:tbl>
    <w:p>
      <w:pPr>
        <w:spacing w:after="60"/>
      </w:pPr>
    </w:p>
    <w:p>
      <w:pPr>
        <w:spacing w:after="120" w:line="276"/>
        <w:jc w:val="both"/>
      </w:pPr>
      <w:r>
        <w:rPr>
          <w:rFonts w:ascii="Verdana" w:cs="Verdana" w:eastAsia="Verdana" w:hAnsi="Verdana"/>
        </w:rPr>
        <w:t xml:space="preserve">Each line is Rs. 1,20,000 x 18% x days / 365, rounded to the rupee. Provisional assessment did not save the interest; it saved Mehta from a later allegation of suppression, and hence from the higher penalty and the extended period.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Provisional assessment is under-used. An advance ruling (Chapter 4 of this Part) settles a question for the future; provisional assessment protects the present while it is decided. The two can be used together.</w:t>
            </w:r>
          </w:p>
        </w:tc>
      </w:tr>
    </w:tbl>
    <w:p>
      <w:pPr>
        <w:spacing w:after="60"/>
      </w:pPr>
    </w:p>
    <w:p>
      <w:pPr>
        <w:pStyle w:val="Heading2"/>
        <w:keepNext/>
        <w:spacing w:after="120" w:before="240"/>
      </w:pPr>
      <w:r>
        <w:rPr>
          <w:rFonts w:ascii="Verdana" w:cs="Verdana" w:eastAsia="Verdana" w:hAnsi="Verdana"/>
        </w:rPr>
        <w:t xml:space="preserve">35.3 Scrutiny of Returns (Section 61)</w:t>
      </w:r>
    </w:p>
    <w:p>
      <w:pPr>
        <w:spacing w:after="120" w:line="276"/>
        <w:jc w:val="both"/>
      </w:pPr>
      <w:r>
        <w:rPr>
          <w:rFonts w:ascii="Verdana" w:cs="Verdana" w:eastAsia="Verdana" w:hAnsi="Verdana"/>
        </w:rPr>
        <w:t xml:space="preserve">Scrutiny is a desk check. The proper officer compares the returns with each other and with data available to the department, such as GSTR-2B, e-way bills, e-invoices, customs data and income-tax data. Section 61 and rule 99 lay down the steps. The officer issues ASMT-10 listing the discrepancies and asking for an explanation. The taxpayer replies in ASMT-11 within 30 days or any longer time the officer allows, and may pay any tax found short through DRC-03. If the explanation is accepted, the officer issues ASMT-12 and the matter closes. If not, the officer may take up audit, special audit, inspection or demand proceedings under sections 73, 74 or 74A.</w:t>
      </w:r>
    </w:p>
    <w:p>
      <w:pPr>
        <w:spacing w:after="120" w:line="276"/>
        <w:jc w:val="both"/>
      </w:pPr>
      <w:r>
        <w:rPr>
          <w:rFonts w:ascii="Verdana" w:cs="Verdana" w:eastAsia="Verdana" w:hAnsi="Verdana"/>
        </w:rPr>
        <w:t xml:space="preserve">CBIC has issued standard operating procedures for scrutiny with system-generated risk parameters. ASMT-10 must state the discrepancy with figures; if it only says "mismatch noticed", ask for the working in the reply. ASMT-10 is not a demand. The common discrepancies and their usual explanations are set out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4069"/>
        <w:gridCol w:w="2785"/>
      </w:tblGrid>
      <w:tr>
        <w:trPr>
          <w:cantSplit/>
          <w:tblHeader/>
        </w:trPr>
        <w:tc>
          <w:tcPr>
            <w:tcW w:type="dxa" w:w="2784"/>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Discrepancy</w:t>
            </w:r>
          </w:p>
        </w:tc>
        <w:tc>
          <w:tcPr>
            <w:tcW w:type="dxa" w:w="406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Common genuine reasons</w:t>
            </w:r>
          </w:p>
        </w:tc>
        <w:tc>
          <w:tcPr>
            <w:tcW w:type="dxa" w:w="278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What to attach</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in GSTR-1 more than GSTR-3B</w:t>
            </w:r>
          </w:p>
        </w:tc>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Invoices reported in one month and paid in the next; duplicate entry in GSTR-1 amended later; credit note timing</w:t>
            </w:r>
          </w:p>
        </w:tc>
        <w:tc>
          <w:tcPr>
            <w:tcW w:type="dxa" w:w="27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Month-wise reconciliation, GSTR-1 amendments, challans</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in GSTR-3B more than GSTR-2B</w:t>
            </w:r>
          </w:p>
        </w:tc>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IGST on imports; ISD credit; RCM credit; supplier filed GSTR-1 late (next month 2B)</w:t>
            </w:r>
          </w:p>
        </w:tc>
        <w:tc>
          <w:tcPr>
            <w:tcW w:type="dxa" w:w="27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Bills of entry, RCM challans, supplier-wise 2B of later months</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E-way bill value more than GSTR-1</w:t>
            </w:r>
          </w:p>
        </w:tc>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Stock transfers within a State, job work movement, cancelled bills not cancelled on portal</w:t>
            </w:r>
          </w:p>
        </w:tc>
        <w:tc>
          <w:tcPr>
            <w:tcW w:type="dxa" w:w="27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E-way bill register with reasons, delivery challans</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Turnover lower than income-tax data</w:t>
            </w:r>
          </w:p>
        </w:tc>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Non-GST income (interest, dividend), capital receipts</w:t>
            </w:r>
          </w:p>
        </w:tc>
        <w:tc>
          <w:tcPr>
            <w:tcW w:type="dxa" w:w="27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Books to GST turnover reconciliation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177: Replying to ASMT-10 for FY 2023-24</w:t>
            </w:r>
          </w:p>
          <w:p>
            <w:pPr>
              <w:spacing w:after="60" w:line="260"/>
            </w:pPr>
            <w:r>
              <w:rPr>
                <w:rFonts w:ascii="Verdana" w:cs="Verdana" w:eastAsia="Verdana" w:hAnsi="Verdana"/>
                <w:sz w:val="20"/>
                <w:szCs w:val="20"/>
              </w:rPr>
              <w:t xml:space="preserve">Kaveri Engineering Works (machinery parts, 18%) received ASMT-10 showing two gaps for FY 2023-24: (a) outward taxable value in GSTR-1 exceeds GSTR-3B by Rs. 6,60,000, tax Rs. 1,18,800 (CGST Rs. 59,400 and SGST Rs. 59,400); (b) ITC in GSTR-3B exceeds GSTR-2B by Rs. 1,50,000.</w:t>
            </w:r>
          </w:p>
          <w:p>
            <w:pPr>
              <w:spacing w:after="60" w:line="260"/>
            </w:pPr>
            <w:r>
              <w:rPr>
                <w:rFonts w:ascii="Verdana" w:cs="Verdana" w:eastAsia="Verdana" w:hAnsi="Verdana"/>
                <w:sz w:val="20"/>
                <w:szCs w:val="20"/>
              </w:rPr>
              <w:t xml:space="preserve">Step 1: Break up gap (a). Rs. 4,20,000 relates to invoices of 30 and 31 March 2024 reported in GSTR-1 for March 2024 but offered in GSTR-3B for April 2024. Tax Rs. 75,600. Rs. 2,40,000 is a credit note of March 2024 that reduced GSTR-3B in March but was reported in GSTR-1 of April 2024. Tax Rs. 43,200. Rs. 75,600 + Rs. 43,200 = Rs. 1,18,800.</w:t>
            </w:r>
          </w:p>
          <w:p>
            <w:pPr>
              <w:spacing w:after="60" w:line="260"/>
            </w:pPr>
            <w:r>
              <w:rPr>
                <w:rFonts w:ascii="Verdana" w:cs="Verdana" w:eastAsia="Verdana" w:hAnsi="Verdana"/>
                <w:sz w:val="20"/>
                <w:szCs w:val="20"/>
              </w:rPr>
              <w:t xml:space="preserve">Step 2: For the March invoices, tax was paid 30 days late (due 20 April 2024, paid 20 May 2024). Interest = Rs. 75,600 x 18% x 30 / 365 = Rs. 1,118. Pay through DRC-03 and attach the challan.</w:t>
            </w:r>
          </w:p>
          <w:p>
            <w:pPr>
              <w:spacing w:after="60" w:line="260"/>
            </w:pPr>
            <w:r>
              <w:rPr>
                <w:rFonts w:ascii="Verdana" w:cs="Verdana" w:eastAsia="Verdana" w:hAnsi="Verdana"/>
                <w:sz w:val="20"/>
                <w:szCs w:val="20"/>
              </w:rPr>
              <w:t xml:space="preserve">Step 3: For the credit note, no tax is short. Show that April's GSTR-3B did not reduce tax a second time.</w:t>
            </w:r>
          </w:p>
          <w:p>
            <w:pPr>
              <w:spacing w:after="60" w:line="260"/>
            </w:pPr>
            <w:r>
              <w:rPr>
                <w:rFonts w:ascii="Verdana" w:cs="Verdana" w:eastAsia="Verdana" w:hAnsi="Verdana"/>
                <w:sz w:val="20"/>
                <w:szCs w:val="20"/>
              </w:rPr>
              <w:t xml:space="preserve">Step 4: Gap (b): Rs. 90,000 is IGST on imports (bills of entry attached). Rs. 60,000 relates to March 2024 invoices that suppliers reported in April 2024, so credit was taken a month early. The credit ledger balance never fell below Rs. 60,000, so the credit was not utilised and no interest arises under section 50(3) and rule 88B.</w:t>
            </w:r>
          </w:p>
          <w:p>
            <w:pPr>
              <w:spacing w:after="60" w:line="260"/>
            </w:pPr>
            <w:r>
              <w:rPr>
                <w:rFonts w:ascii="Verdana" w:cs="Verdana" w:eastAsia="Verdana" w:hAnsi="Verdana"/>
                <w:sz w:val="20"/>
                <w:szCs w:val="20"/>
              </w:rPr>
              <w:t xml:space="preserve">Result: the reply accepts interest of Rs. 1,118, explains both gaps in full, and asks for ASMT-12.</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Reply to every ASMT-10 in writing and within time, even if the reply is "no discrepancy". A silent taxpayer gets a show cause notice.</w:t>
            </w:r>
          </w:p>
          <w:p>
            <w:pPr>
              <w:spacing w:after="60" w:line="260"/>
            </w:pPr>
            <w:r>
              <w:rPr>
                <w:rFonts w:ascii="Verdana" w:cs="Verdana" w:eastAsia="Verdana" w:hAnsi="Verdana"/>
                <w:sz w:val="20"/>
                <w:szCs w:val="20"/>
              </w:rPr>
              <w:t xml:space="preserve">Give the reconciliation table first, then documents. Pay only what is truly short, through DRC-03 quoting the ASMT-10 reference.</w:t>
            </w:r>
          </w:p>
          <w:p>
            <w:pPr>
              <w:spacing w:after="60" w:line="260"/>
            </w:pPr>
            <w:r>
              <w:rPr>
                <w:rFonts w:ascii="Verdana" w:cs="Verdana" w:eastAsia="Verdana" w:hAnsi="Verdana"/>
                <w:sz w:val="20"/>
                <w:szCs w:val="20"/>
              </w:rPr>
              <w:t xml:space="preserve">If ASMT-12 is not issued after a satisfactory reply, write again asking for closure.</w:t>
            </w:r>
          </w:p>
        </w:tc>
      </w:tr>
    </w:tbl>
    <w:p>
      <w:pPr>
        <w:spacing w:after="60"/>
      </w:pPr>
    </w:p>
    <w:p>
      <w:pPr>
        <w:pStyle w:val="Heading2"/>
        <w:keepNext/>
        <w:spacing w:after="120" w:before="240"/>
      </w:pPr>
      <w:r>
        <w:rPr>
          <w:rFonts w:ascii="Verdana" w:cs="Verdana" w:eastAsia="Verdana" w:hAnsi="Verdana"/>
        </w:rPr>
        <w:t xml:space="preserve">35.4 Best Judgement Assessment of Non-filers (Section 62)</w:t>
      </w:r>
    </w:p>
    <w:p>
      <w:pPr>
        <w:spacing w:after="120" w:line="276"/>
        <w:jc w:val="both"/>
      </w:pPr>
      <w:r>
        <w:rPr>
          <w:rFonts w:ascii="Verdana" w:cs="Verdana" w:eastAsia="Verdana" w:hAnsi="Verdana"/>
        </w:rPr>
        <w:t xml:space="preserve">If a registered person does not file GSTR-3B or the final return even after a notice under section 46 (GSTR-3A), the proper officer can assess the tax to the best of his judgement using available material. The order is in ASMT-13 and must be passed within five years from the due date of the annual return for the year concerned.</w:t>
      </w:r>
    </w:p>
    <w:p>
      <w:pPr>
        <w:spacing w:after="120" w:line="276"/>
        <w:jc w:val="both"/>
      </w:pPr>
      <w:r>
        <w:rPr>
          <w:rFonts w:ascii="Verdana" w:cs="Verdana" w:eastAsia="Verdana" w:hAnsi="Verdana"/>
        </w:rPr>
        <w:t xml:space="preserve">The order is meant to push the taxpayer to file, not to replace the return. Under section 62(2), as amended from 1 October 2023, if the taxpayer files a valid return within 60 days of service of the order, the order is deemed withdrawn. If the return is filed in a further 60 days, the order is still withdrawn, but an additional late fee of Rs. 100 per day beyond the first 60 days applies. Interest under section 50 and late fee under section 47 remain payable in all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178: Withdrawal of a best judgement order</w:t>
            </w:r>
          </w:p>
          <w:p>
            <w:pPr>
              <w:spacing w:after="60" w:line="260"/>
            </w:pPr>
            <w:r>
              <w:rPr>
                <w:rFonts w:ascii="Verdana" w:cs="Verdana" w:eastAsia="Verdana" w:hAnsi="Verdana"/>
                <w:sz w:val="20"/>
                <w:szCs w:val="20"/>
              </w:rPr>
              <w:t xml:space="preserve">Rohan Traders did not file GSTR-3B for January to March 2025. After GSTR-3A notices, the officer served an ASMT-13 order on 10 July 2025 assessing tax of Rs. 4,50,000. The actual tax, as per books, was Rs. 2,10,000.</w:t>
            </w:r>
          </w:p>
          <w:p>
            <w:pPr>
              <w:spacing w:after="60" w:line="260"/>
            </w:pPr>
            <w:r>
              <w:rPr>
                <w:rFonts w:ascii="Verdana" w:cs="Verdana" w:eastAsia="Verdana" w:hAnsi="Verdana"/>
                <w:sz w:val="20"/>
                <w:szCs w:val="20"/>
              </w:rPr>
              <w:t xml:space="preserve">Case A: Returns filed on 5 September 2025. Days from service: 57. This is within 60 days. The ASMT-13 order is deemed withdrawn. Rohan pays Rs. 2,10,000 with interest and normal late fee.</w:t>
            </w:r>
          </w:p>
          <w:p>
            <w:pPr>
              <w:spacing w:after="60" w:line="260"/>
            </w:pPr>
            <w:r>
              <w:rPr>
                <w:rFonts w:ascii="Verdana" w:cs="Verdana" w:eastAsia="Verdana" w:hAnsi="Verdana"/>
                <w:sz w:val="20"/>
                <w:szCs w:val="20"/>
              </w:rPr>
              <w:t xml:space="preserve">Case B: Returns filed on 20 October 2025. Days from service: 102, which is 42 days beyond 60 but within the further 60 days. The order is withdrawn, but an additional late fee of 42 x Rs. 100 = Rs. 4,200 is payable along with interest and normal late fee.</w:t>
            </w:r>
          </w:p>
          <w:p>
            <w:pPr>
              <w:spacing w:after="60" w:line="260"/>
            </w:pPr>
            <w:r>
              <w:rPr>
                <w:rFonts w:ascii="Verdana" w:cs="Verdana" w:eastAsia="Verdana" w:hAnsi="Verdana"/>
                <w:sz w:val="20"/>
                <w:szCs w:val="20"/>
              </w:rPr>
              <w:t xml:space="preserve">Case C: Returns not filed by 120 days (7 November 2025). The order for Rs. 4,50,000 stands and can be recovered. The remedy is appeal under section 107, or filing the return and seeking relief under general law, which is uncertain.</w:t>
            </w:r>
          </w:p>
        </w:tc>
      </w:tr>
    </w:tbl>
    <w:p>
      <w:pPr>
        <w:spacing w:after="60"/>
      </w:pPr>
    </w:p>
    <w:p>
      <w:pPr>
        <w:pStyle w:val="Heading2"/>
        <w:keepNext/>
        <w:spacing w:after="120" w:before="240"/>
      </w:pPr>
      <w:r>
        <w:rPr>
          <w:rFonts w:ascii="Verdana" w:cs="Verdana" w:eastAsia="Verdana" w:hAnsi="Verdana"/>
        </w:rPr>
        <w:t xml:space="preserve">35.5 Assessment of Unregistered Persons (Section 63)</w:t>
      </w:r>
    </w:p>
    <w:p>
      <w:pPr>
        <w:spacing w:after="120" w:line="276"/>
        <w:jc w:val="both"/>
      </w:pPr>
      <w:r>
        <w:rPr>
          <w:rFonts w:ascii="Verdana" w:cs="Verdana" w:eastAsia="Verdana" w:hAnsi="Verdana"/>
        </w:rPr>
        <w:t xml:space="preserve">Where a person liable to register has not registered, or whose registration was cancelled under section 29(2) but who remained liable to pay tax, the proper officer can assess tax to the best of his judgement for the relevant periods. The notice is in ASMT-14 and the order in ASMT-15. The order must be passed within five years from the due date of the annual return for the year concerned, and only after giving an opportunity of hearing. The Finance (No. 2) Act, 2024 aligned the cross-references with section 74A; check the current text for FY 2024-25 onwards.</w:t>
      </w:r>
    </w:p>
    <w:p>
      <w:pPr>
        <w:spacing w:after="120" w:line="276"/>
        <w:jc w:val="both"/>
      </w:pPr>
      <w:r>
        <w:rPr>
          <w:rFonts w:ascii="Verdana" w:cs="Verdana" w:eastAsia="Verdana" w:hAnsi="Verdana"/>
        </w:rPr>
        <w:t xml:space="preserve">Section 63 is used against persons traced through inspections or third-party data. The defence usually turns on whether aggregate turnover actually crossed the threshold and whether the supplies were exempt.</w:t>
      </w:r>
    </w:p>
    <w:p>
      <w:pPr>
        <w:pStyle w:val="Heading2"/>
        <w:keepNext/>
        <w:spacing w:after="120" w:before="240"/>
      </w:pPr>
      <w:r>
        <w:rPr>
          <w:rFonts w:ascii="Verdana" w:cs="Verdana" w:eastAsia="Verdana" w:hAnsi="Verdana"/>
        </w:rPr>
        <w:t xml:space="preserve">35.6 Summary Assessment (Section 64)</w:t>
      </w:r>
    </w:p>
    <w:p>
      <w:pPr>
        <w:spacing w:after="120" w:line="276"/>
        <w:jc w:val="both"/>
      </w:pPr>
      <w:r>
        <w:rPr>
          <w:rFonts w:ascii="Verdana" w:cs="Verdana" w:eastAsia="Verdana" w:hAnsi="Verdana"/>
        </w:rPr>
        <w:t xml:space="preserve">Summary assessment is an emergency tool. Where the proper officer has evidence of a tax liability and believes that delay will harm the revenue, he may, with the prior permission of the Additional or Joint Commissioner, assess the tax and issue an order in ASMT-16 without the usual notice. Where the taxable person cannot be identified and the liability relates to goods, the person in charge of the goods is treated as the taxable person.</w:t>
      </w:r>
    </w:p>
    <w:p>
      <w:pPr>
        <w:spacing w:after="120" w:line="276"/>
        <w:jc w:val="both"/>
      </w:pPr>
      <w:r>
        <w:rPr>
          <w:rFonts w:ascii="Verdana" w:cs="Verdana" w:eastAsia="Verdana" w:hAnsi="Verdana"/>
        </w:rPr>
        <w:t xml:space="preserve">The taxpayer may apply for withdrawal within 30 days of receiving the order, in ASMT-17, to the Additional or Joint Commissioner. That officer may withdraw the order and direct proceedings under section 73, 74 or 74A, which gives the taxpayer a full hearing. The decision is in ASMT-18. The officer can also withdraw on his own if he finds the order erroneous.</w:t>
      </w:r>
    </w:p>
    <w:p>
      <w:pPr>
        <w:pStyle w:val="Heading2"/>
        <w:keepNext/>
        <w:spacing w:after="120" w:before="240"/>
      </w:pPr>
      <w:r>
        <w:rPr>
          <w:rFonts w:ascii="Verdana" w:cs="Verdana" w:eastAsia="Verdana" w:hAnsi="Verdana"/>
        </w:rPr>
        <w:t xml:space="preserve">35.7 Departmental Audit (Section 65)</w:t>
      </w:r>
    </w:p>
    <w:p>
      <w:pPr>
        <w:spacing w:after="120" w:line="276"/>
        <w:jc w:val="both"/>
      </w:pPr>
      <w:r>
        <w:rPr>
          <w:rFonts w:ascii="Verdana" w:cs="Verdana" w:eastAsia="Verdana" w:hAnsi="Verdana"/>
        </w:rPr>
        <w:t xml:space="preserve">An audit under section 65 is a detailed examination of records and returns for a financial year, part of it or several years, at the taxpayer's premises or in the officer's office. Units are selected on risk parameters such as refunds, ITC ratios and exempt turnover.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4926"/>
        <w:gridCol w:w="2571"/>
      </w:tblGrid>
      <w:tr>
        <w:trPr>
          <w:cantSplit/>
          <w:tblHeader/>
        </w:trPr>
        <w:tc>
          <w:tcPr>
            <w:tcW w:type="dxa" w:w="214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Stage</w:t>
            </w:r>
          </w:p>
        </w:tc>
        <w:tc>
          <w:tcPr>
            <w:tcW w:type="dxa" w:w="492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Requirement</w:t>
            </w:r>
          </w:p>
        </w:tc>
        <w:tc>
          <w:tcPr>
            <w:tcW w:type="dxa" w:w="257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Reference</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Notice</w:t>
            </w:r>
          </w:p>
        </w:tc>
        <w:tc>
          <w:tcPr>
            <w:tcW w:type="dxa" w:w="4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ADT-01 at least 15 working days before the audit</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65(3), rule 101(2)</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Period covered</w:t>
            </w:r>
          </w:p>
        </w:tc>
        <w:tc>
          <w:tcPr>
            <w:tcW w:type="dxa" w:w="4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 financial year, part of it, or multiples</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Rule 101(1)</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Completion</w:t>
            </w:r>
          </w:p>
        </w:tc>
        <w:tc>
          <w:tcPr>
            <w:tcW w:type="dxa" w:w="4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Within 3 months from commencement; Commissioner may extend by up to 6 months with reasons</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65(4)</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Commencement</w:t>
            </w:r>
          </w:p>
        </w:tc>
        <w:tc>
          <w:tcPr>
            <w:tcW w:type="dxa" w:w="4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Earlier of the date records are made available or the actual start at the premises</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Explanation to section 65(4)</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Findings</w:t>
            </w:r>
          </w:p>
        </w:tc>
        <w:tc>
          <w:tcPr>
            <w:tcW w:type="dxa" w:w="4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ADT-02 within 30 days of conclusion, with reasons and rights</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65(6), rule 101(5)</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Follow-up</w:t>
            </w:r>
          </w:p>
        </w:tc>
        <w:tc>
          <w:tcPr>
            <w:tcW w:type="dxa" w:w="4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Demand under section 73, 74 or 74A for unpaid amounts</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65(7)</w:t>
            </w:r>
          </w:p>
        </w:tc>
      </w:tr>
    </w:tbl>
    <w:p>
      <w:pPr>
        <w:spacing w:after="60"/>
      </w:pPr>
    </w:p>
    <w:p>
      <w:pPr>
        <w:spacing w:after="120" w:line="276"/>
        <w:jc w:val="both"/>
      </w:pPr>
      <w:r>
        <w:rPr>
          <w:rFonts w:ascii="Verdana" w:cs="Verdana" w:eastAsia="Verdana" w:hAnsi="Verdana"/>
        </w:rPr>
        <w:t xml:space="preserve">Audit officers look for paras that recur across units. The table shows the common ones and a sound line of response.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7"/>
        <w:gridCol w:w="5141"/>
      </w:tblGrid>
      <w:tr>
        <w:trPr>
          <w:cantSplit/>
          <w:tblHeader/>
        </w:trPr>
        <w:tc>
          <w:tcPr>
            <w:tcW w:type="dxa" w:w="449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Typical audit para</w:t>
            </w:r>
          </w:p>
        </w:tc>
        <w:tc>
          <w:tcPr>
            <w:tcW w:type="dxa" w:w="514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Line of response</w:t>
            </w:r>
          </w:p>
        </w:tc>
      </w:tr>
      <w:tr>
        <w:trPr>
          <w:cantSplit/>
        </w:trPr>
        <w:tc>
          <w:tcPr>
            <w:tcW w:type="dxa" w:w="449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on items blocked under section 17(5) (motor vehicles, food, club membership, group insurance)</w:t>
            </w:r>
          </w:p>
        </w:tc>
        <w:tc>
          <w:tcPr>
            <w:tcW w:type="dxa" w:w="5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Check the exceptions: vehicles used for transport of goods, insurance obligatory under law, same line of business. Accept and pay where no exception applies.</w:t>
            </w:r>
          </w:p>
        </w:tc>
      </w:tr>
      <w:tr>
        <w:trPr>
          <w:cantSplit/>
        </w:trPr>
        <w:tc>
          <w:tcPr>
            <w:tcW w:type="dxa" w:w="449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Short reversal under rules 42 and 43</w:t>
            </w:r>
          </w:p>
        </w:tc>
        <w:tc>
          <w:tcPr>
            <w:tcW w:type="dxa" w:w="5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Recompute with the correct exempt turnover; interest on deposits and loans is excluded for non-banking businesses.</w:t>
            </w:r>
          </w:p>
        </w:tc>
      </w:tr>
      <w:tr>
        <w:trPr>
          <w:cantSplit/>
        </w:trPr>
        <w:tc>
          <w:tcPr>
            <w:tcW w:type="dxa" w:w="449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RCM not paid on legal fees, GTA, director fees, import of services</w:t>
            </w:r>
          </w:p>
        </w:tc>
        <w:tc>
          <w:tcPr>
            <w:tcW w:type="dxa" w:w="5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Check whether GTA charged tax under forward charge. Pay with interest and take credit in the same period.</w:t>
            </w:r>
          </w:p>
        </w:tc>
      </w:tr>
      <w:tr>
        <w:trPr>
          <w:cantSplit/>
        </w:trPr>
        <w:tc>
          <w:tcPr>
            <w:tcW w:type="dxa" w:w="449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Cross charge not raised by head office to branches</w:t>
            </w:r>
          </w:p>
        </w:tc>
        <w:tc>
          <w:tcPr>
            <w:tcW w:type="dxa" w:w="5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Where each branch is eligible for full credit, the value declared (including nil) is accepted under the second proviso to rule 28(1); after 1 April 2025 common input services go through ISD.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179: Handling audit paras for FY 2023-24</w:t>
            </w:r>
          </w:p>
          <w:p>
            <w:pPr>
              <w:spacing w:after="60" w:line="260"/>
            </w:pPr>
            <w:r>
              <w:rPr>
                <w:rFonts w:ascii="Verdana" w:cs="Verdana" w:eastAsia="Verdana" w:hAnsi="Verdana"/>
                <w:sz w:val="20"/>
                <w:szCs w:val="20"/>
              </w:rPr>
              <w:t xml:space="preserve">Audit of Sharma Textiles Pvt. Ltd. raised three paras.</w:t>
            </w:r>
          </w:p>
          <w:p>
            <w:pPr>
              <w:spacing w:after="60" w:line="260"/>
            </w:pPr>
            <w:r>
              <w:rPr>
                <w:rFonts w:ascii="Verdana" w:cs="Verdana" w:eastAsia="Verdana" w:hAnsi="Verdana"/>
                <w:sz w:val="20"/>
                <w:szCs w:val="20"/>
              </w:rPr>
              <w:t xml:space="preserve">Para 1: ITC of Rs. 2,70,000 on a group health insurance policy for staff. No law made the insurance obligatory for this employer. Section 17(5)(b) blocks the credit. The company accepted the para and paid Rs. 2,70,000 with interest through DRC-03 before the notice, so no penalty under section 73.</w:t>
            </w:r>
          </w:p>
          <w:p>
            <w:pPr>
              <w:spacing w:after="60" w:line="260"/>
            </w:pPr>
            <w:r>
              <w:rPr>
                <w:rFonts w:ascii="Verdana" w:cs="Verdana" w:eastAsia="Verdana" w:hAnsi="Verdana"/>
                <w:sz w:val="20"/>
                <w:szCs w:val="20"/>
              </w:rPr>
              <w:t xml:space="preserve">Para 2: Short reversal under rule 42. Audit treated fixed deposit interest of Rs. 60,00,000 as exempt turnover. Total turnover Rs. 40,00,00,000 (including the interest); common credit Rs. 15,00,000. Audit's reversal: Rs. 15,00,000 x 60,00,000 / 40,00,00,000 = Rs. 22,500. The company showed that for a non-banking business the value of deposits and loans where consideration is interest is excluded from exempt supplies. The para was dropped.</w:t>
            </w:r>
          </w:p>
          <w:p>
            <w:pPr>
              <w:spacing w:after="60" w:line="260"/>
            </w:pPr>
            <w:r>
              <w:rPr>
                <w:rFonts w:ascii="Verdana" w:cs="Verdana" w:eastAsia="Verdana" w:hAnsi="Verdana"/>
                <w:sz w:val="20"/>
                <w:szCs w:val="20"/>
              </w:rPr>
              <w:t xml:space="preserve">Para 3: RCM on legal fees of Rs. 3,00,000. Tax Rs. 54,000 (CGST Rs. 27,000 and SGST Rs. 27,000) was paid in cash with interest and credit of Rs. 54,000 taken in the same month. The net cost was only the interest.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Audit objections resting on an invalid rule</w:t>
            </w:r>
          </w:p>
          <w:p>
            <w:pPr>
              <w:spacing w:after="60" w:line="260"/>
            </w:pPr>
            <w:r>
              <w:rPr>
                <w:rFonts w:ascii="Verdana" w:cs="Verdana" w:eastAsia="Verdana" w:hAnsi="Verdana"/>
                <w:b/>
                <w:bCs/>
                <w:sz w:val="20"/>
                <w:szCs w:val="20"/>
              </w:rPr>
              <w:t xml:space="preserve">BirlaNu Ltd. v. Union of India (Telangana High Court, 2025):</w:t>
            </w:r>
            <w:r>
              <w:rPr>
                <w:rFonts w:ascii="Verdana" w:cs="Verdana" w:eastAsia="Verdana" w:hAnsi="Verdana"/>
                <w:sz w:val="20"/>
                <w:szCs w:val="20"/>
              </w:rPr>
              <w:t xml:space="preserve"> An input service distributor had accumulated credit during the year and distributed it in March. Audit objected under rule 39(1)(a) of the CGST Rules, which required credit to be distributed in the same month, and a large penalty was proposed although eligibility of the credit was not disputed. The High Court held rule 39(1)(a), to the extent it required same-month distribution, beyond section 20 of the CGST Act (as it stood before 1 April 2025), and quashed the audit report and the show cause notice. It also found that the audit had not given the taxpayer a proper chance to respond. The Union has challenged the judgment and the Supreme Court has issued notice; the matter is pending.</w:t>
            </w:r>
          </w:p>
          <w:p>
            <w:pPr>
              <w:spacing w:after="60" w:line="260"/>
            </w:pPr>
            <w:r>
              <w:rPr>
                <w:rFonts w:ascii="Verdana" w:cs="Verdana" w:eastAsia="Verdana" w:hAnsi="Verdana"/>
                <w:sz w:val="20"/>
                <w:szCs w:val="20"/>
              </w:rPr>
              <w:t xml:space="preserve">Practical point: an audit para is only as good as the provision behind it. Test the rule against the section before accepting a para built on a procedural lapse.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Before the audit, run your own check on blocked credits, rules 42 and 43, RCM and the books to GSTR-9 reconciliation. Keep a log of every document handed over.</w:t>
            </w:r>
          </w:p>
          <w:p>
            <w:pPr>
              <w:spacing w:after="60" w:line="260"/>
            </w:pPr>
            <w:r>
              <w:rPr>
                <w:rFonts w:ascii="Verdana" w:cs="Verdana" w:eastAsia="Verdana" w:hAnsi="Verdana"/>
                <w:sz w:val="20"/>
                <w:szCs w:val="20"/>
              </w:rPr>
              <w:t xml:space="preserve">Where a para is accepted, pay tax and interest before the show cause notice; under section 73 and section 74A (non-fraud) this removes penalty.</w:t>
            </w:r>
          </w:p>
        </w:tc>
      </w:tr>
    </w:tbl>
    <w:p>
      <w:pPr>
        <w:spacing w:after="60"/>
      </w:pPr>
    </w:p>
    <w:p>
      <w:pPr>
        <w:pStyle w:val="Heading2"/>
        <w:keepNext/>
        <w:spacing w:after="120" w:before="240"/>
      </w:pPr>
      <w:r>
        <w:rPr>
          <w:rFonts w:ascii="Verdana" w:cs="Verdana" w:eastAsia="Verdana" w:hAnsi="Verdana"/>
        </w:rPr>
        <w:t xml:space="preserve">35.8 Special Audit (Section 66)</w:t>
      </w:r>
    </w:p>
    <w:p>
      <w:pPr>
        <w:spacing w:after="120" w:line="276"/>
        <w:jc w:val="both"/>
      </w:pPr>
      <w:r>
        <w:rPr>
          <w:rFonts w:ascii="Verdana" w:cs="Verdana" w:eastAsia="Verdana" w:hAnsi="Verdana"/>
        </w:rPr>
        <w:t xml:space="preserve">Where, at any stage of scrutiny, inquiry, investigation or other proceedings, an officer not below the rank of Assistant Commissioner considers that the value has not been correctly declared or the credit availed is not within normal limits, having regard to the nature and complexity of the case and the interest of revenue, he may, with the prior approval of the Commissioner, direct a special audit. The audit is done by a chartered accountant or cost accountant nominated by the Commissioner. The direction is in ADT-03.</w:t>
      </w:r>
    </w:p>
    <w:p>
      <w:pPr>
        <w:pStyle w:val="ListParagraph"/>
        <w:numPr>
          <w:ilvl w:val="0"/>
          <w:numId w:val="2"/>
        </w:numPr>
        <w:spacing w:after="60" w:line="264"/>
      </w:pPr>
      <w:r>
        <w:rPr>
          <w:rFonts w:ascii="Verdana" w:cs="Verdana" w:eastAsia="Verdana" w:hAnsi="Verdana"/>
        </w:rPr>
        <w:t xml:space="preserve">The auditor reports within 90 days, extendable by 90 days on application (section 66(2)).</w:t>
      </w:r>
    </w:p>
    <w:p>
      <w:pPr>
        <w:pStyle w:val="ListParagraph"/>
        <w:numPr>
          <w:ilvl w:val="0"/>
          <w:numId w:val="2"/>
        </w:numPr>
        <w:spacing w:after="60" w:line="264"/>
      </w:pPr>
      <w:r>
        <w:rPr>
          <w:rFonts w:ascii="Verdana" w:cs="Verdana" w:eastAsia="Verdana" w:hAnsi="Verdana"/>
        </w:rPr>
        <w:t xml:space="preserve">The special audit can be ordered even if the accounts have already been audited under any other law (section 66(3)).</w:t>
      </w:r>
    </w:p>
    <w:p>
      <w:pPr>
        <w:pStyle w:val="ListParagraph"/>
        <w:numPr>
          <w:ilvl w:val="0"/>
          <w:numId w:val="2"/>
        </w:numPr>
        <w:spacing w:after="60" w:line="264"/>
      </w:pPr>
      <w:r>
        <w:rPr>
          <w:rFonts w:ascii="Verdana" w:cs="Verdana" w:eastAsia="Verdana" w:hAnsi="Verdana"/>
        </w:rPr>
        <w:t xml:space="preserve">The taxpayer must be given an opportunity of being heard on the findings before they are used (section 66(4)). The findings are communicated in ADT-04.</w:t>
      </w:r>
    </w:p>
    <w:p>
      <w:pPr>
        <w:pStyle w:val="ListParagraph"/>
        <w:numPr>
          <w:ilvl w:val="0"/>
          <w:numId w:val="2"/>
        </w:numPr>
        <w:spacing w:after="60" w:line="264"/>
      </w:pPr>
      <w:r>
        <w:rPr>
          <w:rFonts w:ascii="Verdana" w:cs="Verdana" w:eastAsia="Verdana" w:hAnsi="Verdana"/>
        </w:rPr>
        <w:t xml:space="preserve">The expenses of the audit, including the auditor's fee, are determined and paid by the Commissioner (section 66(5)).</w:t>
      </w:r>
    </w:p>
    <w:p>
      <w:pPr>
        <w:pStyle w:val="ListParagraph"/>
        <w:numPr>
          <w:ilvl w:val="0"/>
          <w:numId w:val="2"/>
        </w:numPr>
        <w:spacing w:after="60" w:line="264"/>
      </w:pPr>
      <w:r>
        <w:rPr>
          <w:rFonts w:ascii="Verdana" w:cs="Verdana" w:eastAsia="Verdana" w:hAnsi="Verdana"/>
        </w:rPr>
        <w:t xml:space="preserve">Demands follow under section 73, 74 or 74A (section 66(6)).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A special audit report is not an order. It is evidence. The taxpayer can challenge the auditor's method and figures at the hearing under section 66(4) and again in reply to any show cause notice that follows.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GST is self-assessed; the return is the assessment, and unpaid self-assessed tax can be recovered directly under section 75(12).</w:t>
            </w:r>
          </w:p>
          <w:p>
            <w:pPr>
              <w:spacing w:after="60" w:line="260"/>
            </w:pPr>
            <w:r>
              <w:rPr>
                <w:rFonts w:ascii="Verdana" w:cs="Verdana" w:eastAsia="Verdana" w:hAnsi="Verdana"/>
                <w:sz w:val="20"/>
                <w:szCs w:val="20"/>
              </w:rPr>
              <w:t xml:space="preserve">•  Provisional assessment under section 60 allows tax at a provisional rate or value on a bond with security up to 25%; interest runs on the final differential.</w:t>
            </w:r>
          </w:p>
          <w:p>
            <w:pPr>
              <w:spacing w:after="60" w:line="260"/>
            </w:pPr>
            <w:r>
              <w:rPr>
                <w:rFonts w:ascii="Verdana" w:cs="Verdana" w:eastAsia="Verdana" w:hAnsi="Verdana"/>
                <w:sz w:val="20"/>
                <w:szCs w:val="20"/>
              </w:rPr>
              <w:t xml:space="preserve">•  Scrutiny under section 61 starts with ASMT-10; reply in ASMT-11 within 30 days with a reconciliation and pay only true shortfalls to get ASMT-12.</w:t>
            </w:r>
          </w:p>
          <w:p>
            <w:pPr>
              <w:spacing w:after="60" w:line="260"/>
            </w:pPr>
            <w:r>
              <w:rPr>
                <w:rFonts w:ascii="Verdana" w:cs="Verdana" w:eastAsia="Verdana" w:hAnsi="Verdana"/>
                <w:sz w:val="20"/>
                <w:szCs w:val="20"/>
              </w:rPr>
              <w:t xml:space="preserve">•  A best judgement order under section 62 is withdrawn if a valid return is filed within 60 days, or within a further 60 days with Rs. 100 per day additional late fee.</w:t>
            </w:r>
          </w:p>
          <w:p>
            <w:pPr>
              <w:spacing w:after="60" w:line="260"/>
            </w:pPr>
            <w:r>
              <w:rPr>
                <w:rFonts w:ascii="Verdana" w:cs="Verdana" w:eastAsia="Verdana" w:hAnsi="Verdana"/>
                <w:sz w:val="20"/>
                <w:szCs w:val="20"/>
              </w:rPr>
              <w:t xml:space="preserve">•  Section 63 covers persons liable but unregistered; section 64 summary assessment needs prior approval and can be withdrawn on an application within 30 days.</w:t>
            </w:r>
          </w:p>
          <w:p>
            <w:pPr>
              <w:spacing w:after="60" w:line="260"/>
            </w:pPr>
            <w:r>
              <w:rPr>
                <w:rFonts w:ascii="Verdana" w:cs="Verdana" w:eastAsia="Verdana" w:hAnsi="Verdana"/>
                <w:sz w:val="20"/>
                <w:szCs w:val="20"/>
              </w:rPr>
              <w:t xml:space="preserve">•  Departmental audit needs 15 working days' notice in ADT-01, is completed in 3 months (extendable by 6), and findings come in ADT-02.</w:t>
            </w:r>
          </w:p>
          <w:p>
            <w:pPr>
              <w:spacing w:after="60" w:line="260"/>
            </w:pPr>
            <w:r>
              <w:rPr>
                <w:rFonts w:ascii="Verdana" w:cs="Verdana" w:eastAsia="Verdana" w:hAnsi="Verdana"/>
                <w:sz w:val="20"/>
                <w:szCs w:val="20"/>
              </w:rPr>
              <w:t xml:space="preserve">•  Special audit by a CA or cost accountant is directed with the Commissioner's approval; the report is due in 90 days (plus 90) and must be put to the taxpayer.</w:t>
            </w:r>
          </w:p>
        </w:tc>
      </w:tr>
    </w:tbl>
    <w:p>
      <w:pPr>
        <w:pStyle w:val="Heading1"/>
        <w:pageBreakBefore/>
        <w:spacing w:after="200" w:before="0"/>
      </w:pPr>
      <w:r>
        <w:rPr>
          <w:rFonts w:ascii="Verdana" w:cs="Verdana" w:eastAsia="Verdana" w:hAnsi="Verdana"/>
        </w:rPr>
        <w:t xml:space="preserve">36. Demands and Recovery (Sections 73 to 84, 128A)</w:t>
      </w:r>
    </w:p>
    <w:p>
      <w:pPr>
        <w:spacing w:after="120" w:line="276"/>
        <w:jc w:val="both"/>
      </w:pPr>
      <w:r>
        <w:rPr>
          <w:rFonts w:ascii="Verdana" w:cs="Verdana" w:eastAsia="Verdana" w:hAnsi="Verdana"/>
        </w:rPr>
        <w:t xml:space="preserve">A demand is the department's formal claim that tax has been short paid or wrongly refunded, or that input tax credit has been wrongly availed or utilised. The demand provisions decide how far back the department can go, how the notice must be framed, and how much penalty early payment avoids. Recovery provisions decide how an unpaid demand is collected.</w:t>
      </w:r>
    </w:p>
    <w:p>
      <w:pPr>
        <w:spacing w:after="120" w:line="276"/>
        <w:jc w:val="both"/>
      </w:pPr>
      <w:r>
        <w:rPr>
          <w:rFonts w:ascii="Verdana" w:cs="Verdana" w:eastAsia="Verdana" w:hAnsi="Verdana"/>
        </w:rPr>
        <w:t xml:space="preserve">For periods up to FY 2023-24, demands are raised under section 73 (no fraud) or section 74 (fraud, wilful misstatement or suppression). From FY 2024-25 onwards, section 74A, inserted by the Finance (No. 2) Act, 2024, is the single provision for both kinds of cases, with one time limit and two penalty scales.</w:t>
      </w:r>
    </w:p>
    <w:p>
      <w:pPr>
        <w:pStyle w:val="Heading2"/>
        <w:keepNext/>
        <w:spacing w:after="120" w:before="240"/>
      </w:pPr>
      <w:r>
        <w:rPr>
          <w:rFonts w:ascii="Verdana" w:cs="Verdana" w:eastAsia="Verdana" w:hAnsi="Verdana"/>
        </w:rPr>
        <w:t xml:space="preserve">36.1 Sections 73, 74 and 74A Compared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570"/>
        <w:gridCol w:w="2570"/>
        <w:gridCol w:w="2571"/>
      </w:tblGrid>
      <w:tr>
        <w:trPr>
          <w:cantSplit/>
          <w:tblHeader/>
        </w:trPr>
        <w:tc>
          <w:tcPr>
            <w:tcW w:type="dxa" w:w="192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Feature</w:t>
            </w:r>
          </w:p>
        </w:tc>
        <w:tc>
          <w:tcPr>
            <w:tcW w:type="dxa" w:w="257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Section 73</w:t>
            </w:r>
          </w:p>
        </w:tc>
        <w:tc>
          <w:tcPr>
            <w:tcW w:type="dxa" w:w="257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Section 74</w:t>
            </w:r>
          </w:p>
        </w:tc>
        <w:tc>
          <w:tcPr>
            <w:tcW w:type="dxa" w:w="257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Section 74A</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Periods</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FY 2017-18 to 2023-24</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FY 2017-18 to 2023-24</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FY 2024-25 onwards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Nature</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fraud or suppression</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Fraud, wilful misstatement or suppression to evade tax</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Both, with separate penalty scales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Last date for notice</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 months before order limit (33 months from annual return due date)</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 months before order limit (54 months)</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42 months from annual return due date or erroneous refund</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Order time limit</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 years from annual return due date</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 years from annual return due date</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 months from notice, extendable by 6 months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Penalty in order</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 of tax or Rs. 10,000, higher</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 of tax</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Non-fraud: 10% or Rs. 10,000, higher; fraud: 100%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Paid before notice</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penalty</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Non-fraud: no penalty; fraud: 15%</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Paid after notice</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Within 30 days: no penalty</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Within 30 days: 25%</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Within 60 days: non-fraud nil, fraud 25%</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Paid after order</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Full penalty</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Within 30 days: 50%</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Fraud: within 60 days, 50%</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Small amounts</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threshold in the section</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threshold in the section</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notice if tax is Rs. 1,000 or less</w:t>
            </w:r>
          </w:p>
        </w:tc>
      </w:tr>
    </w:tbl>
    <w:p>
      <w:pPr>
        <w:spacing w:after="60"/>
      </w:pPr>
    </w:p>
    <w:p>
      <w:pPr>
        <w:spacing w:after="120" w:line="276"/>
        <w:jc w:val="both"/>
      </w:pPr>
      <w:r>
        <w:rPr>
          <w:rFonts w:ascii="Verdana" w:cs="Verdana" w:eastAsia="Verdana" w:hAnsi="Verdana"/>
        </w:rPr>
        <w:t xml:space="preserve">In every case, interest under section 50 is payable in addition. It is compensatory and mandatory, and no officer can waive it. The only statutory waiver was the one-time scheme under section 128A.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180: Working out time limits for a notice</w:t>
            </w:r>
          </w:p>
          <w:p>
            <w:pPr>
              <w:spacing w:after="60" w:line="260"/>
            </w:pPr>
            <w:r>
              <w:rPr>
                <w:rFonts w:ascii="Verdana" w:cs="Verdana" w:eastAsia="Verdana" w:hAnsi="Verdana"/>
                <w:sz w:val="20"/>
                <w:szCs w:val="20"/>
              </w:rPr>
              <w:t xml:space="preserve">FY 2022-23: GSTR-9 due date 31 December 2023. Under section 73 the order must be passed by 31 December 2026, so the notice must be issued by 30 September 2026. Under section 74 the order limit is 31 December 2028 and the notice limit 30 June 2028.</w:t>
            </w:r>
          </w:p>
          <w:p>
            <w:pPr>
              <w:spacing w:after="60" w:line="260"/>
            </w:pPr>
            <w:r>
              <w:rPr>
                <w:rFonts w:ascii="Verdana" w:cs="Verdana" w:eastAsia="Verdana" w:hAnsi="Verdana"/>
                <w:sz w:val="20"/>
                <w:szCs w:val="20"/>
              </w:rPr>
              <w:t xml:space="preserve">FY 2023-24: GSTR-9 due date 31 December 2024. Section 73 notice by 30 September 2027; order by 31 December 2027.</w:t>
            </w:r>
          </w:p>
          <w:p>
            <w:pPr>
              <w:spacing w:after="60" w:line="260"/>
            </w:pPr>
            <w:r>
              <w:rPr>
                <w:rFonts w:ascii="Verdana" w:cs="Verdana" w:eastAsia="Verdana" w:hAnsi="Verdana"/>
                <w:sz w:val="20"/>
                <w:szCs w:val="20"/>
              </w:rPr>
              <w:t xml:space="preserve">FY 2024-25: GSTR-9 due date 31 December 2025. Section 74A notice by 30 June 2029 (42 months). If the notice is issued on 15 March 2029, the order must be passed by 15 March 2030, or by 15 September 2030 if extended.</w:t>
            </w:r>
          </w:p>
          <w:p>
            <w:pPr>
              <w:spacing w:after="60" w:line="260"/>
            </w:pPr>
            <w:r>
              <w:rPr>
                <w:rFonts w:ascii="Verdana" w:cs="Verdana" w:eastAsia="Verdana" w:hAnsi="Verdana"/>
                <w:sz w:val="20"/>
                <w:szCs w:val="20"/>
              </w:rPr>
              <w:t xml:space="preserve">Check first whether the due date of the annual return for the year was extended by notification; the limits run from the extended date.</w:t>
            </w:r>
          </w:p>
        </w:tc>
      </w:tr>
    </w:tbl>
    <w:p>
      <w:pPr>
        <w:spacing w:after="60"/>
      </w:pPr>
    </w:p>
    <w:p>
      <w:pPr>
        <w:pStyle w:val="Heading2"/>
        <w:keepNext/>
        <w:spacing w:after="120" w:before="240"/>
      </w:pPr>
      <w:r>
        <w:rPr>
          <w:rFonts w:ascii="Verdana" w:cs="Verdana" w:eastAsia="Verdana" w:hAnsi="Verdana"/>
        </w:rPr>
        <w:t xml:space="preserve">36.2 Pre-notice Consultation (Rule 142(1A), DRC-01A)</w:t>
      </w:r>
    </w:p>
    <w:p>
      <w:pPr>
        <w:spacing w:after="120" w:line="276"/>
        <w:jc w:val="both"/>
      </w:pPr>
      <w:r>
        <w:rPr>
          <w:rFonts w:ascii="Verdana" w:cs="Verdana" w:eastAsia="Verdana" w:hAnsi="Verdana"/>
        </w:rPr>
        <w:t xml:space="preserve">Before issuing a notice, the proper officer may communicate the proposed tax, interest and penalty in Part A of DRC-01A. The taxpayer may pay through DRC-03 or file submissions in Part B; if satisfied, the officer closes the matter in Part C. Rule 142(1A) has used the word "may" since October 2020. For the earlier period, when it said "shall", several High Courts held the intimation mandatory; for later periods views differ. The rule covers notices under sections 73, 74 and 74A.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Treat DRC-01A as the cheapest point to settle. Under section 73 and section 74A (non-fraud), full payment of tax and interest before the notice means no penalty at all. Where the DRC-01A is wrong, a clear Part B reply often stops the notice from being issued.</w:t>
            </w:r>
          </w:p>
        </w:tc>
      </w:tr>
    </w:tbl>
    <w:p>
      <w:pPr>
        <w:spacing w:after="60"/>
      </w:pPr>
    </w:p>
    <w:p>
      <w:pPr>
        <w:pStyle w:val="Heading2"/>
        <w:keepNext/>
        <w:spacing w:after="120" w:before="240"/>
      </w:pPr>
      <w:r>
        <w:rPr>
          <w:rFonts w:ascii="Verdana" w:cs="Verdana" w:eastAsia="Verdana" w:hAnsi="Verdana"/>
        </w:rPr>
        <w:t xml:space="preserve">36.3 The Show Cause Notice and Statement (DRC-01)</w:t>
      </w:r>
    </w:p>
    <w:p>
      <w:pPr>
        <w:spacing w:after="120" w:line="276"/>
        <w:jc w:val="both"/>
      </w:pPr>
      <w:r>
        <w:rPr>
          <w:rFonts w:ascii="Verdana" w:cs="Verdana" w:eastAsia="Verdana" w:hAnsi="Verdana"/>
        </w:rPr>
        <w:t xml:space="preserve">The show cause notice is served with a summary in DRC-01, and the taxpayer replies in DRC-06. Where a notice has been issued for one period, a statement under section 73(3), 74(3) or 74A(3) can be served for later periods on the same grounds, without a fresh notice, and is treated as a notice.</w:t>
      </w:r>
    </w:p>
    <w:p>
      <w:pPr>
        <w:spacing w:after="120" w:line="276"/>
        <w:jc w:val="both"/>
      </w:pPr>
      <w:r>
        <w:rPr>
          <w:rFonts w:ascii="Verdana" w:cs="Verdana" w:eastAsia="Verdana" w:hAnsi="Verdana"/>
        </w:rPr>
        <w:t xml:space="preserve">A valid notice must state the facts, the provisions invoked, the period, the tax and its computation, the documents relied upon and, where fraud is alleged, the specific acts of fraud, wilful misstatement or suppression. A CBIC officer's communication must also carry a document identification number (DIN).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The show cause notice is the foundation</w:t>
            </w:r>
          </w:p>
          <w:p>
            <w:pPr>
              <w:spacing w:after="60" w:line="260"/>
            </w:pPr>
            <w:r>
              <w:rPr>
                <w:rFonts w:ascii="Verdana" w:cs="Verdana" w:eastAsia="Verdana" w:hAnsi="Verdana"/>
                <w:b/>
                <w:bCs/>
                <w:sz w:val="20"/>
                <w:szCs w:val="20"/>
              </w:rPr>
              <w:t xml:space="preserve">Commissioner of Central Excise v. Brindavan Beverages (P) Ltd. (Supreme Court, 2007):</w:t>
            </w:r>
            <w:r>
              <w:rPr>
                <w:rFonts w:ascii="Verdana" w:cs="Verdana" w:eastAsia="Verdana" w:hAnsi="Verdana"/>
                <w:sz w:val="20"/>
                <w:szCs w:val="20"/>
              </w:rPr>
              <w:t xml:space="preserve"> The show cause notice is the foundation on which the department builds its case. If the allegations are vague and do not give the material particulars, the notice is bad. The order cannot go beyond the notice.</w:t>
            </w:r>
          </w:p>
          <w:p>
            <w:pPr>
              <w:spacing w:after="60" w:line="260"/>
            </w:pPr>
            <w:r>
              <w:rPr>
                <w:rFonts w:ascii="Verdana" w:cs="Verdana" w:eastAsia="Verdana" w:hAnsi="Verdana"/>
                <w:sz w:val="20"/>
                <w:szCs w:val="20"/>
              </w:rPr>
              <w:t xml:space="preserve">Under GST the same principle is written into section 75(7): the amount demanded in the order cannot exceed the amount in the notice, and no demand can be confirmed on grounds other than those in the notice. A reply should always check whether the order has travelled beyond the notice.</w:t>
            </w:r>
          </w:p>
        </w:tc>
      </w:tr>
    </w:tbl>
    <w:p>
      <w:pPr>
        <w:spacing w:after="60"/>
      </w:pPr>
    </w:p>
    <w:p>
      <w:pPr>
        <w:pStyle w:val="Heading2"/>
        <w:keepNext/>
        <w:spacing w:after="120" w:before="240"/>
      </w:pPr>
      <w:r>
        <w:rPr>
          <w:rFonts w:ascii="Verdana" w:cs="Verdana" w:eastAsia="Verdana" w:hAnsi="Verdana"/>
        </w:rPr>
        <w:t xml:space="preserve">36.4 Hearing, Adjournments and the Order (Section 75)</w:t>
      </w:r>
    </w:p>
    <w:p>
      <w:pPr>
        <w:pStyle w:val="ListParagraph"/>
        <w:numPr>
          <w:ilvl w:val="0"/>
          <w:numId w:val="2"/>
        </w:numPr>
        <w:spacing w:after="60" w:line="264"/>
      </w:pPr>
      <w:r>
        <w:rPr>
          <w:rFonts w:ascii="Verdana" w:cs="Verdana" w:eastAsia="Verdana" w:hAnsi="Verdana"/>
          <w:b/>
          <w:bCs/>
        </w:rPr>
        <w:t xml:space="preserve">Personal hearing:</w:t>
      </w:r>
      <w:r>
        <w:rPr>
          <w:rFonts w:ascii="Verdana" w:cs="Verdana" w:eastAsia="Verdana" w:hAnsi="Verdana"/>
        </w:rPr>
        <w:t xml:space="preserve"> section 75(4) requires a hearing where the taxpayer asks for it or where any adverse decision is contemplated. Orders passed without one are regularly set aside.</w:t>
      </w:r>
    </w:p>
    <w:p>
      <w:pPr>
        <w:pStyle w:val="ListParagraph"/>
        <w:numPr>
          <w:ilvl w:val="0"/>
          <w:numId w:val="2"/>
        </w:numPr>
        <w:spacing w:after="60" w:line="264"/>
      </w:pPr>
      <w:r>
        <w:rPr>
          <w:rFonts w:ascii="Verdana" w:cs="Verdana" w:eastAsia="Verdana" w:hAnsi="Verdana"/>
          <w:b/>
          <w:bCs/>
        </w:rPr>
        <w:t xml:space="preserve">Adjournments:</w:t>
      </w:r>
      <w:r>
        <w:rPr>
          <w:rFonts w:ascii="Verdana" w:cs="Verdana" w:eastAsia="Verdana" w:hAnsi="Verdana"/>
        </w:rPr>
        <w:t xml:space="preserve"> a maximum of three adjournments can be granted, for sufficient cause and recorded in writing (section 75(5)).</w:t>
      </w:r>
    </w:p>
    <w:p>
      <w:pPr>
        <w:pStyle w:val="ListParagraph"/>
        <w:numPr>
          <w:ilvl w:val="0"/>
          <w:numId w:val="2"/>
        </w:numPr>
        <w:spacing w:after="60" w:line="264"/>
      </w:pPr>
      <w:r>
        <w:rPr>
          <w:rFonts w:ascii="Verdana" w:cs="Verdana" w:eastAsia="Verdana" w:hAnsi="Verdana"/>
          <w:b/>
          <w:bCs/>
        </w:rPr>
        <w:t xml:space="preserve">Reasoned order within the notice:</w:t>
      </w:r>
      <w:r>
        <w:rPr>
          <w:rFonts w:ascii="Verdana" w:cs="Verdana" w:eastAsia="Verdana" w:hAnsi="Verdana"/>
        </w:rPr>
        <w:t xml:space="preserve"> the order must give reasons (section 75(6)) and cannot exceed the notice (section 75(7)).</w:t>
      </w:r>
    </w:p>
    <w:p>
      <w:pPr>
        <w:pStyle w:val="ListParagraph"/>
        <w:numPr>
          <w:ilvl w:val="0"/>
          <w:numId w:val="2"/>
        </w:numPr>
        <w:spacing w:after="60" w:line="264"/>
      </w:pPr>
      <w:r>
        <w:rPr>
          <w:rFonts w:ascii="Verdana" w:cs="Verdana" w:eastAsia="Verdana" w:hAnsi="Verdana"/>
          <w:b/>
          <w:bCs/>
        </w:rPr>
        <w:t xml:space="preserve">Fraud not proved:</w:t>
      </w:r>
      <w:r>
        <w:rPr>
          <w:rFonts w:ascii="Verdana" w:cs="Verdana" w:eastAsia="Verdana" w:hAnsi="Verdana"/>
        </w:rPr>
        <w:t xml:space="preserve"> under section 75(2), where an appellate authority, tribunal or court holds that the charges of fraud or suppression are not established, the tax is redetermined as if the notice had been issued under the non-fraud provision. Penalty falls to the non-fraud scale.</w:t>
      </w:r>
    </w:p>
    <w:p>
      <w:pPr>
        <w:pStyle w:val="ListParagraph"/>
        <w:numPr>
          <w:ilvl w:val="0"/>
          <w:numId w:val="2"/>
        </w:numPr>
        <w:spacing w:after="60" w:line="264"/>
      </w:pPr>
      <w:r>
        <w:rPr>
          <w:rFonts w:ascii="Verdana" w:cs="Verdana" w:eastAsia="Verdana" w:hAnsi="Verdana"/>
          <w:b/>
          <w:bCs/>
        </w:rPr>
        <w:t xml:space="preserve">One penalty:</w:t>
      </w:r>
      <w:r>
        <w:rPr>
          <w:rFonts w:ascii="Verdana" w:cs="Verdana" w:eastAsia="Verdana" w:hAnsi="Verdana"/>
        </w:rPr>
        <w:t xml:space="preserve"> section 75(13) bars a second penalty for the same act under another provision once penalty is imposed under section 73, 74 or 74A.</w:t>
      </w:r>
    </w:p>
    <w:p>
      <w:pPr>
        <w:pStyle w:val="Heading2"/>
        <w:keepNext/>
        <w:spacing w:after="120" w:before="240"/>
      </w:pPr>
      <w:r>
        <w:rPr>
          <w:rFonts w:ascii="Verdana" w:cs="Verdana" w:eastAsia="Verdana" w:hAnsi="Verdana"/>
        </w:rPr>
        <w:t xml:space="preserve">36.5 Penalty Computations under Sections 73, 74 and 74A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181: Section 73: penalty at each payment stage</w:t>
            </w:r>
          </w:p>
          <w:p>
            <w:pPr>
              <w:spacing w:after="60" w:line="260"/>
            </w:pPr>
            <w:r>
              <w:rPr>
                <w:rFonts w:ascii="Verdana" w:cs="Verdana" w:eastAsia="Verdana" w:hAnsi="Verdana"/>
                <w:sz w:val="20"/>
                <w:szCs w:val="20"/>
              </w:rPr>
              <w:t xml:space="preserve">Nair Pharma Distributors availed ITC of Rs. 6,00,000 (CGST Rs. 3,00,000 and SGST Rs. 3,00,000) in FY 2022-23 on invoices that did not meet section 16(2). There is no allegation of fraud. Interest under section 50(3) up to the relevant date is taken as Rs. 1,59,781 (Rs. 6,00,000 x 18% x 540 / 365).</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26"/>
        <w:gridCol w:w="1927"/>
        <w:gridCol w:w="2141"/>
        <w:gridCol w:w="2144"/>
      </w:tblGrid>
      <w:tr>
        <w:trPr>
          <w:cantSplit/>
          <w:tblHeader/>
        </w:trPr>
        <w:tc>
          <w:tcPr>
            <w:tcW w:type="dxa" w:w="342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When paid</w:t>
            </w:r>
          </w:p>
        </w:tc>
        <w:tc>
          <w:tcPr>
            <w:tcW w:type="dxa" w:w="192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 (Rs.)</w:t>
            </w:r>
          </w:p>
        </w:tc>
        <w:tc>
          <w:tcPr>
            <w:tcW w:type="dxa" w:w="214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Interest (Rs.)</w:t>
            </w:r>
          </w:p>
        </w:tc>
        <w:tc>
          <w:tcPr>
            <w:tcW w:type="dxa" w:w="2144"/>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Penalty (Rs.)</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 notice (after DRC-01A)</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6,00,000</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1,59,781</w:t>
            </w:r>
          </w:p>
        </w:tc>
        <w:tc>
          <w:tcPr>
            <w:tcW w:type="dxa" w:w="214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Within 30 days of notice</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6,00,000</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 on payment date</w:t>
            </w:r>
          </w:p>
        </w:tc>
        <w:tc>
          <w:tcPr>
            <w:tcW w:type="dxa" w:w="214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 (proceedings deemed concluded)</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After 30 days or after order</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6,00,000</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 on payment date</w:t>
            </w:r>
          </w:p>
        </w:tc>
        <w:tc>
          <w:tcPr>
            <w:tcW w:type="dxa" w:w="214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60,000 (10%, higher than Rs. 10,000)</w:t>
            </w:r>
          </w:p>
        </w:tc>
      </w:tr>
    </w:tbl>
    <w:p>
      <w:pPr>
        <w:spacing w:after="60"/>
      </w:pPr>
    </w:p>
    <w:p>
      <w:pPr>
        <w:spacing w:after="120" w:line="276"/>
        <w:jc w:val="both"/>
      </w:pPr>
      <w:r>
        <w:rPr>
          <w:rFonts w:ascii="Verdana" w:cs="Verdana" w:eastAsia="Verdana" w:hAnsi="Verdana"/>
        </w:rPr>
        <w:t xml:space="preserve">If the tax had been only Rs. 72,000, 10% would be Rs. 7,200, so the penalty in the order would be the minimum of Rs. 10,000.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182: Section 74: penalty at each payment stage</w:t>
            </w:r>
          </w:p>
          <w:p>
            <w:pPr>
              <w:spacing w:after="60" w:line="260"/>
            </w:pPr>
            <w:r>
              <w:rPr>
                <w:rFonts w:ascii="Verdana" w:cs="Verdana" w:eastAsia="Verdana" w:hAnsi="Verdana"/>
                <w:sz w:val="20"/>
                <w:szCs w:val="20"/>
              </w:rPr>
              <w:t xml:space="preserve">Gupta Steel Traders suppressed cash sales in FY 2021-22. Tax evaded Rs. 20,00,000. Interest is payable in every case.</w:t>
            </w:r>
          </w:p>
          <w:p>
            <w:pPr>
              <w:spacing w:after="60" w:line="260"/>
            </w:pPr>
            <w:r>
              <w:rPr>
                <w:rFonts w:ascii="Verdana" w:cs="Verdana" w:eastAsia="Verdana" w:hAnsi="Verdana"/>
                <w:sz w:val="20"/>
                <w:szCs w:val="20"/>
              </w:rPr>
              <w:t xml:space="preserve">Step 1: Paid with interest before notice: penalty 15% = Rs. 3,00,000.</w:t>
            </w:r>
          </w:p>
          <w:p>
            <w:pPr>
              <w:spacing w:after="60" w:line="260"/>
            </w:pPr>
            <w:r>
              <w:rPr>
                <w:rFonts w:ascii="Verdana" w:cs="Verdana" w:eastAsia="Verdana" w:hAnsi="Verdana"/>
                <w:sz w:val="20"/>
                <w:szCs w:val="20"/>
              </w:rPr>
              <w:t xml:space="preserve">Step 2: Paid with interest within 30 days of notice: penalty 25% = Rs. 5,00,000.</w:t>
            </w:r>
          </w:p>
          <w:p>
            <w:pPr>
              <w:spacing w:after="60" w:line="260"/>
            </w:pPr>
            <w:r>
              <w:rPr>
                <w:rFonts w:ascii="Verdana" w:cs="Verdana" w:eastAsia="Verdana" w:hAnsi="Verdana"/>
                <w:sz w:val="20"/>
                <w:szCs w:val="20"/>
              </w:rPr>
              <w:t xml:space="preserve">Step 3: Paid with interest within 30 days of the order: penalty 50% = Rs. 10,00,000.</w:t>
            </w:r>
          </w:p>
          <w:p>
            <w:pPr>
              <w:spacing w:after="60" w:line="260"/>
            </w:pPr>
            <w:r>
              <w:rPr>
                <w:rFonts w:ascii="Verdana" w:cs="Verdana" w:eastAsia="Verdana" w:hAnsi="Verdana"/>
                <w:sz w:val="20"/>
                <w:szCs w:val="20"/>
              </w:rPr>
              <w:t xml:space="preserve">Step 4: Paid later or contested and lost: penalty 100% = Rs. 20,00,000.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183: Section 74A: both scales (FY 2024-25)</w:t>
            </w:r>
          </w:p>
          <w:p>
            <w:pPr>
              <w:spacing w:after="60" w:line="260"/>
            </w:pPr>
            <w:r>
              <w:rPr>
                <w:rFonts w:ascii="Verdana" w:cs="Verdana" w:eastAsia="Verdana" w:hAnsi="Verdana"/>
                <w:sz w:val="20"/>
                <w:szCs w:val="20"/>
              </w:rPr>
              <w:t xml:space="preserve">Non-fraud case: Patel Components short-paid tax of Rs. 4,80,000 due to a rate error. If tax and interest are paid before the notice, no notice is issued and no penalty arises. If paid within 60 days of the notice, penalty is nil and proceedings conclude. If paid later, penalty is 10% = Rs. 48,000 (higher than Rs. 10,000).</w:t>
            </w:r>
          </w:p>
          <w:p>
            <w:pPr>
              <w:spacing w:after="60" w:line="260"/>
            </w:pPr>
            <w:r>
              <w:rPr>
                <w:rFonts w:ascii="Verdana" w:cs="Verdana" w:eastAsia="Verdana" w:hAnsi="Verdana"/>
                <w:sz w:val="20"/>
                <w:szCs w:val="20"/>
              </w:rPr>
              <w:t xml:space="preserve">Fraud case: Sagar Enterprises availed fake ITC of Rs. 12,00,000. Before notice: 15% = Rs. 1,80,000. Within 60 days of notice: 25% = Rs. 3,00,000. Within 60 days of order: 50% = Rs. 6,00,000. Otherwise: 100% = Rs. 12,00,000.</w:t>
            </w:r>
          </w:p>
          <w:p>
            <w:pPr>
              <w:spacing w:after="60" w:line="260"/>
            </w:pPr>
            <w:r>
              <w:rPr>
                <w:rFonts w:ascii="Verdana" w:cs="Verdana" w:eastAsia="Verdana" w:hAnsi="Verdana"/>
                <w:sz w:val="20"/>
                <w:szCs w:val="20"/>
              </w:rPr>
              <w:t xml:space="preserve">Small amount: if the tax proposed is Rs. 900, no notice can be issued under section 74A, since it is Rs. 1,000 or less.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The 30-day windows under sections 73 and 74 became 60-day windows under section 74A. Clients who remember the old law often miss the extra time, and professionals sometimes wrongly advise that the old 30-day window applies to FY 2024-25 notices.</w:t>
            </w:r>
          </w:p>
        </w:tc>
      </w:tr>
    </w:tbl>
    <w:p>
      <w:pPr>
        <w:spacing w:after="60"/>
      </w:pPr>
    </w:p>
    <w:p>
      <w:pPr>
        <w:pStyle w:val="Heading2"/>
        <w:keepNext/>
        <w:spacing w:after="120" w:before="240"/>
      </w:pPr>
      <w:r>
        <w:rPr>
          <w:rFonts w:ascii="Verdana" w:cs="Verdana" w:eastAsia="Verdana" w:hAnsi="Verdana"/>
        </w:rPr>
        <w:t xml:space="preserve">36.6 Tax Collected but Not Paid (Section 76)</w:t>
      </w:r>
    </w:p>
    <w:p>
      <w:pPr>
        <w:spacing w:after="120" w:line="276"/>
        <w:jc w:val="both"/>
      </w:pPr>
      <w:r>
        <w:rPr>
          <w:rFonts w:ascii="Verdana" w:cs="Verdana" w:eastAsia="Verdana" w:hAnsi="Verdana"/>
        </w:rPr>
        <w:t xml:space="preserve">Any person who collects an amount as tax must pay it to the Government, whether or not the supply was taxable. Section 76 allows recovery with interest after notice and hearing, with the order within one year of the notice; penalty follows under section 122. A common case is an unregistered or composition supplier who shows GST on the bill.</w:t>
      </w:r>
    </w:p>
    <w:p>
      <w:pPr>
        <w:pStyle w:val="Heading2"/>
        <w:keepNext/>
        <w:spacing w:after="120" w:before="240"/>
      </w:pPr>
      <w:r>
        <w:rPr>
          <w:rFonts w:ascii="Verdana" w:cs="Verdana" w:eastAsia="Verdana" w:hAnsi="Verdana"/>
        </w:rPr>
        <w:t xml:space="preserve">36.7 The Section 128A Waiver Scheme</w:t>
      </w:r>
    </w:p>
    <w:p>
      <w:pPr>
        <w:spacing w:after="120" w:line="276"/>
        <w:jc w:val="both"/>
      </w:pPr>
      <w:r>
        <w:rPr>
          <w:rFonts w:ascii="Verdana" w:cs="Verdana" w:eastAsia="Verdana" w:hAnsi="Verdana"/>
        </w:rPr>
        <w:t xml:space="preserve">Section 128A, inserted by the Finance (No. 2) Act, 2024, waived interest and penalty on demands under section 73 for FY 2017-18, 2018-19 and 2019-20, if the full tax demanded was paid by 31 March 2025. It also covered section 74 notices later redetermined under section 73 by an appellate authority or court. It did not cover erroneous refunds. Applications were filed under rule 164 of the CGST Rules in SPL-01 (notice or statement stage) or SPL-02 (order stage) by 30 June 2025, and any pending appeal or writ on the same demand had to be withdrawn. Interest and penalty already paid were not refunded.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184: Waiver under section 128A</w:t>
            </w:r>
          </w:p>
          <w:p>
            <w:pPr>
              <w:spacing w:after="60" w:line="260"/>
            </w:pPr>
            <w:r>
              <w:rPr>
                <w:rFonts w:ascii="Verdana" w:cs="Verdana" w:eastAsia="Verdana" w:hAnsi="Verdana"/>
                <w:sz w:val="20"/>
                <w:szCs w:val="20"/>
              </w:rPr>
              <w:t xml:space="preserve">Joshi Electricals had a section 73 order for FY 2018-19: tax Rs. 9,40,000, interest Rs. 7,12,000 and penalty Rs. 94,000. It had filed an appeal.</w:t>
            </w:r>
          </w:p>
          <w:p>
            <w:pPr>
              <w:spacing w:after="60" w:line="260"/>
            </w:pPr>
            <w:r>
              <w:rPr>
                <w:rFonts w:ascii="Verdana" w:cs="Verdana" w:eastAsia="Verdana" w:hAnsi="Verdana"/>
                <w:sz w:val="20"/>
                <w:szCs w:val="20"/>
              </w:rPr>
              <w:t xml:space="preserve">Step 1: It paid tax of Rs. 9,40,000 through DRC-03 on 22 March 2025 and withdrew the appeal.</w:t>
            </w:r>
          </w:p>
          <w:p>
            <w:pPr>
              <w:spacing w:after="60" w:line="260"/>
            </w:pPr>
            <w:r>
              <w:rPr>
                <w:rFonts w:ascii="Verdana" w:cs="Verdana" w:eastAsia="Verdana" w:hAnsi="Verdana"/>
                <w:sz w:val="20"/>
                <w:szCs w:val="20"/>
              </w:rPr>
              <w:t xml:space="preserve">Step 2: It filed SPL-02 before 30 June 2025. Interest of Rs. 7,12,000 and penalty of Rs. 94,000, total Rs. 8,06,000, were waived.</w:t>
            </w:r>
          </w:p>
        </w:tc>
      </w:tr>
    </w:tbl>
    <w:p>
      <w:pPr>
        <w:spacing w:after="60"/>
      </w:pPr>
    </w:p>
    <w:p>
      <w:pPr>
        <w:spacing w:after="120" w:line="276"/>
        <w:jc w:val="both"/>
      </w:pPr>
      <w:r>
        <w:rPr>
          <w:rFonts w:ascii="Verdana" w:cs="Verdana" w:eastAsia="Verdana" w:hAnsi="Verdana"/>
        </w:rPr>
        <w:t xml:space="preserve">The scheme is closed. Keep the SPL orders safely, because the department's systems sometimes continue to show waived interest as outstanding.</w:t>
      </w:r>
    </w:p>
    <w:p>
      <w:pPr>
        <w:pStyle w:val="Heading2"/>
        <w:keepNext/>
        <w:spacing w:after="120" w:before="240"/>
      </w:pPr>
      <w:r>
        <w:rPr>
          <w:rFonts w:ascii="Verdana" w:cs="Verdana" w:eastAsia="Verdana" w:hAnsi="Verdana"/>
        </w:rPr>
        <w:t xml:space="preserve">36.8 General Practice and Section 11A</w:t>
      </w:r>
    </w:p>
    <w:p>
      <w:pPr>
        <w:spacing w:after="120" w:line="276"/>
        <w:jc w:val="both"/>
      </w:pPr>
      <w:r>
        <w:rPr>
          <w:rFonts w:ascii="Verdana" w:cs="Verdana" w:eastAsia="Verdana" w:hAnsi="Verdana"/>
        </w:rPr>
        <w:t xml:space="preserve">Section 11A, inserted by the Finance (No. 2) Act, 2024, allows the Government, on the Council's recommendation, to direct that tax short levied because of a general practice in the trade shall not be recovered for the notified period.</w:t>
      </w:r>
    </w:p>
    <w:p>
      <w:pPr>
        <w:pStyle w:val="Heading2"/>
        <w:keepNext/>
        <w:spacing w:after="120" w:before="240"/>
      </w:pPr>
      <w:r>
        <w:rPr>
          <w:rFonts w:ascii="Verdana" w:cs="Verdana" w:eastAsia="Verdana" w:hAnsi="Verdana"/>
        </w:rPr>
        <w:t xml:space="preserve">36.9 Suppression, Extended Period and Parallel Proceedings</w:t>
      </w:r>
    </w:p>
    <w:p>
      <w:pPr>
        <w:spacing w:after="120" w:line="276"/>
        <w:jc w:val="both"/>
      </w:pPr>
      <w:r>
        <w:rPr>
          <w:rFonts w:ascii="Verdana" w:cs="Verdana" w:eastAsia="Verdana" w:hAnsi="Verdana"/>
        </w:rPr>
        <w:t xml:space="preserve">Section 74, and the fraud limb of section 74A, require proof of fraud, wilful misstatement or suppression with intent to evade tax. Where the facts were disclosed in returns, or the issue was one of interpretation, the extended period is usually not available.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Suppression means deliberate withholding</w:t>
            </w:r>
          </w:p>
          <w:p>
            <w:pPr>
              <w:spacing w:after="60" w:line="260"/>
            </w:pPr>
            <w:r>
              <w:rPr>
                <w:rFonts w:ascii="Verdana" w:cs="Verdana" w:eastAsia="Verdana" w:hAnsi="Verdana"/>
                <w:b/>
                <w:bCs/>
                <w:sz w:val="20"/>
                <w:szCs w:val="20"/>
              </w:rPr>
              <w:t xml:space="preserve">Pushpam Pharmaceuticals Co. v. Collector of Central Excise (Supreme Court, 1995):</w:t>
            </w:r>
            <w:r>
              <w:rPr>
                <w:rFonts w:ascii="Verdana" w:cs="Verdana" w:eastAsia="Verdana" w:hAnsi="Verdana"/>
                <w:sz w:val="20"/>
                <w:szCs w:val="20"/>
              </w:rPr>
              <w:t xml:space="preserve"> Suppression of facts means failure to disclose full information with intent to evade duty. A mere omission, or a bona fide belief, is not suppression.</w:t>
            </w:r>
          </w:p>
          <w:p>
            <w:pPr>
              <w:spacing w:after="60" w:line="260"/>
            </w:pPr>
            <w:r>
              <w:rPr>
                <w:rFonts w:ascii="Verdana" w:cs="Verdana" w:eastAsia="Verdana" w:hAnsi="Verdana"/>
                <w:b/>
                <w:bCs/>
                <w:sz w:val="20"/>
                <w:szCs w:val="20"/>
              </w:rPr>
              <w:t xml:space="preserve">Uniworth Textiles Ltd. v. Commissioner of Central Excise (Supreme Court, 2013):</w:t>
            </w:r>
            <w:r>
              <w:rPr>
                <w:rFonts w:ascii="Verdana" w:cs="Verdana" w:eastAsia="Verdana" w:hAnsi="Verdana"/>
                <w:sz w:val="20"/>
                <w:szCs w:val="20"/>
              </w:rPr>
              <w:t xml:space="preserve"> Mere non-payment of duty does not by itself establish suppression or wilful misstatement. The department must show a conscious and deliberate withholding of information. These excise rulings carry over to sections 74 and 74A because the language is the same.</w:t>
            </w:r>
          </w:p>
        </w:tc>
      </w:tr>
    </w:tbl>
    <w:p>
      <w:pPr>
        <w:spacing w:after="60"/>
      </w:pPr>
    </w:p>
    <w:p>
      <w:pPr>
        <w:spacing w:after="120" w:line="276"/>
        <w:jc w:val="both"/>
      </w:pPr>
      <w:r>
        <w:rPr>
          <w:rFonts w:ascii="Verdana" w:cs="Verdana" w:eastAsia="Verdana" w:hAnsi="Verdana"/>
        </w:rPr>
        <w:t xml:space="preserve">Revenue neutrality is a related argument. Where the tax demanded would have been fully available as credit, for example RCM that the payer could take as ITC at once, there is no motive to evade. It does not remove tax and interest, but it is a strong argument against the extended period and penalty.</w:t>
      </w:r>
    </w:p>
    <w:p>
      <w:pPr>
        <w:spacing w:after="120" w:line="276"/>
        <w:jc w:val="both"/>
      </w:pPr>
      <w:r>
        <w:rPr>
          <w:rFonts w:ascii="Verdana" w:cs="Verdana" w:eastAsia="Verdana" w:hAnsi="Verdana"/>
        </w:rPr>
        <w:t xml:space="preserve">Whether one notice can cover several financial years is disputed. The Kerala, Madras and Bombay High Courts have required year-wise proceedings; the Delhi and Allahabad High Courts have upheld consolidated notices, mainly in fraud cases, and the Supreme Court dismissed the SLPs against two of the Delhi rulings without laying down the law. A later Bombay High Court bench referred the question to a larger bench in April 2026, and in January 2026 the Supreme Court issued notice on the Revenue's appeal against the Kerala High Court ruling. The issue is pending; raise the objection in the reply and in appeal.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Central and State officers on the same subject</w:t>
            </w:r>
          </w:p>
          <w:p>
            <w:pPr>
              <w:spacing w:after="60" w:line="260"/>
            </w:pPr>
            <w:r>
              <w:rPr>
                <w:rFonts w:ascii="Verdana" w:cs="Verdana" w:eastAsia="Verdana" w:hAnsi="Verdana"/>
                <w:b/>
                <w:bCs/>
                <w:sz w:val="20"/>
                <w:szCs w:val="20"/>
              </w:rPr>
              <w:t xml:space="preserve">Armour Security (India) Ltd. v. Commissioner, CGST, Delhi East (Supreme Court, 2025):</w:t>
            </w:r>
            <w:r>
              <w:rPr>
                <w:rFonts w:ascii="Verdana" w:cs="Verdana" w:eastAsia="Verdana" w:hAnsi="Verdana"/>
                <w:sz w:val="20"/>
                <w:szCs w:val="20"/>
              </w:rPr>
              <w:t xml:space="preserve"> Under section 6(2)(b) of the CGST Act, once one authority (Central or State) has initiated proceedings on a subject matter by issuing a show cause notice, the other authority cannot initiate proceedings on the same subject matter. Summons and inquiries are not "proceedings" for this bar. The Court gave guidelines for cooperation between the two administrations.</w:t>
            </w:r>
          </w:p>
          <w:p>
            <w:pPr>
              <w:spacing w:after="60" w:line="260"/>
            </w:pPr>
            <w:r>
              <w:rPr>
                <w:rFonts w:ascii="Verdana" w:cs="Verdana" w:eastAsia="Verdana" w:hAnsi="Verdana"/>
                <w:sz w:val="20"/>
                <w:szCs w:val="20"/>
              </w:rPr>
              <w:t xml:space="preserve">Practical point: when a second notice arrives from the other administration, compare the period, the issue and the amount. If they overlap, inform both authorities in writing with copies of the first notice.</w:t>
            </w:r>
          </w:p>
        </w:tc>
      </w:tr>
    </w:tbl>
    <w:p>
      <w:pPr>
        <w:spacing w:after="60"/>
      </w:pPr>
    </w:p>
    <w:p>
      <w:pPr>
        <w:pStyle w:val="Heading2"/>
        <w:keepNext/>
        <w:spacing w:after="120" w:before="240"/>
      </w:pPr>
      <w:r>
        <w:rPr>
          <w:rFonts w:ascii="Verdana" w:cs="Verdana" w:eastAsia="Verdana" w:hAnsi="Verdana"/>
        </w:rPr>
        <w:t xml:space="preserve">36.10 Recovery (Sections 78 and 79)</w:t>
      </w:r>
    </w:p>
    <w:p>
      <w:pPr>
        <w:spacing w:after="120" w:line="276"/>
        <w:jc w:val="both"/>
      </w:pPr>
      <w:r>
        <w:rPr>
          <w:rFonts w:ascii="Verdana" w:cs="Verdana" w:eastAsia="Verdana" w:hAnsi="Verdana"/>
        </w:rPr>
        <w:t xml:space="preserve">An amount confirmed by an order must be paid within three months of service (section 78), unless the officer, for recorded reasons, requires earlier payment. The summary of the order in DRC-07 becomes the recovery demand. An appeal with the pre-deposit stays recovery of the balance (sections 107(7) and 112(9)).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8"/>
        <w:gridCol w:w="4711"/>
        <w:gridCol w:w="1929"/>
      </w:tblGrid>
      <w:tr>
        <w:trPr>
          <w:cantSplit/>
          <w:tblHeader/>
        </w:trPr>
        <w:tc>
          <w:tcPr>
            <w:tcW w:type="dxa" w:w="299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Mode under section 79(1)</w:t>
            </w:r>
          </w:p>
        </w:tc>
        <w:tc>
          <w:tcPr>
            <w:tcW w:type="dxa" w:w="471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How it works</w:t>
            </w:r>
          </w:p>
        </w:tc>
        <w:tc>
          <w:tcPr>
            <w:tcW w:type="dxa" w:w="192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Form</w:t>
            </w:r>
          </w:p>
        </w:tc>
      </w:tr>
      <w:tr>
        <w:trPr>
          <w:cantSplit/>
        </w:trPr>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 Deduction from money due</w:t>
            </w:r>
          </w:p>
        </w:tc>
        <w:tc>
          <w:tcPr>
            <w:tcW w:type="dxa" w:w="47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Officer adjusts amounts owed by any Government department, such as refunds</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DRC-09</w:t>
            </w:r>
          </w:p>
        </w:tc>
      </w:tr>
      <w:tr>
        <w:trPr>
          <w:cantSplit/>
        </w:trPr>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 Detention and sale of goods</w:t>
            </w:r>
          </w:p>
        </w:tc>
        <w:tc>
          <w:tcPr>
            <w:tcW w:type="dxa" w:w="47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under the control of officers are detained and sold</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DRC-10, DRC-11, DRC-12</w:t>
            </w:r>
          </w:p>
        </w:tc>
      </w:tr>
      <w:tr>
        <w:trPr>
          <w:cantSplit/>
        </w:trPr>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 Garnishee notice</w:t>
            </w:r>
          </w:p>
        </w:tc>
        <w:tc>
          <w:tcPr>
            <w:tcW w:type="dxa" w:w="47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Debtors, banks or anyone holding money for the defaulter are directed to pay the Government</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DRC-13, DRC-14</w:t>
            </w:r>
          </w:p>
        </w:tc>
      </w:tr>
      <w:tr>
        <w:trPr>
          <w:cantSplit/>
        </w:trPr>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 Distraint of property</w:t>
            </w:r>
          </w:p>
        </w:tc>
        <w:tc>
          <w:tcPr>
            <w:tcW w:type="dxa" w:w="47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Movable or immovable property is attached and sold</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DRC-16, DRC-17</w:t>
            </w:r>
          </w:p>
        </w:tc>
      </w:tr>
      <w:tr>
        <w:trPr>
          <w:cantSplit/>
        </w:trPr>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 Certificate to Collector</w:t>
            </w:r>
          </w:p>
        </w:tc>
        <w:tc>
          <w:tcPr>
            <w:tcW w:type="dxa" w:w="47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Recovered as arrears of land revenue</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DRC-18</w:t>
            </w:r>
          </w:p>
        </w:tc>
      </w:tr>
      <w:tr>
        <w:trPr>
          <w:cantSplit/>
        </w:trPr>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 Magistrate</w:t>
            </w:r>
          </w:p>
        </w:tc>
        <w:tc>
          <w:tcPr>
            <w:tcW w:type="dxa" w:w="47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Recovered as if it were a fine</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DRC-19</w:t>
            </w:r>
          </w:p>
        </w:tc>
      </w:tr>
    </w:tbl>
    <w:p>
      <w:pPr>
        <w:spacing w:after="60"/>
      </w:pPr>
    </w:p>
    <w:p>
      <w:pPr>
        <w:spacing w:after="120" w:line="276"/>
        <w:jc w:val="both"/>
      </w:pPr>
      <w:r>
        <w:rPr>
          <w:rFonts w:ascii="Verdana" w:cs="Verdana" w:eastAsia="Verdana" w:hAnsi="Verdana"/>
        </w:rPr>
        <w:t xml:space="preserve">A bank or debtor who receives a DRC-13 and ignores it becomes a defaulter for that amount. Clients should route every DRC-13 to their tax team the same day.</w:t>
      </w:r>
    </w:p>
    <w:p>
      <w:pPr>
        <w:pStyle w:val="Heading2"/>
        <w:keepNext/>
        <w:spacing w:after="120" w:before="240"/>
      </w:pPr>
      <w:r>
        <w:rPr>
          <w:rFonts w:ascii="Verdana" w:cs="Verdana" w:eastAsia="Verdana" w:hAnsi="Verdana"/>
        </w:rPr>
        <w:t xml:space="preserve">36.11 Provisional Attachment (Section 83)</w:t>
      </w:r>
    </w:p>
    <w:p>
      <w:pPr>
        <w:spacing w:after="120" w:line="276"/>
        <w:jc w:val="both"/>
      </w:pPr>
      <w:r>
        <w:rPr>
          <w:rFonts w:ascii="Verdana" w:cs="Verdana" w:eastAsia="Verdana" w:hAnsi="Verdana"/>
        </w:rPr>
        <w:t xml:space="preserve">During proceedings under sections 62, 63, 64, 67, 73, 74 or 74A, the Commissioner can provisionally attach any property, including bank accounts, of the taxable person or of a person covered by section 122(1A), if he is of the opinion that it is necessary to protect the revenue. The order is in DRC-22. The attachment ceases after one year from the order. The person may file objections within seven days (rule 159(5)) and must be heard.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Provisional attachment is a drastic power</w:t>
            </w:r>
          </w:p>
          <w:p>
            <w:pPr>
              <w:spacing w:after="60" w:line="260"/>
            </w:pPr>
            <w:r>
              <w:rPr>
                <w:rFonts w:ascii="Verdana" w:cs="Verdana" w:eastAsia="Verdana" w:hAnsi="Verdana"/>
                <w:b/>
                <w:bCs/>
                <w:sz w:val="20"/>
                <w:szCs w:val="20"/>
              </w:rPr>
              <w:t xml:space="preserve">Radha Krishan Industries v. State of Himachal Pradesh (Supreme Court, 2021):</w:t>
            </w:r>
            <w:r>
              <w:rPr>
                <w:rFonts w:ascii="Verdana" w:cs="Verdana" w:eastAsia="Verdana" w:hAnsi="Verdana"/>
                <w:sz w:val="20"/>
                <w:szCs w:val="20"/>
              </w:rPr>
              <w:t xml:space="preserve"> Provisional attachment is draconian and must be based on tangible material showing that it is necessary to protect revenue, not on a mere possibility. The Commissioner must personally form the opinion, give an opportunity of hearing on objections, and pass a reasoned order. Attachment of a person's receivables from others was set aside on the facts.</w:t>
            </w:r>
          </w:p>
        </w:tc>
      </w:tr>
    </w:tbl>
    <w:p>
      <w:pPr>
        <w:spacing w:after="60"/>
      </w:pPr>
    </w:p>
    <w:p>
      <w:pPr>
        <w:pStyle w:val="Heading2"/>
        <w:keepNext/>
        <w:spacing w:after="120" w:before="240"/>
      </w:pPr>
      <w:r>
        <w:rPr>
          <w:rFonts w:ascii="Verdana" w:cs="Verdana" w:eastAsia="Verdana" w:hAnsi="Verdana"/>
        </w:rPr>
        <w:t xml:space="preserve">36.12 Instalments, Rectification and Liability of Others</w:t>
      </w:r>
    </w:p>
    <w:p>
      <w:pPr>
        <w:spacing w:after="120" w:line="276"/>
        <w:jc w:val="both"/>
      </w:pPr>
      <w:r>
        <w:rPr>
          <w:rFonts w:ascii="Verdana" w:cs="Verdana" w:eastAsia="Verdana" w:hAnsi="Verdana"/>
        </w:rPr>
        <w:t xml:space="preserve">Section 80 and rule 158 allow the Commissioner to extend time or permit payment in up to 24 monthly instalments, with interest, on an application in DRC-20. Amounts self-assessed in a return are not eligible. Instalments are not allowed where the amount is less than Rs. 25,000, where the person has already defaulted on another amount for which recovery is under way, or where the condition in rule 158(2)(b) relating to instalments in the preceding financial year is attracted. Default in any one instalment makes the whole balance payable at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185: Instalments under section 80</w:t>
            </w:r>
          </w:p>
          <w:p>
            <w:pPr>
              <w:spacing w:after="60" w:line="260"/>
            </w:pPr>
            <w:r>
              <w:rPr>
                <w:rFonts w:ascii="Verdana" w:cs="Verdana" w:eastAsia="Verdana" w:hAnsi="Verdana"/>
                <w:sz w:val="20"/>
                <w:szCs w:val="20"/>
              </w:rPr>
              <w:t xml:space="preserve">Kavya Garments has a confirmed demand of Rs. 18,00,000 and accepts it. It applies in DRC-20. The Commissioner allows 24 monthly instalments of Rs. 75,000 each, with interest under section 50 on the outstanding balance. If the eighth instalment is missed, the unpaid balance of Rs. 12,75,000 (17 x Rs. 75,000) becomes payable at once and can be recovered under section 79.</w:t>
            </w:r>
          </w:p>
        </w:tc>
      </w:tr>
    </w:tbl>
    <w:p>
      <w:pPr>
        <w:spacing w:after="60"/>
      </w:pPr>
    </w:p>
    <w:p>
      <w:pPr>
        <w:spacing w:after="120" w:line="276"/>
        <w:jc w:val="both"/>
      </w:pPr>
      <w:r>
        <w:rPr>
          <w:rFonts w:ascii="Verdana" w:cs="Verdana" w:eastAsia="Verdana" w:hAnsi="Verdana"/>
        </w:rPr>
        <w:t xml:space="preserve">Section 161 allows any authority to rectify an error apparent on the face of the record within three months of the order, on its own or on the taxpayer's application, but not after six months, except for purely clerical or arithmetical errors. A rectification that affects a person adversely needs a hearing.</w:t>
      </w:r>
    </w:p>
    <w:p>
      <w:pPr>
        <w:spacing w:after="120" w:line="276"/>
        <w:jc w:val="both"/>
      </w:pPr>
      <w:r>
        <w:rPr>
          <w:rFonts w:ascii="Verdana" w:cs="Verdana" w:eastAsia="Verdana" w:hAnsi="Verdana"/>
        </w:rPr>
        <w:t xml:space="preserve">Sections 85 to 94 decide who else pays. On transfer of a business, transferor and transferee are jointly and severally liable for tax up to the transfer (section 85). Agents and principals (section 86), amalgamating companies (section 87) and companies in liquidation (section 88) are covered. Directors of a private company are jointly and severally liable for its unrecovered tax unless they prove that non-recovery is not due to their gross neglect, misfeasance or breach of duty (section 89). Partners, trustees, legal heirs and others follow in sections 90 to 94.</w:t>
      </w:r>
    </w:p>
    <w:p>
      <w:pPr>
        <w:pStyle w:val="Heading2"/>
        <w:keepNext/>
        <w:spacing w:after="120" w:before="240"/>
      </w:pPr>
      <w:r>
        <w:rPr>
          <w:rFonts w:ascii="Verdana" w:cs="Verdana" w:eastAsia="Verdana" w:hAnsi="Verdana"/>
        </w:rPr>
        <w:t xml:space="preserve">36.13 Limitation Extensions During COVID</w:t>
      </w:r>
    </w:p>
    <w:p>
      <w:pPr>
        <w:spacing w:after="120" w:line="276"/>
        <w:jc w:val="both"/>
      </w:pPr>
      <w:r>
        <w:rPr>
          <w:rFonts w:ascii="Verdana" w:cs="Verdana" w:eastAsia="Verdana" w:hAnsi="Verdana"/>
        </w:rPr>
        <w:t xml:space="preserve">The Supreme Court, in its suo motu proceedings, excluded 15 March 2020 to 28 February 2022 in computing limitation for judicial and quasi-judicial proceedings. Under section 168A, Notification 13/2022-Central Tax excluded 1 March 2020 to 28 February 2022 for refunds and erroneous refund demands and extended the section 73 order limit for FY 2017-18; Notifications 9/2023 and 56/2023 extended order limits for FY 2017-18 to 2019-20. High Courts differ on the validity of the later extensions and the question is before the Supreme Court.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Sections 73 and 74 govern demands up to FY 2023-24; section 74A governs FY 2024-25 onwards with a 42-month notice limit and a 12-month order limit.</w:t>
            </w:r>
          </w:p>
          <w:p>
            <w:pPr>
              <w:spacing w:after="60" w:line="260"/>
            </w:pPr>
            <w:r>
              <w:rPr>
                <w:rFonts w:ascii="Verdana" w:cs="Verdana" w:eastAsia="Verdana" w:hAnsi="Verdana"/>
                <w:sz w:val="20"/>
                <w:szCs w:val="20"/>
              </w:rPr>
              <w:t xml:space="preserve">•  Interest under section 50 is mandatory; penalties fall sharply with early payment: nil before notice or within the window in non-fraud cases, 15%, 25% and 50% in fraud cases.</w:t>
            </w:r>
          </w:p>
          <w:p>
            <w:pPr>
              <w:spacing w:after="60" w:line="260"/>
            </w:pPr>
            <w:r>
              <w:rPr>
                <w:rFonts w:ascii="Verdana" w:cs="Verdana" w:eastAsia="Verdana" w:hAnsi="Verdana"/>
                <w:sz w:val="20"/>
                <w:szCs w:val="20"/>
              </w:rPr>
              <w:t xml:space="preserve">•  DRC-01A under rule 142(1A) is the cheapest point to settle or to stop a wrong notice.</w:t>
            </w:r>
          </w:p>
          <w:p>
            <w:pPr>
              <w:spacing w:after="60" w:line="260"/>
            </w:pPr>
            <w:r>
              <w:rPr>
                <w:rFonts w:ascii="Verdana" w:cs="Verdana" w:eastAsia="Verdana" w:hAnsi="Verdana"/>
                <w:sz w:val="20"/>
                <w:szCs w:val="20"/>
              </w:rPr>
              <w:t xml:space="preserve">•  The notice is the foundation: the order cannot exceed it or rest on new grounds (section 75(7)); hearing is required and adjournments are limited to three.</w:t>
            </w:r>
          </w:p>
          <w:p>
            <w:pPr>
              <w:spacing w:after="60" w:line="260"/>
            </w:pPr>
            <w:r>
              <w:rPr>
                <w:rFonts w:ascii="Verdana" w:cs="Verdana" w:eastAsia="Verdana" w:hAnsi="Verdana"/>
                <w:sz w:val="20"/>
                <w:szCs w:val="20"/>
              </w:rPr>
              <w:t xml:space="preserve">•  Extended period needs deliberate suppression (Pushpam, Uniworth); parallel proceedings on the same subject are barred once one authority issues a notice (Armour Security).</w:t>
            </w:r>
          </w:p>
          <w:p>
            <w:pPr>
              <w:spacing w:after="60" w:line="260"/>
            </w:pPr>
            <w:r>
              <w:rPr>
                <w:rFonts w:ascii="Verdana" w:cs="Verdana" w:eastAsia="Verdana" w:hAnsi="Verdana"/>
                <w:sz w:val="20"/>
                <w:szCs w:val="20"/>
              </w:rPr>
              <w:t xml:space="preserve">•  Recovery follows three months after the order through DRC-07, garnishee notices in DRC-13 and other modes; provisional attachment lasts one year and must follow Radha Krishan.</w:t>
            </w:r>
          </w:p>
          <w:p>
            <w:pPr>
              <w:spacing w:after="60" w:line="260"/>
            </w:pPr>
            <w:r>
              <w:rPr>
                <w:rFonts w:ascii="Verdana" w:cs="Verdana" w:eastAsia="Verdana" w:hAnsi="Verdana"/>
                <w:sz w:val="20"/>
                <w:szCs w:val="20"/>
              </w:rPr>
              <w:t xml:space="preserve">•  Instalments up to 24 months, rectification within three months, and liability of transferees and private company directors complete the recovery picture.</w:t>
            </w:r>
          </w:p>
        </w:tc>
      </w:tr>
    </w:tbl>
    <w:p>
      <w:pPr>
        <w:pStyle w:val="Heading1"/>
        <w:pageBreakBefore/>
        <w:spacing w:after="200" w:before="0"/>
      </w:pPr>
      <w:r>
        <w:rPr>
          <w:rFonts w:ascii="Verdana" w:cs="Verdana" w:eastAsia="Verdana" w:hAnsi="Verdana"/>
        </w:rPr>
        <w:t xml:space="preserve">37. Inspection, Search, Seizure, Summons and Arrest (Sections 67 to 72, 132)</w:t>
      </w:r>
    </w:p>
    <w:p>
      <w:pPr>
        <w:spacing w:after="120" w:line="276"/>
        <w:jc w:val="both"/>
      </w:pPr>
      <w:r>
        <w:rPr>
          <w:rFonts w:ascii="Verdana" w:cs="Verdana" w:eastAsia="Verdana" w:hAnsi="Verdana"/>
        </w:rPr>
        <w:t xml:space="preserve">These are the enforcement powers of the law. They are used where the department suspects evasion rather than an honest error, and they intrude on property and liberty. The law therefore attaches conditions to each power, and the courts insist on them. A professional must know both the powers and the limits.</w:t>
      </w:r>
    </w:p>
    <w:p>
      <w:pPr>
        <w:pStyle w:val="Heading2"/>
        <w:keepNext/>
        <w:spacing w:after="120" w:before="240"/>
      </w:pPr>
      <w:r>
        <w:rPr>
          <w:rFonts w:ascii="Verdana" w:cs="Verdana" w:eastAsia="Verdana" w:hAnsi="Verdana"/>
        </w:rPr>
        <w:t xml:space="preserve">37.1 Inspection, Search and Seizure (Section 67)</w:t>
      </w:r>
    </w:p>
    <w:p>
      <w:pPr>
        <w:spacing w:after="120" w:line="276"/>
        <w:jc w:val="both"/>
      </w:pPr>
      <w:r>
        <w:rPr>
          <w:rFonts w:ascii="Verdana" w:cs="Verdana" w:eastAsia="Verdana" w:hAnsi="Verdana"/>
        </w:rPr>
        <w:t xml:space="preserve">An officer of the rank of Joint Commissioner or above may authorise an inspection in INS-01 where he has reasons to believe that a taxable person has suppressed transactions, claimed excess ITC or otherwise contravened the law to evade tax, or that a transporter or warehouse keeper holds goods that escaped tax. If he has reasons to believe that goods liable to confiscation or relevant documents are hidden, he may authorise a search and seizure.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5354"/>
        <w:gridCol w:w="2143"/>
      </w:tblGrid>
      <w:tr>
        <w:trPr>
          <w:cantSplit/>
          <w:tblHeader/>
        </w:trPr>
        <w:tc>
          <w:tcPr>
            <w:tcW w:type="dxa" w:w="214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Step</w:t>
            </w:r>
          </w:p>
        </w:tc>
        <w:tc>
          <w:tcPr>
            <w:tcW w:type="dxa" w:w="5354"/>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Rule of law</w:t>
            </w:r>
          </w:p>
        </w:tc>
        <w:tc>
          <w:tcPr>
            <w:tcW w:type="dxa" w:w="214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Form or reference</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Authorisation</w:t>
            </w:r>
          </w:p>
        </w:tc>
        <w:tc>
          <w:tcPr>
            <w:tcW w:type="dxa" w:w="535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Written, by Joint Commissioner or above, on reasons to believe</w:t>
            </w:r>
          </w:p>
        </w:tc>
        <w:tc>
          <w:tcPr>
            <w:tcW w:type="dxa" w:w="21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INS-01</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Seizure</w:t>
            </w:r>
          </w:p>
        </w:tc>
        <w:tc>
          <w:tcPr>
            <w:tcW w:type="dxa" w:w="535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Order listing goods, documents and things seized</w:t>
            </w:r>
          </w:p>
        </w:tc>
        <w:tc>
          <w:tcPr>
            <w:tcW w:type="dxa" w:w="21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INS-02</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Prohibition</w:t>
            </w:r>
          </w:p>
        </w:tc>
        <w:tc>
          <w:tcPr>
            <w:tcW w:type="dxa" w:w="535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Where seizure is not practical, order not to remove or deal with goods</w:t>
            </w:r>
          </w:p>
        </w:tc>
        <w:tc>
          <w:tcPr>
            <w:tcW w:type="dxa" w:w="21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INS-03</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Provisional release</w:t>
            </w:r>
          </w:p>
        </w:tc>
        <w:tc>
          <w:tcPr>
            <w:tcW w:type="dxa" w:w="535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 bond for value of goods and security equal to tax, interest and penalty</w:t>
            </w:r>
          </w:p>
        </w:tc>
        <w:tc>
          <w:tcPr>
            <w:tcW w:type="dxa" w:w="21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INS-04, rule 140</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Perishable goods</w:t>
            </w:r>
          </w:p>
        </w:tc>
        <w:tc>
          <w:tcPr>
            <w:tcW w:type="dxa" w:w="535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Released on payment or disposed of</w:t>
            </w:r>
          </w:p>
        </w:tc>
        <w:tc>
          <w:tcPr>
            <w:tcW w:type="dxa" w:w="21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INS-05, section 67(8)</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Show cause for goods</w:t>
            </w:r>
          </w:p>
        </w:tc>
        <w:tc>
          <w:tcPr>
            <w:tcW w:type="dxa" w:w="535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Within 6 months of seizure, extendable by 6 months; else goods returned</w:t>
            </w:r>
          </w:p>
        </w:tc>
        <w:tc>
          <w:tcPr>
            <w:tcW w:type="dxa" w:w="21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67(7)</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Documents</w:t>
            </w:r>
          </w:p>
        </w:tc>
        <w:tc>
          <w:tcPr>
            <w:tcW w:type="dxa" w:w="535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Kept only as long as needed; copies allowed unless prejudicial; return within 30 days of notice if not relied upon</w:t>
            </w:r>
          </w:p>
        </w:tc>
        <w:tc>
          <w:tcPr>
            <w:tcW w:type="dxa" w:w="21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67(3), 67(5)</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Procedure</w:t>
            </w:r>
          </w:p>
        </w:tc>
        <w:tc>
          <w:tcPr>
            <w:tcW w:type="dxa" w:w="535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Search provisions of the criminal procedure code (now the Bharatiya Nagarik Suraksha Sanhita, 2023) apply</w:t>
            </w:r>
          </w:p>
        </w:tc>
        <w:tc>
          <w:tcPr>
            <w:tcW w:type="dxa" w:w="21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67(10)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186: Provisional release of seized goods</w:t>
            </w:r>
          </w:p>
          <w:p>
            <w:pPr>
              <w:spacing w:after="60" w:line="260"/>
            </w:pPr>
            <w:r>
              <w:rPr>
                <w:rFonts w:ascii="Verdana" w:cs="Verdana" w:eastAsia="Verdana" w:hAnsi="Verdana"/>
                <w:sz w:val="20"/>
                <w:szCs w:val="20"/>
              </w:rPr>
              <w:t xml:space="preserve">On 12 March 2026 officers seized stock of Arora Electronics worth Rs. 40,00,000, alleging clearance without invoices. Tax at 18% is Rs. 7,20,000.</w:t>
            </w:r>
          </w:p>
          <w:p>
            <w:pPr>
              <w:spacing w:after="60" w:line="260"/>
            </w:pPr>
            <w:r>
              <w:rPr>
                <w:rFonts w:ascii="Verdana" w:cs="Verdana" w:eastAsia="Verdana" w:hAnsi="Verdana"/>
                <w:sz w:val="20"/>
                <w:szCs w:val="20"/>
              </w:rPr>
              <w:t xml:space="preserve">Step 1: Release in INS-04 needs a bond for the value of goods, Rs. 40,00,000, and security equal to the tax, interest and penalty payable. The officer quantified penalty at Rs. 7,20,000 and interest at Rs. 64,800. Bank guarantee: Rs. 7,20,000 + Rs. 7,20,000 + Rs. 64,800 = Rs. 15,04,800.</w:t>
            </w:r>
          </w:p>
          <w:p>
            <w:pPr>
              <w:spacing w:after="60" w:line="260"/>
            </w:pPr>
            <w:r>
              <w:rPr>
                <w:rFonts w:ascii="Verdana" w:cs="Verdana" w:eastAsia="Verdana" w:hAnsi="Verdana"/>
                <w:sz w:val="20"/>
                <w:szCs w:val="20"/>
              </w:rPr>
              <w:t xml:space="preserve">Step 2: Unless a show cause notice is issued by 12 September 2026 (six months), or by 12 March 2027 if the period is extended, the goods must be returned.</w:t>
            </w:r>
          </w:p>
        </w:tc>
      </w:tr>
    </w:tbl>
    <w:p>
      <w:pPr>
        <w:spacing w:after="60"/>
      </w:pPr>
    </w:p>
    <w:p>
      <w:pPr>
        <w:pStyle w:val="Heading2"/>
        <w:keepNext/>
        <w:spacing w:after="120" w:before="240"/>
      </w:pPr>
      <w:r>
        <w:rPr>
          <w:rFonts w:ascii="Verdana" w:cs="Verdana" w:eastAsia="Verdana" w:hAnsi="Verdana"/>
        </w:rPr>
        <w:t xml:space="preserve">37.2 Rights of the Taxpayer During a Search</w:t>
      </w:r>
    </w:p>
    <w:p>
      <w:pPr>
        <w:spacing w:after="120" w:line="276"/>
        <w:jc w:val="both"/>
      </w:pPr>
      <w:r>
        <w:rPr>
          <w:rFonts w:ascii="Verdana" w:cs="Verdana" w:eastAsia="Verdana" w:hAnsi="Verdana"/>
        </w:rPr>
        <w:t xml:space="preserve">A search must follow the authorisation. Officers must show it, conduct the search in the presence of two independent witnesses, prepare a panchnama with an inventory of what is seized, and give a copy. Women are searched only by women. The taxpayer may take copies of seized documents unless that would prejudice the investigation. There is no general right to have a lawyer present during questioning, though some High Courts have allowed presence at a visible but not audible distance.</w:t>
      </w:r>
    </w:p>
    <w:p>
      <w:pPr>
        <w:spacing w:after="120" w:line="276"/>
        <w:jc w:val="both"/>
      </w:pPr>
      <w:r>
        <w:rPr>
          <w:rFonts w:ascii="Verdana" w:cs="Verdana" w:eastAsia="Verdana" w:hAnsi="Verdana"/>
        </w:rPr>
        <w:t xml:space="preserve">Recovery of tax during search is the most abused area. CBIC Instruction No. 01/2022-23 (GST-Investigation) dated 25 May 2022 told officers that there can be no recovery by force or threat during search, inspection or investigation, and that a DRC-03 payment made during these stages must be truly voluntary. A taxpayer who pays under pressure can later seek a refund, and courts have directed refunds where payment was not voluntary.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Arrest and payment under GST</w:t>
            </w:r>
          </w:p>
          <w:p>
            <w:pPr>
              <w:spacing w:after="60" w:line="260"/>
            </w:pPr>
            <w:r>
              <w:rPr>
                <w:rFonts w:ascii="Verdana" w:cs="Verdana" w:eastAsia="Verdana" w:hAnsi="Verdana"/>
                <w:b/>
                <w:bCs/>
                <w:sz w:val="20"/>
                <w:szCs w:val="20"/>
              </w:rPr>
              <w:t xml:space="preserve">Radhika Agarwal v. Union of India (Supreme Court, 2025):</w:t>
            </w:r>
            <w:r>
              <w:rPr>
                <w:rFonts w:ascii="Verdana" w:cs="Verdana" w:eastAsia="Verdana" w:hAnsi="Verdana"/>
                <w:sz w:val="20"/>
                <w:szCs w:val="20"/>
              </w:rPr>
              <w:t xml:space="preserve"> The Court upheld the power of arrest under section 69 of the CGST Act and the Customs Act, but held that the Commissioner's "reasons to believe" must rest on material and be recorded, grounds of arrest must be given in writing, and anticipatory bail is available. Coercing a person to pay tax during search is not allowed; any payment must be voluntary, and a person may approach the court for refund of an amount paid under coercion.</w:t>
            </w:r>
          </w:p>
          <w:p>
            <w:pPr>
              <w:spacing w:after="60" w:line="260"/>
            </w:pPr>
            <w:r>
              <w:rPr>
                <w:rFonts w:ascii="Verdana" w:cs="Verdana" w:eastAsia="Verdana" w:hAnsi="Verdana"/>
                <w:b/>
                <w:bCs/>
                <w:sz w:val="20"/>
                <w:szCs w:val="20"/>
              </w:rPr>
              <w:t xml:space="preserve">P.V. Ramana Reddy v. Union of India (Telangana High Court, 2019):</w:t>
            </w:r>
            <w:r>
              <w:rPr>
                <w:rFonts w:ascii="Verdana" w:cs="Verdana" w:eastAsia="Verdana" w:hAnsi="Verdana"/>
                <w:sz w:val="20"/>
                <w:szCs w:val="20"/>
              </w:rPr>
              <w:t xml:space="preserve"> Arrest for offences under section 132 can be made even before the tax liability is determined in adjudication. The Supreme Court declined to interfere with this view.</w:t>
            </w:r>
          </w:p>
        </w:tc>
      </w:tr>
    </w:tbl>
    <w:p>
      <w:pPr>
        <w:spacing w:after="60"/>
      </w:pPr>
    </w:p>
    <w:p>
      <w:pPr>
        <w:pStyle w:val="Heading2"/>
        <w:keepNext/>
        <w:spacing w:after="120" w:before="240"/>
      </w:pPr>
      <w:r>
        <w:rPr>
          <w:rFonts w:ascii="Verdana" w:cs="Verdana" w:eastAsia="Verdana" w:hAnsi="Verdana"/>
        </w:rPr>
        <w:t xml:space="preserve">37.3 Summons (Section 70)</w:t>
      </w:r>
    </w:p>
    <w:p>
      <w:pPr>
        <w:spacing w:after="120" w:line="276"/>
        <w:jc w:val="both"/>
      </w:pPr>
      <w:r>
        <w:rPr>
          <w:rFonts w:ascii="Verdana" w:cs="Verdana" w:eastAsia="Verdana" w:hAnsi="Verdana"/>
        </w:rPr>
        <w:t xml:space="preserve">The proper officer may summon any person to give evidence or produce documents in an inquiry, with the powers of a civil court. The inquiry is a judicial proceeding for the purposes of the offence of giving false evidence. The person must attend in person or through an authorised representative as the officer directs. CBIC guidelines of August 2022 discourage summoning senior management in the first instance and ask that summons not be issued for routine information that can be called for by letter.</w:t>
      </w:r>
    </w:p>
    <w:p>
      <w:pPr>
        <w:pStyle w:val="ListParagraph"/>
        <w:numPr>
          <w:ilvl w:val="0"/>
          <w:numId w:val="2"/>
        </w:numPr>
        <w:spacing w:after="60" w:line="264"/>
      </w:pPr>
      <w:r>
        <w:rPr>
          <w:rFonts w:ascii="Verdana" w:cs="Verdana" w:eastAsia="Verdana" w:hAnsi="Verdana"/>
        </w:rPr>
        <w:t xml:space="preserve">Every summons from a CBIC officer must carry a DIN (Circular 122/41/2019-GST). A communication without DIN is invalid and treated as never issued, subject to the limited exceptions in the circular. The CBIC website allows the DIN to be verified online.</w:t>
      </w:r>
    </w:p>
    <w:p>
      <w:pPr>
        <w:pStyle w:val="ListParagraph"/>
        <w:numPr>
          <w:ilvl w:val="0"/>
          <w:numId w:val="2"/>
        </w:numPr>
        <w:spacing w:after="60" w:line="264"/>
      </w:pPr>
      <w:r>
        <w:rPr>
          <w:rFonts w:ascii="Verdana" w:cs="Verdana" w:eastAsia="Verdana" w:hAnsi="Verdana"/>
        </w:rPr>
        <w:t xml:space="preserve">Summons may be served electronically. Keep proof of service and of every attendance.</w:t>
      </w:r>
    </w:p>
    <w:p>
      <w:pPr>
        <w:pStyle w:val="ListParagraph"/>
        <w:numPr>
          <w:ilvl w:val="0"/>
          <w:numId w:val="2"/>
        </w:numPr>
        <w:spacing w:after="60" w:line="264"/>
      </w:pPr>
      <w:r>
        <w:rPr>
          <w:rFonts w:ascii="Verdana" w:cs="Verdana" w:eastAsia="Verdana" w:hAnsi="Verdana"/>
        </w:rPr>
        <w:t xml:space="preserve">A summons is not "proceedings" for the bar in section 6(2)(b), as held in Armour Security (Supreme Court, 2025). So a summons from one administration while the other investigates does not by itself breach the bar.</w:t>
      </w:r>
    </w:p>
    <w:p>
      <w:pPr>
        <w:pStyle w:val="ListParagraph"/>
        <w:numPr>
          <w:ilvl w:val="0"/>
          <w:numId w:val="2"/>
        </w:numPr>
        <w:spacing w:after="60" w:line="264"/>
      </w:pPr>
      <w:r>
        <w:rPr>
          <w:rFonts w:ascii="Verdana" w:cs="Verdana" w:eastAsia="Verdana" w:hAnsi="Verdana"/>
        </w:rPr>
        <w:t xml:space="preserve">A statement is evidence. Read it before signing, correct errors in your own hand, and ask for a copy.</w:t>
      </w:r>
    </w:p>
    <w:p>
      <w:pPr>
        <w:pStyle w:val="Heading2"/>
        <w:keepNext/>
        <w:spacing w:after="120" w:before="240"/>
      </w:pPr>
      <w:r>
        <w:rPr>
          <w:rFonts w:ascii="Verdana" w:cs="Verdana" w:eastAsia="Verdana" w:hAnsi="Verdana"/>
        </w:rPr>
        <w:t xml:space="preserve">37.4 Arrest (Section 69 read with Section 132)</w:t>
      </w:r>
    </w:p>
    <w:p>
      <w:pPr>
        <w:spacing w:after="120" w:line="276"/>
        <w:jc w:val="both"/>
      </w:pPr>
      <w:r>
        <w:rPr>
          <w:rFonts w:ascii="Verdana" w:cs="Verdana" w:eastAsia="Verdana" w:hAnsi="Verdana"/>
        </w:rPr>
        <w:t xml:space="preserve">The Commissioner may authorise arrest only where he has reasons to believe that the person has committed an offence under section 132(1)(a) to (d) punishable under section 132(1)(i) or (ii), or an offence under section 132(2). In practice this means tax evaded, ITC wrongly availed or refund wrongly taken above Rs. 2 crore, or a repeat offence. Offences above Rs. 5 crore under clauses (a) to (d) are cognizable and non-bailable; others are non-cognizable and bailable, and the arrested person must be released on bail by the Deputy or Assistant Commissioner.</w:t>
      </w:r>
    </w:p>
    <w:p>
      <w:pPr>
        <w:pStyle w:val="ListParagraph"/>
        <w:numPr>
          <w:ilvl w:val="0"/>
          <w:numId w:val="2"/>
        </w:numPr>
        <w:spacing w:after="60" w:line="264"/>
      </w:pPr>
      <w:r>
        <w:rPr>
          <w:rFonts w:ascii="Verdana" w:cs="Verdana" w:eastAsia="Verdana" w:hAnsi="Verdana"/>
        </w:rPr>
        <w:t xml:space="preserve">Grounds of arrest must be explained and given in writing as an annexure to the arrest memo (CBIC Instruction No. 01/2025-GST dated 13 January 2025), with acknowledgement.</w:t>
      </w:r>
    </w:p>
    <w:p>
      <w:pPr>
        <w:pStyle w:val="ListParagraph"/>
        <w:numPr>
          <w:ilvl w:val="0"/>
          <w:numId w:val="2"/>
        </w:numPr>
        <w:spacing w:after="60" w:line="264"/>
      </w:pPr>
      <w:r>
        <w:rPr>
          <w:rFonts w:ascii="Verdana" w:cs="Verdana" w:eastAsia="Verdana" w:hAnsi="Verdana"/>
        </w:rPr>
        <w:t xml:space="preserve">In cognizable cases the person must be produced before a Magistrate within 24 hours.</w:t>
      </w:r>
    </w:p>
    <w:p>
      <w:pPr>
        <w:pStyle w:val="ListParagraph"/>
        <w:numPr>
          <w:ilvl w:val="0"/>
          <w:numId w:val="2"/>
        </w:numPr>
        <w:spacing w:after="60" w:line="264"/>
      </w:pPr>
      <w:r>
        <w:rPr>
          <w:rFonts w:ascii="Verdana" w:cs="Verdana" w:eastAsia="Verdana" w:hAnsi="Verdana"/>
        </w:rPr>
        <w:t xml:space="preserve">Arrest is not routine; the guidelines of August 2022 require the need for arrest to be recorded, such as risk of tampering with evidence or of the person absconding.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187: Is arrest possible?</w:t>
            </w:r>
          </w:p>
          <w:p>
            <w:pPr>
              <w:spacing w:after="60" w:line="260"/>
            </w:pPr>
            <w:r>
              <w:rPr>
                <w:rFonts w:ascii="Verdana" w:cs="Verdana" w:eastAsia="Verdana" w:hAnsi="Verdana"/>
                <w:sz w:val="20"/>
                <w:szCs w:val="20"/>
              </w:rPr>
              <w:t xml:space="preserve">Case A: Singh Traders availed fake ITC of Rs. 6.2 crore. This exceeds Rs. 5 crore. The offence is cognizable and non-bailable; punishment up to 5 years with fine.</w:t>
            </w:r>
          </w:p>
          <w:p>
            <w:pPr>
              <w:spacing w:after="60" w:line="260"/>
            </w:pPr>
            <w:r>
              <w:rPr>
                <w:rFonts w:ascii="Verdana" w:cs="Verdana" w:eastAsia="Verdana" w:hAnsi="Verdana"/>
                <w:sz w:val="20"/>
                <w:szCs w:val="20"/>
              </w:rPr>
              <w:t xml:space="preserve">Case B: Verma Metals availed fake ITC of Rs. 3.4 crore. The amount is above Rs. 2 crore but not above Rs. 5 crore. Arrest can be authorised, but the offence is non-cognizable and bailable; punishment up to 3 years with fine.</w:t>
            </w:r>
          </w:p>
          <w:p>
            <w:pPr>
              <w:spacing w:after="60" w:line="260"/>
            </w:pPr>
            <w:r>
              <w:rPr>
                <w:rFonts w:ascii="Verdana" w:cs="Verdana" w:eastAsia="Verdana" w:hAnsi="Verdana"/>
                <w:sz w:val="20"/>
                <w:szCs w:val="20"/>
              </w:rPr>
              <w:t xml:space="preserve">Case C: Rao Enterprises issued invoices without supply involving tax of Rs. 1.4 crore. For this offence the threshold is Rs. 1 crore; punishment up to 1 year with fine, and the offence is bailable. Since the offence is punishable under section 132(1)(iii), not clause (i) or (ii), arrest under section 69 cannot be authorised unless it is a repeat offence.</w:t>
            </w:r>
          </w:p>
        </w:tc>
      </w:tr>
    </w:tbl>
    <w:p>
      <w:pPr>
        <w:spacing w:after="60"/>
      </w:pPr>
    </w:p>
    <w:p>
      <w:pPr>
        <w:pStyle w:val="Heading2"/>
        <w:keepNext/>
        <w:spacing w:after="120" w:before="240"/>
      </w:pPr>
      <w:r>
        <w:rPr>
          <w:rFonts w:ascii="Verdana" w:cs="Verdana" w:eastAsia="Verdana" w:hAnsi="Verdana"/>
        </w:rPr>
        <w:t xml:space="preserve">37.5 Goods in Movement and Officers to Assist</w:t>
      </w:r>
    </w:p>
    <w:p>
      <w:pPr>
        <w:spacing w:after="120" w:line="276"/>
        <w:jc w:val="both"/>
      </w:pPr>
      <w:r>
        <w:rPr>
          <w:rFonts w:ascii="Verdana" w:cs="Verdana" w:eastAsia="Verdana" w:hAnsi="Verdana"/>
        </w:rPr>
        <w:t xml:space="preserve">Section 68 requires the person in charge of a conveyance to carry prescribed documents, mainly the invoice and e-way bill, and allows officers to intercept and verify. Section 129 provides for detention and release on payment of penalty, and section 130 for confiscation where there is intent to evade. These are covered in the e-way bill chapter. Section 72 requires police, railways, customs, State and Central officers and others to assist GST officers.</w:t>
      </w:r>
    </w:p>
    <w:p>
      <w:pPr>
        <w:pStyle w:val="Heading2"/>
        <w:keepNext/>
        <w:spacing w:after="120" w:before="240"/>
      </w:pPr>
      <w:r>
        <w:rPr>
          <w:rFonts w:ascii="Verdana" w:cs="Verdana" w:eastAsia="Verdana" w:hAnsi="Verdana"/>
        </w:rPr>
        <w:t xml:space="preserve">37.6 A Practical Protocol for a Search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7497"/>
      </w:tblGrid>
      <w:tr>
        <w:trPr>
          <w:cantSplit/>
          <w:tblHeader/>
        </w:trPr>
        <w:tc>
          <w:tcPr>
            <w:tcW w:type="dxa" w:w="214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Stage</w:t>
            </w:r>
          </w:p>
        </w:tc>
        <w:tc>
          <w:tcPr>
            <w:tcW w:type="dxa" w:w="749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What the client should do</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 arrival</w:t>
            </w:r>
          </w:p>
        </w:tc>
        <w:tc>
          <w:tcPr>
            <w:tcW w:type="dxa" w:w="749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Ask to see the authorisation (INS-01) and identity cards; note names and DIN; call the tax adviser</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During search</w:t>
            </w:r>
          </w:p>
        </w:tc>
        <w:tc>
          <w:tcPr>
            <w:tcW w:type="dxa" w:w="749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Cooperate; do not obstruct or destroy anything; one senior person to accompany officers</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Witnesses</w:t>
            </w:r>
          </w:p>
        </w:tc>
        <w:tc>
          <w:tcPr>
            <w:tcW w:type="dxa" w:w="749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Ensure two independent witnesses; note their names</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Statements</w:t>
            </w:r>
          </w:p>
        </w:tc>
        <w:tc>
          <w:tcPr>
            <w:tcW w:type="dxa" w:w="749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Answer factually; do not guess figures; read before signing; ask for a copy</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Payment</w:t>
            </w:r>
          </w:p>
        </w:tc>
        <w:tc>
          <w:tcPr>
            <w:tcW w:type="dxa" w:w="749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Do not pay under pressure; if paying, record in writing that it is voluntary and under protest where applicable</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Panchnama</w:t>
            </w:r>
          </w:p>
        </w:tc>
        <w:tc>
          <w:tcPr>
            <w:tcW w:type="dxa" w:w="749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Check inventory of documents, devices and cash; get a copy signed by all</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Digital data</w:t>
            </w:r>
          </w:p>
        </w:tc>
        <w:tc>
          <w:tcPr>
            <w:tcW w:type="dxa" w:w="749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Record hash values or list of files copied from servers; ask for a copy</w:t>
            </w:r>
          </w:p>
        </w:tc>
      </w:tr>
      <w:tr>
        <w:trPr>
          <w:cantSplit/>
        </w:trPr>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After search</w:t>
            </w:r>
          </w:p>
        </w:tc>
        <w:tc>
          <w:tcPr>
            <w:tcW w:type="dxa" w:w="749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Prepare a note of events the same day; request copies of seized documents; diarise the six-month limit for seized goods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Inspection and search under section 67 need a written INS-01 authorisation by a Joint Commissioner or above, based on reasons to believe.</w:t>
            </w:r>
          </w:p>
          <w:p>
            <w:pPr>
              <w:spacing w:after="60" w:line="260"/>
            </w:pPr>
            <w:r>
              <w:rPr>
                <w:rFonts w:ascii="Verdana" w:cs="Verdana" w:eastAsia="Verdana" w:hAnsi="Verdana"/>
                <w:sz w:val="20"/>
                <w:szCs w:val="20"/>
              </w:rPr>
              <w:t xml:space="preserve">•  Seized goods can be released provisionally on bond and security in INS-04; without a notice within six months (extendable by six), goods must be returned.</w:t>
            </w:r>
          </w:p>
          <w:p>
            <w:pPr>
              <w:spacing w:after="60" w:line="260"/>
            </w:pPr>
            <w:r>
              <w:rPr>
                <w:rFonts w:ascii="Verdana" w:cs="Verdana" w:eastAsia="Verdana" w:hAnsi="Verdana"/>
                <w:sz w:val="20"/>
                <w:szCs w:val="20"/>
              </w:rPr>
              <w:t xml:space="preserve">•  Payment during search must be voluntary (Instruction 01/2022-23 and Radhika Agarwal); coerced payments can be recovered.</w:t>
            </w:r>
          </w:p>
          <w:p>
            <w:pPr>
              <w:spacing w:after="60" w:line="260"/>
            </w:pPr>
            <w:r>
              <w:rPr>
                <w:rFonts w:ascii="Verdana" w:cs="Verdana" w:eastAsia="Verdana" w:hAnsi="Verdana"/>
                <w:sz w:val="20"/>
                <w:szCs w:val="20"/>
              </w:rPr>
              <w:t xml:space="preserve">•  Summons under section 70 need a DIN, compel attendance and are not "proceedings" for the section 6(2)(b) bar.</w:t>
            </w:r>
          </w:p>
          <w:p>
            <w:pPr>
              <w:spacing w:after="60" w:line="260"/>
            </w:pPr>
            <w:r>
              <w:rPr>
                <w:rFonts w:ascii="Verdana" w:cs="Verdana" w:eastAsia="Verdana" w:hAnsi="Verdana"/>
                <w:sz w:val="20"/>
                <w:szCs w:val="20"/>
              </w:rPr>
              <w:t xml:space="preserve">•  Arrest needs reasons to believe on material, written grounds and production before a Magistrate within 24 hours; only offences above Rs. 5 crore are cognizable and non-bailable.</w:t>
            </w:r>
          </w:p>
          <w:p>
            <w:pPr>
              <w:spacing w:after="60" w:line="260"/>
            </w:pPr>
            <w:r>
              <w:rPr>
                <w:rFonts w:ascii="Verdana" w:cs="Verdana" w:eastAsia="Verdana" w:hAnsi="Verdana"/>
                <w:sz w:val="20"/>
                <w:szCs w:val="20"/>
              </w:rPr>
              <w:t xml:space="preserve">•  A written search protocol and a same-day note of events protect the client more than any later argument.</w:t>
            </w:r>
          </w:p>
        </w:tc>
      </w:tr>
    </w:tbl>
    <w:p>
      <w:pPr>
        <w:pStyle w:val="Heading1"/>
        <w:pageBreakBefore/>
        <w:spacing w:after="200" w:before="0"/>
      </w:pPr>
      <w:r>
        <w:rPr>
          <w:rFonts w:ascii="Verdana" w:cs="Verdana" w:eastAsia="Verdana" w:hAnsi="Verdana"/>
        </w:rPr>
        <w:t xml:space="preserve">38. Advance Rulings (Sections 95 to 106)</w:t>
      </w:r>
    </w:p>
    <w:p>
      <w:pPr>
        <w:spacing w:after="120" w:line="276"/>
        <w:jc w:val="both"/>
      </w:pPr>
      <w:r>
        <w:rPr>
          <w:rFonts w:ascii="Verdana" w:cs="Verdana" w:eastAsia="Verdana" w:hAnsi="Verdana"/>
        </w:rPr>
        <w:t xml:space="preserve">An advance ruling is a binding answer from a statutory authority on a question about a supply that the applicant is making or proposes to make. It gives certainty before the transaction, rather than a dispute after it. Each State has an Authority for Advance Ruling (AAR) with one Central and one State member, and an Appellate Authority (AAAR).</w:t>
      </w:r>
    </w:p>
    <w:p>
      <w:pPr>
        <w:pStyle w:val="Heading2"/>
        <w:keepNext/>
        <w:spacing w:after="120" w:before="240"/>
      </w:pPr>
      <w:r>
        <w:rPr>
          <w:rFonts w:ascii="Verdana" w:cs="Verdana" w:eastAsia="Verdana" w:hAnsi="Verdana"/>
        </w:rPr>
        <w:t xml:space="preserve">38.1 Who Can Apply and What Can Be Asked</w:t>
      </w:r>
    </w:p>
    <w:p>
      <w:pPr>
        <w:spacing w:after="120" w:line="276"/>
        <w:jc w:val="both"/>
      </w:pPr>
      <w:r>
        <w:rPr>
          <w:rFonts w:ascii="Verdana" w:cs="Verdana" w:eastAsia="Verdana" w:hAnsi="Verdana"/>
        </w:rPr>
        <w:t xml:space="preserve">Any registered person, or a person who wants to register, may apply in ARA-01 with a fee of Rs. 5,000 under CGST and Rs. 5,000 under SGST. Section 97(2) limits the questions to:</w:t>
      </w:r>
    </w:p>
    <w:p>
      <w:pPr>
        <w:pStyle w:val="ListParagraph"/>
        <w:numPr>
          <w:ilvl w:val="0"/>
          <w:numId w:val="2"/>
        </w:numPr>
        <w:spacing w:after="60" w:line="264"/>
      </w:pPr>
      <w:r>
        <w:rPr>
          <w:rFonts w:ascii="Verdana" w:cs="Verdana" w:eastAsia="Verdana" w:hAnsi="Verdana"/>
        </w:rPr>
        <w:t xml:space="preserve">classification of goods or services;</w:t>
      </w:r>
    </w:p>
    <w:p>
      <w:pPr>
        <w:pStyle w:val="ListParagraph"/>
        <w:numPr>
          <w:ilvl w:val="0"/>
          <w:numId w:val="2"/>
        </w:numPr>
        <w:spacing w:after="60" w:line="264"/>
      </w:pPr>
      <w:r>
        <w:rPr>
          <w:rFonts w:ascii="Verdana" w:cs="Verdana" w:eastAsia="Verdana" w:hAnsi="Verdana"/>
        </w:rPr>
        <w:t xml:space="preserve">applicability of a notification;</w:t>
      </w:r>
    </w:p>
    <w:p>
      <w:pPr>
        <w:pStyle w:val="ListParagraph"/>
        <w:numPr>
          <w:ilvl w:val="0"/>
          <w:numId w:val="2"/>
        </w:numPr>
        <w:spacing w:after="60" w:line="264"/>
      </w:pPr>
      <w:r>
        <w:rPr>
          <w:rFonts w:ascii="Verdana" w:cs="Verdana" w:eastAsia="Verdana" w:hAnsi="Verdana"/>
        </w:rPr>
        <w:t xml:space="preserve">determination of time and value of supply;</w:t>
      </w:r>
    </w:p>
    <w:p>
      <w:pPr>
        <w:pStyle w:val="ListParagraph"/>
        <w:numPr>
          <w:ilvl w:val="0"/>
          <w:numId w:val="2"/>
        </w:numPr>
        <w:spacing w:after="60" w:line="264"/>
      </w:pPr>
      <w:r>
        <w:rPr>
          <w:rFonts w:ascii="Verdana" w:cs="Verdana" w:eastAsia="Verdana" w:hAnsi="Verdana"/>
        </w:rPr>
        <w:t xml:space="preserve">admissibility of input tax credit;</w:t>
      </w:r>
    </w:p>
    <w:p>
      <w:pPr>
        <w:pStyle w:val="ListParagraph"/>
        <w:numPr>
          <w:ilvl w:val="0"/>
          <w:numId w:val="2"/>
        </w:numPr>
        <w:spacing w:after="60" w:line="264"/>
      </w:pPr>
      <w:r>
        <w:rPr>
          <w:rFonts w:ascii="Verdana" w:cs="Verdana" w:eastAsia="Verdana" w:hAnsi="Verdana"/>
        </w:rPr>
        <w:t xml:space="preserve">liability to pay tax on goods or services;</w:t>
      </w:r>
    </w:p>
    <w:p>
      <w:pPr>
        <w:pStyle w:val="ListParagraph"/>
        <w:numPr>
          <w:ilvl w:val="0"/>
          <w:numId w:val="2"/>
        </w:numPr>
        <w:spacing w:after="60" w:line="264"/>
      </w:pPr>
      <w:r>
        <w:rPr>
          <w:rFonts w:ascii="Verdana" w:cs="Verdana" w:eastAsia="Verdana" w:hAnsi="Verdana"/>
        </w:rPr>
        <w:t xml:space="preserve">whether the applicant must register; and</w:t>
      </w:r>
    </w:p>
    <w:p>
      <w:pPr>
        <w:pStyle w:val="ListParagraph"/>
        <w:numPr>
          <w:ilvl w:val="0"/>
          <w:numId w:val="2"/>
        </w:numPr>
        <w:spacing w:after="60" w:line="264"/>
      </w:pPr>
      <w:r>
        <w:rPr>
          <w:rFonts w:ascii="Verdana" w:cs="Verdana" w:eastAsia="Verdana" w:hAnsi="Verdana"/>
        </w:rPr>
        <w:t xml:space="preserve">whether a transaction amounts to a supply.</w:t>
      </w:r>
    </w:p>
    <w:p>
      <w:pPr>
        <w:spacing w:after="120" w:line="276"/>
        <w:jc w:val="both"/>
      </w:pPr>
      <w:r>
        <w:rPr>
          <w:rFonts w:ascii="Verdana" w:cs="Verdana" w:eastAsia="Verdana" w:hAnsi="Verdana"/>
        </w:rPr>
        <w:t xml:space="preserve">Place of supply is not in the list. AARs have consistently refused to answer whether a supply is inter-State or intra-State, or whether it is an export. The question must relate to the applicant's own supply; a recipient cannot ask about the supplier's tax.</w:t>
      </w:r>
    </w:p>
    <w:p>
      <w:pPr>
        <w:pStyle w:val="Heading2"/>
        <w:keepNext/>
        <w:spacing w:after="120" w:before="240"/>
      </w:pPr>
      <w:r>
        <w:rPr>
          <w:rFonts w:ascii="Verdana" w:cs="Verdana" w:eastAsia="Verdana" w:hAnsi="Verdana"/>
        </w:rPr>
        <w:t xml:space="preserve">38.2 Procedure and Time Limits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4711"/>
        <w:gridCol w:w="2143"/>
      </w:tblGrid>
      <w:tr>
        <w:trPr>
          <w:cantSplit/>
          <w:tblHeader/>
        </w:trPr>
        <w:tc>
          <w:tcPr>
            <w:tcW w:type="dxa" w:w="2784"/>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Stage</w:t>
            </w:r>
          </w:p>
        </w:tc>
        <w:tc>
          <w:tcPr>
            <w:tcW w:type="dxa" w:w="471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Time limit</w:t>
            </w:r>
          </w:p>
        </w:tc>
        <w:tc>
          <w:tcPr>
            <w:tcW w:type="dxa" w:w="214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Reference</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AAR ruling</w:t>
            </w:r>
          </w:p>
        </w:tc>
        <w:tc>
          <w:tcPr>
            <w:tcW w:type="dxa" w:w="47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Within 90 days of receipt of application</w:t>
            </w:r>
          </w:p>
        </w:tc>
        <w:tc>
          <w:tcPr>
            <w:tcW w:type="dxa" w:w="21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98(6)</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Appeal to AAAR</w:t>
            </w:r>
          </w:p>
        </w:tc>
        <w:tc>
          <w:tcPr>
            <w:tcW w:type="dxa" w:w="47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Within 30 days of communication, plus 30 days on sufficient cause; fee Rs. 10,000 each</w:t>
            </w:r>
          </w:p>
        </w:tc>
        <w:tc>
          <w:tcPr>
            <w:tcW w:type="dxa" w:w="21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100, ARA-02</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AAAR ruling</w:t>
            </w:r>
          </w:p>
        </w:tc>
        <w:tc>
          <w:tcPr>
            <w:tcW w:type="dxa" w:w="47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Within 90 days of filing appeal</w:t>
            </w:r>
          </w:p>
        </w:tc>
        <w:tc>
          <w:tcPr>
            <w:tcW w:type="dxa" w:w="21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101(2)</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Members of AAR differ</w:t>
            </w:r>
          </w:p>
        </w:tc>
        <w:tc>
          <w:tcPr>
            <w:tcW w:type="dxa" w:w="47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Question referred to AAAR</w:t>
            </w:r>
          </w:p>
        </w:tc>
        <w:tc>
          <w:tcPr>
            <w:tcW w:type="dxa" w:w="21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98(5)</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Members of AAAR differ</w:t>
            </w:r>
          </w:p>
        </w:tc>
        <w:tc>
          <w:tcPr>
            <w:tcW w:type="dxa" w:w="47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ruling on that question</w:t>
            </w:r>
          </w:p>
        </w:tc>
        <w:tc>
          <w:tcPr>
            <w:tcW w:type="dxa" w:w="21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101(3)</w:t>
            </w:r>
          </w:p>
        </w:tc>
      </w:tr>
    </w:tbl>
    <w:p>
      <w:pPr>
        <w:spacing w:after="60"/>
      </w:pPr>
    </w:p>
    <w:p>
      <w:pPr>
        <w:spacing w:after="120" w:line="276"/>
        <w:jc w:val="both"/>
      </w:pPr>
      <w:r>
        <w:rPr>
          <w:rFonts w:ascii="Verdana" w:cs="Verdana" w:eastAsia="Verdana" w:hAnsi="Verdana"/>
        </w:rPr>
        <w:t xml:space="preserve">The AAR must reject the application where the question is already pending or decided in any proceedings in the applicant's case under the Act (proviso to section 98(2)). A scrutiny notice or show cause notice on the same issue is usually fatal, so apply before the issue reaches the department.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188: Advance ruling timeline</w:t>
            </w:r>
          </w:p>
          <w:p>
            <w:pPr>
              <w:spacing w:after="60" w:line="260"/>
            </w:pPr>
            <w:r>
              <w:rPr>
                <w:rFonts w:ascii="Verdana" w:cs="Verdana" w:eastAsia="Verdana" w:hAnsi="Verdana"/>
                <w:sz w:val="20"/>
                <w:szCs w:val="20"/>
              </w:rPr>
              <w:t xml:space="preserve">Deshmukh Foods Pvt. Ltd. filed ARA-01 on 12 January 2026 asking whether its ready-to-eat parathas are covered by the nil entry for Indian breads. Fee: Rs. 5,000 + Rs. 5,000 = Rs. 10,000.</w:t>
            </w:r>
          </w:p>
          <w:p>
            <w:pPr>
              <w:spacing w:after="60" w:line="260"/>
            </w:pPr>
            <w:r>
              <w:rPr>
                <w:rFonts w:ascii="Verdana" w:cs="Verdana" w:eastAsia="Verdana" w:hAnsi="Verdana"/>
                <w:sz w:val="20"/>
                <w:szCs w:val="20"/>
              </w:rPr>
              <w:t xml:space="preserve">Step 1: The ruling is due within 90 days, by 12 April 2026.</w:t>
            </w:r>
          </w:p>
          <w:p>
            <w:pPr>
              <w:spacing w:after="60" w:line="260"/>
            </w:pPr>
            <w:r>
              <w:rPr>
                <w:rFonts w:ascii="Verdana" w:cs="Verdana" w:eastAsia="Verdana" w:hAnsi="Verdana"/>
                <w:sz w:val="20"/>
                <w:szCs w:val="20"/>
              </w:rPr>
              <w:t xml:space="preserve">Step 2: The ruling, against the company, was communicated on 20 April 2026. Appeal to AAAR lies by 20 May 2026, and with condonation up to 19 June 2026. Fee: Rs. 10,000 + Rs. 10,000 = Rs. 20,000.</w:t>
            </w:r>
          </w:p>
        </w:tc>
      </w:tr>
    </w:tbl>
    <w:p>
      <w:pPr>
        <w:spacing w:after="60"/>
      </w:pPr>
    </w:p>
    <w:p>
      <w:pPr>
        <w:pStyle w:val="Heading2"/>
        <w:keepNext/>
        <w:spacing w:after="120" w:before="240"/>
      </w:pPr>
      <w:r>
        <w:rPr>
          <w:rFonts w:ascii="Verdana" w:cs="Verdana" w:eastAsia="Verdana" w:hAnsi="Verdana"/>
        </w:rPr>
        <w:t xml:space="preserve">38.3 Effect of a Ruling (Sections 103 and 104)</w:t>
      </w:r>
    </w:p>
    <w:p>
      <w:pPr>
        <w:spacing w:after="120" w:line="276"/>
        <w:jc w:val="both"/>
      </w:pPr>
      <w:r>
        <w:rPr>
          <w:rFonts w:ascii="Verdana" w:cs="Verdana" w:eastAsia="Verdana" w:hAnsi="Verdana"/>
        </w:rPr>
        <w:t xml:space="preserve">A ruling binds only the applicant and the jurisdictional officer in respect of the applicant (section 103). It binds until the law or facts on which it was based change. It does not bind other taxpayers, other officers, or the same company's registrations in other States, because each GSTIN is a distinct person. Under section 104, a ruling obtained by fraud, suppression of material facts or misrepresentation can be declared void from the beginning, after hearing the applicant.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189: Reach of a ruling</w:t>
            </w:r>
          </w:p>
          <w:p>
            <w:pPr>
              <w:spacing w:after="60" w:line="260"/>
            </w:pPr>
            <w:r>
              <w:rPr>
                <w:rFonts w:ascii="Verdana" w:cs="Verdana" w:eastAsia="Verdana" w:hAnsi="Verdana"/>
                <w:sz w:val="20"/>
                <w:szCs w:val="20"/>
              </w:rPr>
              <w:t xml:space="preserve">Kavya Home Appliances has registrations in Gujarat and Maharashtra. The Gujarat AAR ruled that a service bundled with its water purifiers is a composite supply taxed at the rate of the purifier.</w:t>
            </w:r>
          </w:p>
          <w:p>
            <w:pPr>
              <w:spacing w:after="60" w:line="260"/>
            </w:pPr>
            <w:r>
              <w:rPr>
                <w:rFonts w:ascii="Verdana" w:cs="Verdana" w:eastAsia="Verdana" w:hAnsi="Verdana"/>
                <w:sz w:val="20"/>
                <w:szCs w:val="20"/>
              </w:rPr>
              <w:t xml:space="preserve">The ruling binds the Gujarat registration and its jurisdictional officer. The Maharashtra registration is a distinct person. It may follow the ruling at its own risk, or seek its own ruling from the Maharashtra AAR, which may take a different view.</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Challenging an advance ruling</w:t>
            </w:r>
          </w:p>
          <w:p>
            <w:pPr>
              <w:spacing w:after="60" w:line="260"/>
            </w:pPr>
            <w:r>
              <w:rPr>
                <w:rFonts w:ascii="Verdana" w:cs="Verdana" w:eastAsia="Verdana" w:hAnsi="Verdana"/>
                <w:b/>
                <w:bCs/>
                <w:sz w:val="20"/>
                <w:szCs w:val="20"/>
              </w:rPr>
              <w:t xml:space="preserve">Columbia Sportswear Co. v. Director of Income Tax (Supreme Court, 2012):</w:t>
            </w:r>
            <w:r>
              <w:rPr>
                <w:rFonts w:ascii="Verdana" w:cs="Verdana" w:eastAsia="Verdana" w:hAnsi="Verdana"/>
                <w:sz w:val="20"/>
                <w:szCs w:val="20"/>
              </w:rPr>
              <w:t xml:space="preserve"> An advance ruling authority exercises judicial power, and its ruling can be challenged in a writ petition before the High Court under Articles 226 and 227. The ruling was under the Income-tax Act, but the principle is applied to GST rulings, where the AAAR's order is final under the Act and the writ court is the only remedy.</w:t>
            </w:r>
          </w:p>
        </w:tc>
      </w:tr>
    </w:tbl>
    <w:p>
      <w:pPr>
        <w:spacing w:after="60"/>
      </w:pPr>
    </w:p>
    <w:p>
      <w:pPr>
        <w:pStyle w:val="Heading2"/>
        <w:keepNext/>
        <w:spacing w:after="120" w:before="240"/>
      </w:pPr>
      <w:r>
        <w:rPr>
          <w:rFonts w:ascii="Verdana" w:cs="Verdana" w:eastAsia="Verdana" w:hAnsi="Verdana"/>
        </w:rPr>
        <w:t xml:space="preserve">38.4 Conflicting Rulings and the National Appellate Authority</w:t>
      </w:r>
    </w:p>
    <w:p>
      <w:pPr>
        <w:spacing w:after="120" w:line="276"/>
        <w:jc w:val="both"/>
      </w:pPr>
      <w:r>
        <w:rPr>
          <w:rFonts w:ascii="Verdana" w:cs="Verdana" w:eastAsia="Verdana" w:hAnsi="Verdana"/>
        </w:rPr>
        <w:t xml:space="preserve">Because each State has its own AAR, rulings on the same question often conflict. Sections 101A to 101C, inserted in 2019, provide for a National Appellate Authority for Advance Ruling to resolve conflicts between AAAR rulings of different States, but it has not been constituted. The Finance Act, 2026 inserted section 101A(1A), in force from 1 April 2026, which allows the Government to authorise an existing authority, including the GSTAT, to hear such appeals until the national authority is set up. Check whether a notification has been issued before filing such an appeal.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Draft the facts precisely: the product or service, contracts, invoices, flow of goods and money. The ruling is only as good as the facts stated.</w:t>
            </w:r>
          </w:p>
          <w:p>
            <w:pPr>
              <w:spacing w:after="60" w:line="260"/>
            </w:pPr>
            <w:r>
              <w:rPr>
                <w:rFonts w:ascii="Verdana" w:cs="Verdana" w:eastAsia="Verdana" w:hAnsi="Verdana"/>
                <w:sz w:val="20"/>
                <w:szCs w:val="20"/>
              </w:rPr>
              <w:t xml:space="preserve">Frame each question within one clause of section 97(2) and state the applicant's own interpretation with reasons and case law.</w:t>
            </w:r>
          </w:p>
          <w:p>
            <w:pPr>
              <w:spacing w:after="60" w:line="260"/>
            </w:pPr>
            <w:r>
              <w:rPr>
                <w:rFonts w:ascii="Verdana" w:cs="Verdana" w:eastAsia="Verdana" w:hAnsi="Verdana"/>
                <w:sz w:val="20"/>
                <w:szCs w:val="20"/>
              </w:rPr>
              <w:t xml:space="preserve">Check earlier rulings of all States on the question; attach contrary rulings and distinguish them.</w:t>
            </w:r>
          </w:p>
          <w:p>
            <w:pPr>
              <w:spacing w:after="60" w:line="260"/>
            </w:pPr>
            <w:r>
              <w:rPr>
                <w:rFonts w:ascii="Verdana" w:cs="Verdana" w:eastAsia="Verdana" w:hAnsi="Verdana"/>
                <w:sz w:val="20"/>
                <w:szCs w:val="20"/>
              </w:rPr>
              <w:t xml:space="preserve">Confirm that no notice on the issue is pending, and consider whether an adverse ruling would hurt more than uncertainty.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Advance rulings give binding answers on seven types of questions listed in section 97(2); place of supply is not one of them.</w:t>
            </w:r>
          </w:p>
          <w:p>
            <w:pPr>
              <w:spacing w:after="60" w:line="260"/>
            </w:pPr>
            <w:r>
              <w:rPr>
                <w:rFonts w:ascii="Verdana" w:cs="Verdana" w:eastAsia="Verdana" w:hAnsi="Verdana"/>
                <w:sz w:val="20"/>
                <w:szCs w:val="20"/>
              </w:rPr>
              <w:t xml:space="preserve">•  Application in ARA-01 with Rs. 5,000 fee each under CGST and SGST; ruling within 90 days; appeal to AAAR within 30 days (plus 30).</w:t>
            </w:r>
          </w:p>
          <w:p>
            <w:pPr>
              <w:spacing w:after="60" w:line="260"/>
            </w:pPr>
            <w:r>
              <w:rPr>
                <w:rFonts w:ascii="Verdana" w:cs="Verdana" w:eastAsia="Verdana" w:hAnsi="Verdana"/>
                <w:sz w:val="20"/>
                <w:szCs w:val="20"/>
              </w:rPr>
              <w:t xml:space="preserve">•  The AAR must reject a question already pending or decided in the applicant's own proceedings.</w:t>
            </w:r>
          </w:p>
          <w:p>
            <w:pPr>
              <w:spacing w:after="60" w:line="260"/>
            </w:pPr>
            <w:r>
              <w:rPr>
                <w:rFonts w:ascii="Verdana" w:cs="Verdana" w:eastAsia="Verdana" w:hAnsi="Verdana"/>
                <w:sz w:val="20"/>
                <w:szCs w:val="20"/>
              </w:rPr>
              <w:t xml:space="preserve">•  A ruling binds only the applicant and its jurisdictional officer; other GSTINs of the same entity are distinct persons.</w:t>
            </w:r>
          </w:p>
          <w:p>
            <w:pPr>
              <w:spacing w:after="60" w:line="260"/>
            </w:pPr>
            <w:r>
              <w:rPr>
                <w:rFonts w:ascii="Verdana" w:cs="Verdana" w:eastAsia="Verdana" w:hAnsi="Verdana"/>
                <w:sz w:val="20"/>
                <w:szCs w:val="20"/>
              </w:rPr>
              <w:t xml:space="preserve">•  A ruling obtained by fraud or suppression is void under section 104; writ is the remedy against an AAAR ruling.</w:t>
            </w:r>
          </w:p>
          <w:p>
            <w:pPr>
              <w:spacing w:after="60" w:line="260"/>
            </w:pPr>
            <w:r>
              <w:rPr>
                <w:rFonts w:ascii="Verdana" w:cs="Verdana" w:eastAsia="Verdana" w:hAnsi="Verdana"/>
                <w:sz w:val="20"/>
                <w:szCs w:val="20"/>
              </w:rPr>
              <w:t xml:space="preserve">•  The national appellate authority is not constituted; section 101A(1A) permits an interim authority from 1 April 2026.</w:t>
            </w:r>
          </w:p>
        </w:tc>
      </w:tr>
    </w:tbl>
    <w:p>
      <w:pPr>
        <w:pStyle w:val="Heading1"/>
        <w:pageBreakBefore/>
        <w:spacing w:after="200" w:before="0"/>
      </w:pPr>
      <w:r>
        <w:rPr>
          <w:rFonts w:ascii="Verdana" w:cs="Verdana" w:eastAsia="Verdana" w:hAnsi="Verdana"/>
        </w:rPr>
        <w:t xml:space="preserve">39. Appeals and Revision (Sections 107 to 121)</w:t>
      </w:r>
    </w:p>
    <w:p>
      <w:pPr>
        <w:spacing w:after="120" w:line="276"/>
        <w:jc w:val="both"/>
      </w:pPr>
      <w:r>
        <w:rPr>
          <w:rFonts w:ascii="Verdana" w:cs="Verdana" w:eastAsia="Verdana" w:hAnsi="Verdana"/>
        </w:rPr>
        <w:t xml:space="preserve">Appeals under GST run in four tiers: the Appellate Authority (first appeal), the GST Appellate Tribunal (GSTAT), the High Court and the Supreme Court. Each tier has a time limit and, at the first two, a pre-deposit. Most appeals are won or lost on facts at the first two tiers, so the record built there matters most.</w:t>
      </w:r>
    </w:p>
    <w:p>
      <w:pPr>
        <w:pStyle w:val="Heading2"/>
        <w:keepNext/>
        <w:spacing w:after="120" w:before="240"/>
      </w:pPr>
      <w:r>
        <w:rPr>
          <w:rFonts w:ascii="Verdana" w:cs="Verdana" w:eastAsia="Verdana" w:hAnsi="Verdana"/>
        </w:rPr>
        <w:t xml:space="preserve">39.1 First Appeal (Section 107)</w:t>
      </w:r>
    </w:p>
    <w:p>
      <w:pPr>
        <w:pStyle w:val="ListParagraph"/>
        <w:numPr>
          <w:ilvl w:val="0"/>
          <w:numId w:val="2"/>
        </w:numPr>
        <w:spacing w:after="60" w:line="264"/>
      </w:pPr>
      <w:r>
        <w:rPr>
          <w:rFonts w:ascii="Verdana" w:cs="Verdana" w:eastAsia="Verdana" w:hAnsi="Verdana"/>
          <w:b/>
          <w:bCs/>
        </w:rPr>
        <w:t xml:space="preserve">Who hears:</w:t>
      </w:r>
      <w:r>
        <w:rPr>
          <w:rFonts w:ascii="Verdana" w:cs="Verdana" w:eastAsia="Verdana" w:hAnsi="Verdana"/>
        </w:rPr>
        <w:t xml:space="preserve"> Joint or Additional Commissioner (Appeals) for orders of lower officers; Commissioner (Appeals) for higher officers.</w:t>
      </w:r>
    </w:p>
    <w:p>
      <w:pPr>
        <w:pStyle w:val="ListParagraph"/>
        <w:numPr>
          <w:ilvl w:val="0"/>
          <w:numId w:val="2"/>
        </w:numPr>
        <w:spacing w:after="60" w:line="264"/>
      </w:pPr>
      <w:r>
        <w:rPr>
          <w:rFonts w:ascii="Verdana" w:cs="Verdana" w:eastAsia="Verdana" w:hAnsi="Verdana"/>
          <w:b/>
          <w:bCs/>
        </w:rPr>
        <w:t xml:space="preserve">Time:</w:t>
      </w:r>
      <w:r>
        <w:rPr>
          <w:rFonts w:ascii="Verdana" w:cs="Verdana" w:eastAsia="Verdana" w:hAnsi="Verdana"/>
        </w:rPr>
        <w:t xml:space="preserve"> within three months of communication of the order; the authority may allow one more month for sufficient cause (section 107(4)). The department may appeal within six months (section 107(2)).</w:t>
      </w:r>
    </w:p>
    <w:p>
      <w:pPr>
        <w:pStyle w:val="ListParagraph"/>
        <w:numPr>
          <w:ilvl w:val="0"/>
          <w:numId w:val="2"/>
        </w:numPr>
        <w:spacing w:after="60" w:line="264"/>
      </w:pPr>
      <w:r>
        <w:rPr>
          <w:rFonts w:ascii="Verdana" w:cs="Verdana" w:eastAsia="Verdana" w:hAnsi="Verdana"/>
          <w:b/>
          <w:bCs/>
        </w:rPr>
        <w:t xml:space="preserve">Form:</w:t>
      </w:r>
      <w:r>
        <w:rPr>
          <w:rFonts w:ascii="Verdana" w:cs="Verdana" w:eastAsia="Verdana" w:hAnsi="Verdana"/>
        </w:rPr>
        <w:t xml:space="preserve"> APL-01 online, with the order, grounds and statement of facts; a certified copy within seven days where the order was not uploaded.</w:t>
      </w:r>
    </w:p>
    <w:p>
      <w:pPr>
        <w:pStyle w:val="ListParagraph"/>
        <w:numPr>
          <w:ilvl w:val="0"/>
          <w:numId w:val="2"/>
        </w:numPr>
        <w:spacing w:after="60" w:line="264"/>
      </w:pPr>
      <w:r>
        <w:rPr>
          <w:rFonts w:ascii="Verdana" w:cs="Verdana" w:eastAsia="Verdana" w:hAnsi="Verdana"/>
          <w:b/>
          <w:bCs/>
        </w:rPr>
        <w:t xml:space="preserve">Pre-deposit:</w:t>
      </w:r>
      <w:r>
        <w:rPr>
          <w:rFonts w:ascii="Verdana" w:cs="Verdana" w:eastAsia="Verdana" w:hAnsi="Verdana"/>
        </w:rPr>
        <w:t xml:space="preserve"> full admitted amount plus 10% of the remaining tax in dispute, up to Rs. 20 crore each under CGST and SGST. For appeals against penalty-only orders (no tax demand), 10% of the penalty, from 1 October 2025.</w:t>
      </w:r>
    </w:p>
    <w:p>
      <w:pPr>
        <w:pStyle w:val="ListParagraph"/>
        <w:numPr>
          <w:ilvl w:val="0"/>
          <w:numId w:val="2"/>
        </w:numPr>
        <w:spacing w:after="60" w:line="264"/>
      </w:pPr>
      <w:r>
        <w:rPr>
          <w:rFonts w:ascii="Verdana" w:cs="Verdana" w:eastAsia="Verdana" w:hAnsi="Verdana"/>
          <w:b/>
          <w:bCs/>
        </w:rPr>
        <w:t xml:space="preserve">Stay:</w:t>
      </w:r>
      <w:r>
        <w:rPr>
          <w:rFonts w:ascii="Verdana" w:cs="Verdana" w:eastAsia="Verdana" w:hAnsi="Verdana"/>
        </w:rPr>
        <w:t xml:space="preserve"> once the pre-deposit is made, recovery of the balance is deemed stayed (section 107(7)).</w:t>
      </w:r>
    </w:p>
    <w:p>
      <w:pPr>
        <w:pStyle w:val="ListParagraph"/>
        <w:numPr>
          <w:ilvl w:val="0"/>
          <w:numId w:val="2"/>
        </w:numPr>
        <w:spacing w:after="60" w:line="264"/>
      </w:pPr>
      <w:r>
        <w:rPr>
          <w:rFonts w:ascii="Verdana" w:cs="Verdana" w:eastAsia="Verdana" w:hAnsi="Verdana"/>
          <w:b/>
          <w:bCs/>
        </w:rPr>
        <w:t xml:space="preserve">Decision:</w:t>
      </w:r>
      <w:r>
        <w:rPr>
          <w:rFonts w:ascii="Verdana" w:cs="Verdana" w:eastAsia="Verdana" w:hAnsi="Verdana"/>
        </w:rPr>
        <w:t xml:space="preserve"> within one year where possible (section 107(13)); adjournments limited to three.</w:t>
      </w:r>
    </w:p>
    <w:p>
      <w:pPr>
        <w:pStyle w:val="ListParagraph"/>
        <w:numPr>
          <w:ilvl w:val="0"/>
          <w:numId w:val="2"/>
        </w:numPr>
        <w:spacing w:after="60" w:line="264"/>
      </w:pPr>
      <w:r>
        <w:rPr>
          <w:rFonts w:ascii="Verdana" w:cs="Verdana" w:eastAsia="Verdana" w:hAnsi="Verdana"/>
          <w:b/>
          <w:bCs/>
        </w:rPr>
        <w:t xml:space="preserve">No remand:</w:t>
      </w:r>
      <w:r>
        <w:rPr>
          <w:rFonts w:ascii="Verdana" w:cs="Verdana" w:eastAsia="Verdana" w:hAnsi="Verdana"/>
        </w:rPr>
        <w:t xml:space="preserve"> the Appellate Authority can confirm, modify or annul but cannot refer the case back to the adjudicating authority (section 107(11)).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190: Pre-deposit at each stage</w:t>
            </w:r>
          </w:p>
          <w:p>
            <w:pPr>
              <w:spacing w:after="60" w:line="260"/>
            </w:pPr>
            <w:r>
              <w:rPr>
                <w:rFonts w:ascii="Verdana" w:cs="Verdana" w:eastAsia="Verdana" w:hAnsi="Verdana"/>
                <w:sz w:val="20"/>
                <w:szCs w:val="20"/>
              </w:rPr>
              <w:t xml:space="preserve">An order on Sharma Textiles Pvt. Ltd. confirms tax of Rs. 3,60,00,000 (CGST Rs. 1,80,00,000 and SGST Rs. 1,80,00,000), interest and penalty. The company admits tax of Rs. 20,00,000 and interest on it of Rs. 7,50,000, and disputes the rest.</w:t>
            </w:r>
          </w:p>
          <w:p>
            <w:pPr>
              <w:spacing w:after="60" w:line="260"/>
            </w:pPr>
            <w:r>
              <w:rPr>
                <w:rFonts w:ascii="Verdana" w:cs="Verdana" w:eastAsia="Verdana" w:hAnsi="Verdana"/>
                <w:sz w:val="20"/>
                <w:szCs w:val="20"/>
              </w:rPr>
              <w:t xml:space="preserve">Step 1 (first appeal): Admitted amount Rs. 27,50,000. Remaining tax in dispute Rs. 3,40,00,000; 10% = Rs. 34,00,000 (Rs. 17,00,000 CGST and Rs. 17,00,000 SGST). Total deposit Rs. 61,50,000.</w:t>
            </w:r>
          </w:p>
          <w:p>
            <w:pPr>
              <w:spacing w:after="60" w:line="260"/>
            </w:pPr>
            <w:r>
              <w:rPr>
                <w:rFonts w:ascii="Verdana" w:cs="Verdana" w:eastAsia="Verdana" w:hAnsi="Verdana"/>
                <w:sz w:val="20"/>
                <w:szCs w:val="20"/>
              </w:rPr>
              <w:t xml:space="preserve">Step 2: The Appellate Authority drops tax of Rs. 1,20,00,000 and confirms Rs. 2,20,00,000.</w:t>
            </w:r>
          </w:p>
          <w:p>
            <w:pPr>
              <w:spacing w:after="60" w:line="260"/>
            </w:pPr>
            <w:r>
              <w:rPr>
                <w:rFonts w:ascii="Verdana" w:cs="Verdana" w:eastAsia="Verdana" w:hAnsi="Verdana"/>
                <w:sz w:val="20"/>
                <w:szCs w:val="20"/>
              </w:rPr>
              <w:t xml:space="preserve">Step 3 (GSTAT): Pre-deposit 10% of the tax in dispute before the Tribunal: 10% of Rs. 2,20,00,000 = Rs. 22,00,000 (Rs. 11,00,000 each), in addition to the Rs. 34,00,000 already deposited.</w:t>
            </w:r>
          </w:p>
          <w:p>
            <w:pPr>
              <w:spacing w:after="60" w:line="260"/>
            </w:pPr>
            <w:r>
              <w:rPr>
                <w:rFonts w:ascii="Verdana" w:cs="Verdana" w:eastAsia="Verdana" w:hAnsi="Verdana"/>
                <w:sz w:val="20"/>
                <w:szCs w:val="20"/>
              </w:rPr>
              <w:t xml:space="preserve">Step 4 (cap): Had the disputed tax been Rs. 480 crore under each of CGST and SGST, 10% would be Rs. 48 crore each, but the cap limits the first-appeal deposit to Rs. 20 crore each, Rs. 40 crore in all.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191: Penalty-only appeal</w:t>
            </w:r>
          </w:p>
          <w:p>
            <w:pPr>
              <w:spacing w:after="60" w:line="260"/>
            </w:pPr>
            <w:r>
              <w:rPr>
                <w:rFonts w:ascii="Verdana" w:cs="Verdana" w:eastAsia="Verdana" w:hAnsi="Verdana"/>
                <w:sz w:val="20"/>
                <w:szCs w:val="20"/>
              </w:rPr>
              <w:t xml:space="preserve">A penalty of Rs. 50,00,000 (Rs. 25,00,000 each) under section 122 without any tax demand was imposed by an order of 15 November 2025. Pre-deposit for first appeal: 10% = Rs. 5,00,000. For orders before 1 October 2025, tribunals and courts have held the requirement prospective.</w:t>
            </w:r>
          </w:p>
        </w:tc>
      </w:tr>
    </w:tbl>
    <w:p>
      <w:pPr>
        <w:spacing w:after="60"/>
      </w:pPr>
    </w:p>
    <w:p>
      <w:pPr>
        <w:pStyle w:val="Heading2"/>
        <w:keepNext/>
        <w:spacing w:after="120" w:before="240"/>
      </w:pPr>
      <w:r>
        <w:rPr>
          <w:rFonts w:ascii="Verdana" w:cs="Verdana" w:eastAsia="Verdana" w:hAnsi="Verdana"/>
        </w:rPr>
        <w:t xml:space="preserve">39.2 Revision (Section 108)</w:t>
      </w:r>
    </w:p>
    <w:p>
      <w:pPr>
        <w:spacing w:after="120" w:line="276"/>
        <w:jc w:val="both"/>
      </w:pPr>
      <w:r>
        <w:rPr>
          <w:rFonts w:ascii="Verdana" w:cs="Verdana" w:eastAsia="Verdana" w:hAnsi="Verdana"/>
        </w:rPr>
        <w:t xml:space="preserve">The Principal Commissioner or Commissioner may call for records and revise an order of a subordinate officer that is erroneous and prejudicial to revenue, or illegal, after hearing the person. Revision cannot be made where the order is under appeal, where the six-month period for departmental appeal has not expired, where more than three years have passed since the order, or where the matter was already revised. Appeal against revision lies to the GSTAT.</w:t>
      </w:r>
    </w:p>
    <w:p>
      <w:pPr>
        <w:pStyle w:val="Heading2"/>
        <w:keepNext/>
        <w:spacing w:after="120" w:before="240"/>
      </w:pPr>
      <w:r>
        <w:rPr>
          <w:rFonts w:ascii="Verdana" w:cs="Verdana" w:eastAsia="Verdana" w:hAnsi="Verdana"/>
        </w:rPr>
        <w:t xml:space="preserve">39.3 The GST Appellate Tribunal (Sections 109 to 114)</w:t>
      </w:r>
    </w:p>
    <w:p>
      <w:pPr>
        <w:spacing w:after="120" w:line="276"/>
        <w:jc w:val="both"/>
      </w:pPr>
      <w:r>
        <w:rPr>
          <w:rFonts w:ascii="Verdana" w:cs="Verdana" w:eastAsia="Verdana" w:hAnsi="Verdana"/>
        </w:rPr>
        <w:t xml:space="preserve">The GSTAT has a Principal Bench in New Delhi and State benches (31 notified). Benches have judicial and technical members. The Principal Bench hears appeals where place of supply is an issue; ISD, OIDAR and actionable claim matters are also routed to it. E-filing began on 24 September 2025 and hearings have begun in 2026.</w:t>
      </w:r>
    </w:p>
    <w:p>
      <w:pPr>
        <w:pStyle w:val="ListParagraph"/>
        <w:numPr>
          <w:ilvl w:val="0"/>
          <w:numId w:val="2"/>
        </w:numPr>
        <w:spacing w:after="60" w:line="264"/>
      </w:pPr>
      <w:r>
        <w:rPr>
          <w:rFonts w:ascii="Verdana" w:cs="Verdana" w:eastAsia="Verdana" w:hAnsi="Verdana"/>
          <w:b/>
          <w:bCs/>
        </w:rPr>
        <w:t xml:space="preserve">Time:</w:t>
      </w:r>
      <w:r>
        <w:rPr>
          <w:rFonts w:ascii="Verdana" w:cs="Verdana" w:eastAsia="Verdana" w:hAnsi="Verdana"/>
        </w:rPr>
        <w:t xml:space="preserve"> three months from communication of the order (section 112(1)); delay up to three months may be condoned; the department has six months; cross-objections within 45 days.</w:t>
      </w:r>
    </w:p>
    <w:p>
      <w:pPr>
        <w:pStyle w:val="ListParagraph"/>
        <w:numPr>
          <w:ilvl w:val="0"/>
          <w:numId w:val="2"/>
        </w:numPr>
        <w:spacing w:after="60" w:line="264"/>
      </w:pPr>
      <w:r>
        <w:rPr>
          <w:rFonts w:ascii="Verdana" w:cs="Verdana" w:eastAsia="Verdana" w:hAnsi="Verdana"/>
          <w:b/>
          <w:bCs/>
        </w:rPr>
        <w:t xml:space="preserve">Transitional limitation:</w:t>
      </w:r>
      <w:r>
        <w:rPr>
          <w:rFonts w:ascii="Verdana" w:cs="Verdana" w:eastAsia="Verdana" w:hAnsi="Verdana"/>
        </w:rPr>
        <w:t xml:space="preserve"> a notification of 30 June 2026 fixed 31 July 2026 as the last date for appeals against orders communicated before 1 May 2026. For later orders the normal three months apply.</w:t>
      </w:r>
    </w:p>
    <w:p>
      <w:pPr>
        <w:pStyle w:val="ListParagraph"/>
        <w:numPr>
          <w:ilvl w:val="0"/>
          <w:numId w:val="2"/>
        </w:numPr>
        <w:spacing w:after="60" w:line="264"/>
      </w:pPr>
      <w:r>
        <w:rPr>
          <w:rFonts w:ascii="Verdana" w:cs="Verdana" w:eastAsia="Verdana" w:hAnsi="Verdana"/>
          <w:b/>
          <w:bCs/>
        </w:rPr>
        <w:t xml:space="preserve">Pre-deposit:</w:t>
      </w:r>
      <w:r>
        <w:rPr>
          <w:rFonts w:ascii="Verdana" w:cs="Verdana" w:eastAsia="Verdana" w:hAnsi="Verdana"/>
        </w:rPr>
        <w:t xml:space="preserve"> 10% of the remaining tax in dispute, up to Rs. 20 crore each under CGST and SGST, in addition to the first-appeal deposit; 10% of penalty in penalty-only appeals.</w:t>
      </w:r>
    </w:p>
    <w:p>
      <w:pPr>
        <w:pStyle w:val="ListParagraph"/>
        <w:numPr>
          <w:ilvl w:val="0"/>
          <w:numId w:val="2"/>
        </w:numPr>
        <w:spacing w:after="60" w:line="264"/>
      </w:pPr>
      <w:r>
        <w:rPr>
          <w:rFonts w:ascii="Verdana" w:cs="Verdana" w:eastAsia="Verdana" w:hAnsi="Verdana"/>
          <w:b/>
          <w:bCs/>
        </w:rPr>
        <w:t xml:space="preserve">Small cases:</w:t>
      </w:r>
      <w:r>
        <w:rPr>
          <w:rFonts w:ascii="Verdana" w:cs="Verdana" w:eastAsia="Verdana" w:hAnsi="Verdana"/>
        </w:rPr>
        <w:t xml:space="preserve"> the Tribunal may refuse to admit appeals where the amount involved is Rs. 50,000 or less.</w:t>
      </w:r>
    </w:p>
    <w:p>
      <w:pPr>
        <w:pStyle w:val="ListParagraph"/>
        <w:numPr>
          <w:ilvl w:val="0"/>
          <w:numId w:val="2"/>
        </w:numPr>
        <w:spacing w:after="60" w:line="264"/>
      </w:pPr>
      <w:r>
        <w:rPr>
          <w:rFonts w:ascii="Verdana" w:cs="Verdana" w:eastAsia="Verdana" w:hAnsi="Verdana"/>
          <w:b/>
          <w:bCs/>
        </w:rPr>
        <w:t xml:space="preserve">Departmental appeals:</w:t>
      </w:r>
      <w:r>
        <w:rPr>
          <w:rFonts w:ascii="Verdana" w:cs="Verdana" w:eastAsia="Verdana" w:hAnsi="Verdana"/>
        </w:rPr>
        <w:t xml:space="preserve"> under Circular 207/1/2024-GST the department does not file appeals below Rs. 20 lakh before the GSTAT, Rs. 1 crore before High Courts and Rs. 2 crore before the Supreme Court, subject to listed exceptions. Early GSTAT orders have dismissed departmental appeals below the limit.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192: GSTAT limitation</w:t>
            </w:r>
          </w:p>
          <w:p>
            <w:pPr>
              <w:spacing w:after="60" w:line="260"/>
            </w:pPr>
            <w:r>
              <w:rPr>
                <w:rFonts w:ascii="Verdana" w:cs="Verdana" w:eastAsia="Verdana" w:hAnsi="Verdana"/>
                <w:sz w:val="20"/>
                <w:szCs w:val="20"/>
              </w:rPr>
              <w:t xml:space="preserve">Order A: first appellate order communicated on 18 March 2026. Under the notification of 30 June 2026, the appeal lies by 31 July 2026.</w:t>
            </w:r>
          </w:p>
          <w:p>
            <w:pPr>
              <w:spacing w:after="60" w:line="260"/>
            </w:pPr>
            <w:r>
              <w:rPr>
                <w:rFonts w:ascii="Verdana" w:cs="Verdana" w:eastAsia="Verdana" w:hAnsi="Verdana"/>
                <w:sz w:val="20"/>
                <w:szCs w:val="20"/>
              </w:rPr>
              <w:t xml:space="preserve">Order B: first appellate order communicated on 12 May 2026. Three months end on 12 August 2026. With condonation of up to three months, the outer limit is 12 November 2026, with an application explaining the delay.</w:t>
            </w:r>
          </w:p>
          <w:p>
            <w:pPr>
              <w:spacing w:after="60" w:line="260"/>
            </w:pPr>
            <w:r>
              <w:rPr>
                <w:rFonts w:ascii="Verdana" w:cs="Verdana" w:eastAsia="Verdana" w:hAnsi="Verdana"/>
                <w:sz w:val="20"/>
                <w:szCs w:val="20"/>
              </w:rPr>
              <w:t xml:space="preserve">Order C: order-in-original communicated on 5 January 2026, for first appeal. Three months end on 5 April 2026; the Appellate Authority can condone delay only up to 5 May 2026.</w:t>
            </w:r>
          </w:p>
        </w:tc>
      </w:tr>
    </w:tbl>
    <w:p>
      <w:pPr>
        <w:spacing w:after="60"/>
      </w:pPr>
    </w:p>
    <w:p>
      <w:pPr>
        <w:pStyle w:val="Heading2"/>
        <w:keepNext/>
        <w:spacing w:after="120" w:before="240"/>
      </w:pPr>
      <w:r>
        <w:rPr>
          <w:rFonts w:ascii="Verdana" w:cs="Verdana" w:eastAsia="Verdana" w:hAnsi="Verdana"/>
        </w:rPr>
        <w:t xml:space="preserve">39.4 High Court, Supreme Court and Non-appealable Orders</w:t>
      </w:r>
    </w:p>
    <w:p>
      <w:pPr>
        <w:spacing w:after="120" w:line="276"/>
        <w:jc w:val="both"/>
      </w:pPr>
      <w:r>
        <w:rPr>
          <w:rFonts w:ascii="Verdana" w:cs="Verdana" w:eastAsia="Verdana" w:hAnsi="Verdana"/>
        </w:rPr>
        <w:t xml:space="preserve">An appeal lies to the High Court from a State bench order within 180 days, only on a substantial question of law (section 117). An appeal lies to the Supreme Court from Principal Bench orders on place of supply and from High Court judgments certified fit (section 118). Section 121 bars appeals against orders transferring proceedings between officers, orders on seizure or retention of documents, sanction of prosecution and orders on instalments under section 80.</w:t>
      </w:r>
    </w:p>
    <w:p>
      <w:pPr>
        <w:spacing w:after="120" w:line="276"/>
        <w:jc w:val="both"/>
      </w:pPr>
      <w:r>
        <w:rPr>
          <w:rFonts w:ascii="Verdana" w:cs="Verdana" w:eastAsia="Verdana" w:hAnsi="Verdana"/>
        </w:rPr>
        <w:t xml:space="preserve">Writ petitions under Article 226 are not a substitute for appeal. They are entertained where there is a breach of natural justice, the order is without jurisdiction, a fundamental right is affected or the validity of a provision is challenged.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Writ, limitation and condonation</w:t>
            </w:r>
          </w:p>
          <w:p>
            <w:pPr>
              <w:spacing w:after="60" w:line="260"/>
            </w:pPr>
            <w:r>
              <w:rPr>
                <w:rFonts w:ascii="Verdana" w:cs="Verdana" w:eastAsia="Verdana" w:hAnsi="Verdana"/>
                <w:b/>
                <w:bCs/>
                <w:sz w:val="20"/>
                <w:szCs w:val="20"/>
              </w:rPr>
              <w:t xml:space="preserve">Assistant Commissioner of State Tax v. Commercial Steel Ltd. (Supreme Court, 2021):</w:t>
            </w:r>
            <w:r>
              <w:rPr>
                <w:rFonts w:ascii="Verdana" w:cs="Verdana" w:eastAsia="Verdana" w:hAnsi="Verdana"/>
                <w:sz w:val="20"/>
                <w:szCs w:val="20"/>
              </w:rPr>
              <w:t xml:space="preserve"> A writ petition cannot bypass the statutory appeal except where there is a breach of fundamental rights, a violation of natural justice, an order wholly without jurisdiction, or a challenge to the vires of a law.</w:t>
            </w:r>
          </w:p>
          <w:p>
            <w:pPr>
              <w:spacing w:after="60" w:line="260"/>
            </w:pPr>
            <w:r>
              <w:rPr>
                <w:rFonts w:ascii="Verdana" w:cs="Verdana" w:eastAsia="Verdana" w:hAnsi="Verdana"/>
                <w:b/>
                <w:bCs/>
                <w:sz w:val="20"/>
                <w:szCs w:val="20"/>
              </w:rPr>
              <w:t xml:space="preserve">Singh Enterprises v. Commissioner of Central Excise (Supreme Court, 2008):</w:t>
            </w:r>
            <w:r>
              <w:rPr>
                <w:rFonts w:ascii="Verdana" w:cs="Verdana" w:eastAsia="Verdana" w:hAnsi="Verdana"/>
                <w:sz w:val="20"/>
                <w:szCs w:val="20"/>
              </w:rPr>
              <w:t xml:space="preserve"> Where the statute gives a fixed period for appeal with a limited condonation period, the appellate authority has no power to condone delay beyond it. The same reading applies to section 107(4).</w:t>
            </w:r>
          </w:p>
          <w:p>
            <w:pPr>
              <w:spacing w:after="60" w:line="260"/>
            </w:pPr>
            <w:r>
              <w:rPr>
                <w:rFonts w:ascii="Verdana" w:cs="Verdana" w:eastAsia="Verdana" w:hAnsi="Verdana"/>
                <w:b/>
                <w:bCs/>
                <w:sz w:val="20"/>
                <w:szCs w:val="20"/>
              </w:rPr>
              <w:t xml:space="preserve">Assistant Commissioner (CT) LTU v. Glaxo Smith Kline Consumer Health Care Ltd. (Supreme Court, 2020):</w:t>
            </w:r>
            <w:r>
              <w:rPr>
                <w:rFonts w:ascii="Verdana" w:cs="Verdana" w:eastAsia="Verdana" w:hAnsi="Verdana"/>
                <w:sz w:val="20"/>
                <w:szCs w:val="20"/>
              </w:rPr>
              <w:t xml:space="preserve"> A High Court should not use its writ power to entertain a challenge after the statutory appeal period, including the condonable period, has expired.</w:t>
            </w:r>
          </w:p>
          <w:p>
            <w:pPr>
              <w:spacing w:after="60" w:line="260"/>
            </w:pPr>
            <w:r>
              <w:rPr>
                <w:rFonts w:ascii="Verdana" w:cs="Verdana" w:eastAsia="Verdana" w:hAnsi="Verdana"/>
                <w:b/>
                <w:bCs/>
                <w:sz w:val="20"/>
                <w:szCs w:val="20"/>
              </w:rPr>
              <w:t xml:space="preserve">Collector, Land Acquisition, Anantnag v. Mst. Katiji (Supreme Court, 1987):</w:t>
            </w:r>
            <w:r>
              <w:rPr>
                <w:rFonts w:ascii="Verdana" w:cs="Verdana" w:eastAsia="Verdana" w:hAnsi="Verdana"/>
                <w:sz w:val="20"/>
                <w:szCs w:val="20"/>
              </w:rPr>
              <w:t xml:space="preserve"> Where the law allows condonation for sufficient cause, courts should take a liberal and justice-oriented approach. This helps before the GSTAT and High Court, where condonation is available.</w:t>
            </w:r>
          </w:p>
        </w:tc>
      </w:tr>
    </w:tbl>
    <w:p>
      <w:pPr>
        <w:spacing w:after="60"/>
      </w:pPr>
    </w:p>
    <w:p>
      <w:pPr>
        <w:pStyle w:val="Heading2"/>
        <w:keepNext/>
        <w:spacing w:after="120" w:before="240"/>
      </w:pPr>
      <w:r>
        <w:rPr>
          <w:rFonts w:ascii="Verdana" w:cs="Verdana" w:eastAsia="Verdana" w:hAnsi="Verdana"/>
        </w:rPr>
        <w:t xml:space="preserve">39.5 Drafting Grounds of Appeal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7068"/>
      </w:tblGrid>
      <w:tr>
        <w:trPr>
          <w:cantSplit/>
          <w:tblHeader/>
        </w:trPr>
        <w:tc>
          <w:tcPr>
            <w:tcW w:type="dxa" w:w="257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Part</w:t>
            </w:r>
          </w:p>
        </w:tc>
        <w:tc>
          <w:tcPr>
            <w:tcW w:type="dxa" w:w="706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Content</w:t>
            </w:r>
          </w:p>
        </w:tc>
      </w:tr>
      <w:tr>
        <w:trPr>
          <w:cantSplit/>
        </w:trPr>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Statement of facts</w:t>
            </w:r>
          </w:p>
        </w:tc>
        <w:tc>
          <w:tcPr>
            <w:tcW w:type="dxa" w:w="70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Chronology: business, period, notice, reply, hearing, order; neutral tone</w:t>
            </w:r>
          </w:p>
        </w:tc>
      </w:tr>
      <w:tr>
        <w:trPr>
          <w:cantSplit/>
        </w:trPr>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Grounds</w:t>
            </w:r>
          </w:p>
        </w:tc>
        <w:tc>
          <w:tcPr>
            <w:tcW w:type="dxa" w:w="70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Numbered, each a distinct legal or factual point, general to specific</w:t>
            </w:r>
          </w:p>
        </w:tc>
      </w:tr>
      <w:tr>
        <w:trPr>
          <w:cantSplit/>
        </w:trPr>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Legal submissions</w:t>
            </w:r>
          </w:p>
        </w:tc>
        <w:tc>
          <w:tcPr>
            <w:tcW w:type="dxa" w:w="70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rules, circulars and judgments with the relevant paragraph</w:t>
            </w:r>
          </w:p>
        </w:tc>
      </w:tr>
      <w:tr>
        <w:trPr>
          <w:cantSplit/>
        </w:trPr>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Evidence</w:t>
            </w:r>
          </w:p>
        </w:tc>
        <w:tc>
          <w:tcPr>
            <w:tcW w:type="dxa" w:w="70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List of documents, with those not produced before the adjudicating authority flagged and reasons (rule 112)</w:t>
            </w:r>
          </w:p>
        </w:tc>
      </w:tr>
      <w:tr>
        <w:trPr>
          <w:cantSplit/>
        </w:trPr>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Prayer</w:t>
            </w:r>
          </w:p>
        </w:tc>
        <w:tc>
          <w:tcPr>
            <w:tcW w:type="dxa" w:w="70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Set aside the order, drop interest and penalty, refund pre-deposit, any other relief</w:t>
            </w:r>
          </w:p>
        </w:tc>
      </w:tr>
    </w:tbl>
    <w:p>
      <w:pPr>
        <w:spacing w:after="60"/>
      </w:pPr>
    </w:p>
    <w:p>
      <w:pPr>
        <w:spacing w:after="120" w:line="276"/>
        <w:jc w:val="both"/>
      </w:pPr>
      <w:r>
        <w:rPr>
          <w:rFonts w:ascii="Verdana" w:cs="Verdana" w:eastAsia="Verdana" w:hAnsi="Verdana"/>
        </w:rPr>
        <w:t xml:space="preserve">A sample set of grounds for an appeal against denial of ITC under section 16(2)(c) follows.</w:t>
      </w:r>
    </w:p>
    <w:p>
      <w:pPr>
        <w:pStyle w:val="ListParagraph"/>
        <w:numPr>
          <w:ilvl w:val="0"/>
          <w:numId w:val="2"/>
        </w:numPr>
        <w:spacing w:after="60" w:line="264"/>
      </w:pPr>
      <w:r>
        <w:rPr>
          <w:rFonts w:ascii="Verdana" w:cs="Verdana" w:eastAsia="Verdana" w:hAnsi="Verdana"/>
        </w:rPr>
        <w:t xml:space="preserve">The order exceeds the show cause notice in amount and grounds, contrary to section 75(7).</w:t>
      </w:r>
    </w:p>
    <w:p>
      <w:pPr>
        <w:pStyle w:val="ListParagraph"/>
        <w:numPr>
          <w:ilvl w:val="0"/>
          <w:numId w:val="2"/>
        </w:numPr>
        <w:spacing w:after="60" w:line="264"/>
      </w:pPr>
      <w:r>
        <w:rPr>
          <w:rFonts w:ascii="Verdana" w:cs="Verdana" w:eastAsia="Verdana" w:hAnsi="Verdana"/>
        </w:rPr>
        <w:t xml:space="preserve">The appellant received the goods, paid the supplier with tax through banking channels, and holds tax invoices, e-way bills and transport records.</w:t>
      </w:r>
    </w:p>
    <w:p>
      <w:pPr>
        <w:pStyle w:val="ListParagraph"/>
        <w:numPr>
          <w:ilvl w:val="0"/>
          <w:numId w:val="2"/>
        </w:numPr>
        <w:spacing w:after="60" w:line="264"/>
      </w:pPr>
      <w:r>
        <w:rPr>
          <w:rFonts w:ascii="Verdana" w:cs="Verdana" w:eastAsia="Verdana" w:hAnsi="Verdana"/>
        </w:rPr>
        <w:t xml:space="preserve">The invoices appeared in GSTR-2B at the time of availment, satisfying section 16(2)(aa).</w:t>
      </w:r>
    </w:p>
    <w:p>
      <w:pPr>
        <w:pStyle w:val="ListParagraph"/>
        <w:numPr>
          <w:ilvl w:val="0"/>
          <w:numId w:val="2"/>
        </w:numPr>
        <w:spacing w:after="60" w:line="264"/>
      </w:pPr>
      <w:r>
        <w:rPr>
          <w:rFonts w:ascii="Verdana" w:cs="Verdana" w:eastAsia="Verdana" w:hAnsi="Verdana"/>
        </w:rPr>
        <w:t xml:space="preserve">The department has not attempted recovery from the supplier or shown that the supplier did not pay; under Bhandari Scrap Traders (Supreme Court, 2026) credit is restored when the supplier pays, and the order does not examine this.</w:t>
      </w:r>
    </w:p>
    <w:p>
      <w:pPr>
        <w:pStyle w:val="ListParagraph"/>
        <w:numPr>
          <w:ilvl w:val="0"/>
          <w:numId w:val="2"/>
        </w:numPr>
        <w:spacing w:after="60" w:line="264"/>
      </w:pPr>
      <w:r>
        <w:rPr>
          <w:rFonts w:ascii="Verdana" w:cs="Verdana" w:eastAsia="Verdana" w:hAnsi="Verdana"/>
        </w:rPr>
        <w:t xml:space="preserve">The extended period is not available as all facts were disclosed in returns; penalty cannot be imposed absent intent.</w:t>
      </w:r>
    </w:p>
    <w:p>
      <w:pPr>
        <w:pStyle w:val="ListParagraph"/>
        <w:numPr>
          <w:ilvl w:val="0"/>
          <w:numId w:val="2"/>
        </w:numPr>
        <w:spacing w:after="60" w:line="264"/>
      </w:pPr>
      <w:r>
        <w:rPr>
          <w:rFonts w:ascii="Verdana" w:cs="Verdana" w:eastAsia="Verdana" w:hAnsi="Verdana"/>
        </w:rPr>
        <w:t xml:space="preserve">The order was passed without a personal hearing, contrary to section 75(4).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First appeal within three months plus one month, in APL-01, with pre-deposit of admitted amounts and 10% of disputed tax (cap Rs. 20 crore each); penalty-only appeals need 10% from 1 October 2025.</w:t>
            </w:r>
          </w:p>
          <w:p>
            <w:pPr>
              <w:spacing w:after="60" w:line="260"/>
            </w:pPr>
            <w:r>
              <w:rPr>
                <w:rFonts w:ascii="Verdana" w:cs="Verdana" w:eastAsia="Verdana" w:hAnsi="Verdana"/>
                <w:sz w:val="20"/>
                <w:szCs w:val="20"/>
              </w:rPr>
              <w:t xml:space="preserve">•  The Appellate Authority cannot remand; revision under section 108 is limited to three years and to orders not under appeal.</w:t>
            </w:r>
          </w:p>
          <w:p>
            <w:pPr>
              <w:spacing w:after="60" w:line="260"/>
            </w:pPr>
            <w:r>
              <w:rPr>
                <w:rFonts w:ascii="Verdana" w:cs="Verdana" w:eastAsia="Verdana" w:hAnsi="Verdana"/>
                <w:sz w:val="20"/>
                <w:szCs w:val="20"/>
              </w:rPr>
              <w:t xml:space="preserve">•  GSTAT appeals lie within three months (condonable by three), with a further 10% pre-deposit; orders communicated before 1 May 2026 had a 31 July 2026 deadline.</w:t>
            </w:r>
          </w:p>
          <w:p>
            <w:pPr>
              <w:spacing w:after="60" w:line="260"/>
            </w:pPr>
            <w:r>
              <w:rPr>
                <w:rFonts w:ascii="Verdana" w:cs="Verdana" w:eastAsia="Verdana" w:hAnsi="Verdana"/>
                <w:sz w:val="20"/>
                <w:szCs w:val="20"/>
              </w:rPr>
              <w:t xml:space="preserve">•  High Court appeals need a substantial question of law and lie within 180 days; the Supreme Court hears place of supply appeals from the Principal Bench.</w:t>
            </w:r>
          </w:p>
          <w:p>
            <w:pPr>
              <w:spacing w:after="60" w:line="260"/>
            </w:pPr>
            <w:r>
              <w:rPr>
                <w:rFonts w:ascii="Verdana" w:cs="Verdana" w:eastAsia="Verdana" w:hAnsi="Verdana"/>
                <w:sz w:val="20"/>
                <w:szCs w:val="20"/>
              </w:rPr>
              <w:t xml:space="preserve">•  Writs are for natural justice, jurisdiction and vires (Commercial Steel); statutory limits on condonation are strict (Singh Enterprises).</w:t>
            </w:r>
          </w:p>
          <w:p>
            <w:pPr>
              <w:spacing w:after="60" w:line="260"/>
            </w:pPr>
            <w:r>
              <w:rPr>
                <w:rFonts w:ascii="Verdana" w:cs="Verdana" w:eastAsia="Verdana" w:hAnsi="Verdana"/>
                <w:sz w:val="20"/>
                <w:szCs w:val="20"/>
              </w:rPr>
              <w:t xml:space="preserve">•  Monetary limits under Circular 207/1/2024-GST filter out small departmental appeals.</w:t>
            </w:r>
          </w:p>
        </w:tc>
      </w:tr>
    </w:tbl>
    <w:p>
      <w:pPr>
        <w:pStyle w:val="Heading1"/>
        <w:pageBreakBefore/>
        <w:spacing w:after="200" w:before="0"/>
      </w:pPr>
      <w:r>
        <w:rPr>
          <w:rFonts w:ascii="Verdana" w:cs="Verdana" w:eastAsia="Verdana" w:hAnsi="Verdana"/>
        </w:rPr>
        <w:t xml:space="preserve">40. Offences, Penalties, Late Fees and Prosecution (Sections 122 to 138)</w:t>
      </w:r>
    </w:p>
    <w:p>
      <w:pPr>
        <w:spacing w:after="120" w:line="276"/>
        <w:jc w:val="both"/>
      </w:pPr>
      <w:r>
        <w:rPr>
          <w:rFonts w:ascii="Verdana" w:cs="Verdana" w:eastAsia="Verdana" w:hAnsi="Verdana"/>
        </w:rPr>
        <w:t xml:space="preserve">Chapter XIX of the CGST Act separates civil penalties, imposed by officers after a notice and hearing, from criminal prosecution before a court. Most taxpayers will only meet the first. The second is reserved for large, deliberate evasion.</w:t>
      </w:r>
    </w:p>
    <w:p>
      <w:pPr>
        <w:pStyle w:val="Heading2"/>
        <w:keepNext/>
        <w:spacing w:after="120" w:before="240"/>
      </w:pPr>
      <w:r>
        <w:rPr>
          <w:rFonts w:ascii="Verdana" w:cs="Verdana" w:eastAsia="Verdana" w:hAnsi="Verdana"/>
        </w:rPr>
        <w:t xml:space="preserve">40.1 Penalties under Section 122</w:t>
      </w:r>
    </w:p>
    <w:p>
      <w:pPr>
        <w:spacing w:after="120" w:line="276"/>
        <w:jc w:val="both"/>
      </w:pPr>
      <w:r>
        <w:rPr>
          <w:rFonts w:ascii="Verdana" w:cs="Verdana" w:eastAsia="Verdana" w:hAnsi="Verdana"/>
        </w:rPr>
        <w:t xml:space="preserve">Section 122(1) lists 21 offences, including supply without invoice or with a false invoice, issuing an invoice without supply, collecting tax and not paying it within three months, wrongly availing ITC or refund, falsifying records, obstructing officers and transporting goods without documents. The penalty is Rs. 10,000 or the tax evaded, ITC wrongly availed or refund wrongly taken, whichever is higher.</w:t>
      </w:r>
    </w:p>
    <w:p>
      <w:pPr>
        <w:spacing w:after="120" w:line="276"/>
        <w:jc w:val="both"/>
      </w:pPr>
      <w:r>
        <w:rPr>
          <w:rFonts w:ascii="Verdana" w:cs="Verdana" w:eastAsia="Verdana" w:hAnsi="Verdana"/>
        </w:rPr>
        <w:t xml:space="preserve">Section 122(1A), effective from 1 January 2022, extends the penalty to any person who retains the benefit of a transaction covered by clauses (i), (ii), (vii) or (ix) and at whose instance the transaction is conducted. This targets the organisers of fake invoice rings, not only the paper firms. Section 122(3) imposes up to Rs. 25,000 on a person who aids or abets, or deals in goods he knows are liable to confiscation.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193: Penalty under section 122</w:t>
            </w:r>
          </w:p>
          <w:p>
            <w:pPr>
              <w:spacing w:after="60" w:line="260"/>
            </w:pPr>
            <w:r>
              <w:rPr>
                <w:rFonts w:ascii="Verdana" w:cs="Verdana" w:eastAsia="Verdana" w:hAnsi="Verdana"/>
                <w:sz w:val="20"/>
                <w:szCs w:val="20"/>
              </w:rPr>
              <w:t xml:space="preserve">Ravi Enterprises issued invoices of taxable value Rs. 2,00,00,000 without any supply, passing on ITC of Rs. 36,00,000 at 18%.</w:t>
            </w:r>
          </w:p>
          <w:p>
            <w:pPr>
              <w:spacing w:after="60" w:line="260"/>
            </w:pPr>
            <w:r>
              <w:rPr>
                <w:rFonts w:ascii="Verdana" w:cs="Verdana" w:eastAsia="Verdana" w:hAnsi="Verdana"/>
                <w:sz w:val="20"/>
                <w:szCs w:val="20"/>
              </w:rPr>
              <w:t xml:space="preserve">Step 1: Penalty on Ravi Enterprises: higher of Rs. 10,000 and Rs. 36,00,000 = Rs. 36,00,000.</w:t>
            </w:r>
          </w:p>
          <w:p>
            <w:pPr>
              <w:spacing w:after="60" w:line="260"/>
            </w:pPr>
            <w:r>
              <w:rPr>
                <w:rFonts w:ascii="Verdana" w:cs="Verdana" w:eastAsia="Verdana" w:hAnsi="Verdana"/>
                <w:sz w:val="20"/>
                <w:szCs w:val="20"/>
              </w:rPr>
              <w:t xml:space="preserve">Step 2: Mahesh, who organised the scheme and retained the benefit, is liable under section 122(1A) to a penalty equal to the ITC passed on: Rs. 36,00,000.</w:t>
            </w:r>
          </w:p>
          <w:p>
            <w:pPr>
              <w:spacing w:after="60" w:line="260"/>
            </w:pPr>
            <w:r>
              <w:rPr>
                <w:rFonts w:ascii="Verdana" w:cs="Verdana" w:eastAsia="Verdana" w:hAnsi="Verdana"/>
                <w:sz w:val="20"/>
                <w:szCs w:val="20"/>
              </w:rPr>
              <w:t xml:space="preserve">Step 3: A trader who failed to issue an invoice on a supply with tax of Rs. 6,500 faces a penalty of Rs. 10,000, since the minimum is higher than the tax.</w:t>
            </w:r>
          </w:p>
        </w:tc>
      </w:tr>
    </w:tbl>
    <w:p>
      <w:pPr>
        <w:spacing w:after="60"/>
      </w:pPr>
    </w:p>
    <w:p>
      <w:pPr>
        <w:spacing w:after="120" w:line="276"/>
        <w:jc w:val="both"/>
      </w:pPr>
      <w:r>
        <w:rPr>
          <w:rFonts w:ascii="Verdana" w:cs="Verdana" w:eastAsia="Verdana" w:hAnsi="Verdana"/>
        </w:rPr>
        <w:t xml:space="preserve">Two newer penalties target specific sectors. Section 122A imposes Rs. 1 lakh for each machine not registered under the special procedure for notified goods such as pan masala and tobacco products, with seizure and confiscation of the machine. Section 122B, from the Finance Act, 2025, imposes the higher of Rs. 1 lakh or 10% of tax payable for contravening the track and trace mechanism under section 148A.</w:t>
      </w:r>
    </w:p>
    <w:p>
      <w:pPr>
        <w:pStyle w:val="Heading2"/>
        <w:keepNext/>
        <w:spacing w:after="120" w:before="240"/>
      </w:pPr>
      <w:r>
        <w:rPr>
          <w:rFonts w:ascii="Verdana" w:cs="Verdana" w:eastAsia="Verdana" w:hAnsi="Verdana"/>
        </w:rPr>
        <w:t xml:space="preserve">40.2 Other Penalties and General Disciplines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9"/>
        <w:gridCol w:w="4497"/>
        <w:gridCol w:w="3642"/>
      </w:tblGrid>
      <w:tr>
        <w:trPr>
          <w:cantSplit/>
          <w:tblHeader/>
        </w:trPr>
        <w:tc>
          <w:tcPr>
            <w:tcW w:type="dxa" w:w="149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Section</w:t>
            </w:r>
          </w:p>
        </w:tc>
        <w:tc>
          <w:tcPr>
            <w:tcW w:type="dxa" w:w="449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Default</w:t>
            </w:r>
          </w:p>
        </w:tc>
        <w:tc>
          <w:tcPr>
            <w:tcW w:type="dxa" w:w="364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Penalty</w:t>
            </w:r>
          </w:p>
        </w:tc>
      </w:tr>
      <w:tr>
        <w:trPr>
          <w:cantSplit/>
        </w:trPr>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123</w:t>
            </w:r>
          </w:p>
        </w:tc>
        <w:tc>
          <w:tcPr>
            <w:tcW w:type="dxa" w:w="449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Failure to file information return (section 150)</w:t>
            </w:r>
          </w:p>
        </w:tc>
        <w:tc>
          <w:tcPr>
            <w:tcW w:type="dxa" w:w="364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100 per day, up to Rs. 5,000</w:t>
            </w:r>
          </w:p>
        </w:tc>
      </w:tr>
      <w:tr>
        <w:trPr>
          <w:cantSplit/>
        </w:trPr>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124</w:t>
            </w:r>
          </w:p>
        </w:tc>
        <w:tc>
          <w:tcPr>
            <w:tcW w:type="dxa" w:w="449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Failure to furnish statistics</w:t>
            </w:r>
          </w:p>
        </w:tc>
        <w:tc>
          <w:tcPr>
            <w:tcW w:type="dxa" w:w="364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Rs. 10,000; Rs. 100 per day continuing, up to Rs. 25,000</w:t>
            </w:r>
          </w:p>
        </w:tc>
      </w:tr>
      <w:tr>
        <w:trPr>
          <w:cantSplit/>
        </w:trPr>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125</w:t>
            </w:r>
          </w:p>
        </w:tc>
        <w:tc>
          <w:tcPr>
            <w:tcW w:type="dxa" w:w="449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Any contravention with no separate penalty</w:t>
            </w:r>
          </w:p>
        </w:tc>
        <w:tc>
          <w:tcPr>
            <w:tcW w:type="dxa" w:w="364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Rs. 25,000</w:t>
            </w:r>
          </w:p>
        </w:tc>
      </w:tr>
      <w:tr>
        <w:trPr>
          <w:cantSplit/>
        </w:trPr>
        <w:tc>
          <w:tcPr>
            <w:tcW w:type="dxa" w:w="14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127</w:t>
            </w:r>
          </w:p>
        </w:tc>
        <w:tc>
          <w:tcPr>
            <w:tcW w:type="dxa" w:w="449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Power to impose penalty in cases not covered by assessment or demand proceedings</w:t>
            </w:r>
          </w:p>
        </w:tc>
        <w:tc>
          <w:tcPr>
            <w:tcW w:type="dxa" w:w="364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After notice and hearing</w:t>
            </w:r>
          </w:p>
        </w:tc>
      </w:tr>
    </w:tbl>
    <w:p>
      <w:pPr>
        <w:spacing w:after="60"/>
      </w:pPr>
    </w:p>
    <w:p>
      <w:pPr>
        <w:spacing w:after="120" w:line="276"/>
        <w:jc w:val="both"/>
      </w:pPr>
      <w:r>
        <w:rPr>
          <w:rFonts w:ascii="Verdana" w:cs="Verdana" w:eastAsia="Verdana" w:hAnsi="Verdana"/>
        </w:rPr>
        <w:t xml:space="preserve">Section 126 guards against petty penalties. No penalty is imposed for minor breaches, meaning tax involved of less than Rs. 5,000, or for easily rectifiable mistakes made without fraudulent intent or gross negligence. Every penalty must depend on the facts, follow a show cause notice and hearing, and be explained in the order. Voluntary disclosure is a mitigating factor. The section does not apply where the penalty is a fixed sum or fixed percentage.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194: Minor breach under section 126</w:t>
            </w:r>
          </w:p>
          <w:p>
            <w:pPr>
              <w:spacing w:after="60" w:line="260"/>
            </w:pPr>
            <w:r>
              <w:rPr>
                <w:rFonts w:ascii="Verdana" w:cs="Verdana" w:eastAsia="Verdana" w:hAnsi="Verdana"/>
                <w:sz w:val="20"/>
                <w:szCs w:val="20"/>
              </w:rPr>
              <w:t xml:space="preserve">Kavya Stores, through a billing error, charged 5% instead of 18% on a small batch of goods and corrected it when the error was noticed. The tax short paid was Rs. 4,200. The tax involved is less than Rs. 5,000 and there was no fraud or gross negligence, so this is a minor breach. The officer may recover the tax and interest but cannot levy penalty under section 125.</w:t>
            </w:r>
          </w:p>
        </w:tc>
      </w:tr>
    </w:tbl>
    <w:p>
      <w:pPr>
        <w:spacing w:after="60"/>
      </w:pPr>
    </w:p>
    <w:p>
      <w:pPr>
        <w:pStyle w:val="Heading2"/>
        <w:keepNext/>
        <w:spacing w:after="120" w:before="240"/>
      </w:pPr>
      <w:r>
        <w:rPr>
          <w:rFonts w:ascii="Verdana" w:cs="Verdana" w:eastAsia="Verdana" w:hAnsi="Verdana"/>
        </w:rPr>
        <w:t xml:space="preserve">40.3 Late Fees and Waivers (Sections 47 and 128)</w:t>
      </w:r>
    </w:p>
    <w:p>
      <w:pPr>
        <w:spacing w:after="120" w:line="276"/>
        <w:jc w:val="both"/>
      </w:pPr>
      <w:r>
        <w:rPr>
          <w:rFonts w:ascii="Verdana" w:cs="Verdana" w:eastAsia="Verdana" w:hAnsi="Verdana"/>
        </w:rPr>
        <w:t xml:space="preserve">Late fees are a separate levy under section 47. Section 128 allows the Government to waive penalty or late fee in part or full by notification, and it has been used for amnesty schemes for pending GSTR-3B, GSTR-4, GSTR-9 and GSTR-10 filings.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195: Late fee computations</w:t>
            </w:r>
          </w:p>
          <w:p>
            <w:pPr>
              <w:spacing w:after="60" w:line="260"/>
            </w:pPr>
            <w:r>
              <w:rPr>
                <w:rFonts w:ascii="Verdana" w:cs="Verdana" w:eastAsia="Verdana" w:hAnsi="Verdana"/>
                <w:sz w:val="20"/>
                <w:szCs w:val="20"/>
              </w:rPr>
              <w:t xml:space="preserve">GSTR-3B filed 47 days late; aggregate turnover Rs. 3 crore. Fee: 47 x Rs. 50 = Rs. 2,350 (Rs. 1,175 CGST and Rs. 1,175 SGST); within the Rs. 5,000 cap.</w:t>
            </w:r>
          </w:p>
          <w:p>
            <w:pPr>
              <w:spacing w:after="60" w:line="260"/>
            </w:pPr>
            <w:r>
              <w:rPr>
                <w:rFonts w:ascii="Verdana" w:cs="Verdana" w:eastAsia="Verdana" w:hAnsi="Verdana"/>
                <w:sz w:val="20"/>
                <w:szCs w:val="20"/>
              </w:rPr>
              <w:t xml:space="preserve">Nil GSTR-3B filed 38 days late: 38 x Rs. 20 = Rs. 760, capped at Rs. 500.</w:t>
            </w:r>
          </w:p>
          <w:p>
            <w:pPr>
              <w:spacing w:after="60" w:line="260"/>
            </w:pPr>
            <w:r>
              <w:rPr>
                <w:rFonts w:ascii="Verdana" w:cs="Verdana" w:eastAsia="Verdana" w:hAnsi="Verdana"/>
                <w:sz w:val="20"/>
                <w:szCs w:val="20"/>
              </w:rPr>
              <w:t xml:space="preserve">GSTR-9 filed 150 days late; turnover Rs. 4 crore. Fee: 150 x Rs. 50 = Rs. 7,500; cap 0.04% of Rs. 4 crore = Rs. 16,000. Payable: Rs. 7,500.</w:t>
            </w:r>
          </w:p>
        </w:tc>
      </w:tr>
    </w:tbl>
    <w:p>
      <w:pPr>
        <w:spacing w:after="60"/>
      </w:pPr>
    </w:p>
    <w:p>
      <w:pPr>
        <w:pStyle w:val="Heading2"/>
        <w:keepNext/>
        <w:spacing w:after="120" w:before="240"/>
      </w:pPr>
      <w:r>
        <w:rPr>
          <w:rFonts w:ascii="Verdana" w:cs="Verdana" w:eastAsia="Verdana" w:hAnsi="Verdana"/>
        </w:rPr>
        <w:t xml:space="preserve">40.4 Mens Rea and Civil Penalties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Is intent needed for penalty?</w:t>
            </w:r>
          </w:p>
          <w:p>
            <w:pPr>
              <w:spacing w:after="60" w:line="260"/>
            </w:pPr>
            <w:r>
              <w:rPr>
                <w:rFonts w:ascii="Verdana" w:cs="Verdana" w:eastAsia="Verdana" w:hAnsi="Verdana"/>
                <w:b/>
                <w:bCs/>
                <w:sz w:val="20"/>
                <w:szCs w:val="20"/>
              </w:rPr>
              <w:t xml:space="preserve">Hindustan Steel Ltd. v. State of Orissa (Supreme Court, 1969):</w:t>
            </w:r>
            <w:r>
              <w:rPr>
                <w:rFonts w:ascii="Verdana" w:cs="Verdana" w:eastAsia="Verdana" w:hAnsi="Verdana"/>
                <w:sz w:val="20"/>
                <w:szCs w:val="20"/>
              </w:rPr>
              <w:t xml:space="preserve"> Penalty is not imposed merely because it is lawful to do so. It is ordinarily imposed where the party acted deliberately in defiance of law, was guilty of dishonest conduct, or acted in conscious disregard of its obligation. No penalty for a technical breach or a bona fide belief.</w:t>
            </w:r>
          </w:p>
          <w:p>
            <w:pPr>
              <w:spacing w:after="60" w:line="260"/>
            </w:pPr>
            <w:r>
              <w:rPr>
                <w:rFonts w:ascii="Verdana" w:cs="Verdana" w:eastAsia="Verdana" w:hAnsi="Verdana"/>
                <w:b/>
                <w:bCs/>
                <w:sz w:val="20"/>
                <w:szCs w:val="20"/>
              </w:rPr>
              <w:t xml:space="preserve">Union of India v. Dharmendra Textile Processors (Supreme Court, 2008):</w:t>
            </w:r>
            <w:r>
              <w:rPr>
                <w:rFonts w:ascii="Verdana" w:cs="Verdana" w:eastAsia="Verdana" w:hAnsi="Verdana"/>
                <w:sz w:val="20"/>
                <w:szCs w:val="20"/>
              </w:rPr>
              <w:t xml:space="preserve"> A civil penalty for breach of a statutory obligation does not require proof of mens rea unless the provision requires it.</w:t>
            </w:r>
          </w:p>
          <w:p>
            <w:pPr>
              <w:spacing w:after="60" w:line="260"/>
            </w:pPr>
            <w:r>
              <w:rPr>
                <w:rFonts w:ascii="Verdana" w:cs="Verdana" w:eastAsia="Verdana" w:hAnsi="Verdana"/>
                <w:sz w:val="20"/>
                <w:szCs w:val="20"/>
              </w:rPr>
              <w:t xml:space="preserve">Under GST, section 126 codifies much of Hindustan Steel, while penalties under section 74 and the fraud limb of section 74A carry intent within their own words. For fixed penalties under section 122, Dharmendra Textile is cited by the department; the taxpayer should rely on section 126 and the facts.</w:t>
            </w:r>
          </w:p>
        </w:tc>
      </w:tr>
    </w:tbl>
    <w:p>
      <w:pPr>
        <w:spacing w:after="60"/>
      </w:pPr>
    </w:p>
    <w:p>
      <w:pPr>
        <w:pStyle w:val="Heading2"/>
        <w:keepNext/>
        <w:spacing w:after="120" w:before="240"/>
      </w:pPr>
      <w:r>
        <w:rPr>
          <w:rFonts w:ascii="Verdana" w:cs="Verdana" w:eastAsia="Verdana" w:hAnsi="Verdana"/>
        </w:rPr>
        <w:t xml:space="preserve">40.5 Prosecution (Sections 132 to 138)</w:t>
      </w:r>
    </w:p>
    <w:p>
      <w:pPr>
        <w:spacing w:after="120" w:line="276"/>
        <w:jc w:val="both"/>
      </w:pPr>
      <w:r>
        <w:rPr>
          <w:rFonts w:ascii="Verdana" w:cs="Verdana" w:eastAsia="Verdana" w:hAnsi="Verdana"/>
        </w:rPr>
        <w:t xml:space="preserve">Prosecution is for deliberate offences under section 132(1), such as supply without invoice, fake invoices, and fraudulent ITC or refund. The Finance Act, 2023 raised the thresholds and decriminalised obstruction of officers, tampering with evidence and failure to supply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26"/>
        <w:gridCol w:w="4712"/>
      </w:tblGrid>
      <w:tr>
        <w:trPr>
          <w:cantSplit/>
          <w:tblHeader/>
        </w:trPr>
        <w:tc>
          <w:tcPr>
            <w:tcW w:type="dxa" w:w="492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Amount of tax evaded, ITC or refund</w:t>
            </w:r>
          </w:p>
        </w:tc>
        <w:tc>
          <w:tcPr>
            <w:tcW w:type="dxa" w:w="471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Punishment</w:t>
            </w:r>
          </w:p>
        </w:tc>
      </w:tr>
      <w:tr>
        <w:trPr>
          <w:cantSplit/>
        </w:trPr>
        <w:tc>
          <w:tcPr>
            <w:tcW w:type="dxa" w:w="4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More than Rs. 5 crore</w:t>
            </w:r>
          </w:p>
        </w:tc>
        <w:tc>
          <w:tcPr>
            <w:tcW w:type="dxa" w:w="47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Imprisonment up to 5 years and fine; cognizable and non-bailable</w:t>
            </w:r>
          </w:p>
        </w:tc>
      </w:tr>
      <w:tr>
        <w:trPr>
          <w:cantSplit/>
        </w:trPr>
        <w:tc>
          <w:tcPr>
            <w:tcW w:type="dxa" w:w="4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More than Rs. 2 crore, up to Rs. 5 crore</w:t>
            </w:r>
          </w:p>
        </w:tc>
        <w:tc>
          <w:tcPr>
            <w:tcW w:type="dxa" w:w="47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3 years and fine</w:t>
            </w:r>
          </w:p>
        </w:tc>
      </w:tr>
      <w:tr>
        <w:trPr>
          <w:cantSplit/>
        </w:trPr>
        <w:tc>
          <w:tcPr>
            <w:tcW w:type="dxa" w:w="4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Fake invoices only: more than Rs. 1 crore, up to Rs. 2 crore</w:t>
            </w:r>
          </w:p>
        </w:tc>
        <w:tc>
          <w:tcPr>
            <w:tcW w:type="dxa" w:w="47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1 year and fine</w:t>
            </w:r>
          </w:p>
        </w:tc>
      </w:tr>
      <w:tr>
        <w:trPr>
          <w:cantSplit/>
        </w:trPr>
        <w:tc>
          <w:tcPr>
            <w:tcW w:type="dxa" w:w="4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Repeat conviction</w:t>
            </w:r>
          </w:p>
        </w:tc>
        <w:tc>
          <w:tcPr>
            <w:tcW w:type="dxa" w:w="47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5 years and fine for each later offence</w:t>
            </w:r>
          </w:p>
        </w:tc>
      </w:tr>
    </w:tbl>
    <w:p>
      <w:pPr>
        <w:spacing w:after="60"/>
      </w:pPr>
    </w:p>
    <w:p>
      <w:pPr>
        <w:pStyle w:val="ListParagraph"/>
        <w:numPr>
          <w:ilvl w:val="0"/>
          <w:numId w:val="2"/>
        </w:numPr>
        <w:spacing w:after="60" w:line="264"/>
      </w:pPr>
      <w:r>
        <w:rPr>
          <w:rFonts w:ascii="Verdana" w:cs="Verdana" w:eastAsia="Verdana" w:hAnsi="Verdana"/>
          <w:b/>
          <w:bCs/>
        </w:rPr>
        <w:t xml:space="preserve">Sanction and cognisance:</w:t>
      </w:r>
      <w:r>
        <w:rPr>
          <w:rFonts w:ascii="Verdana" w:cs="Verdana" w:eastAsia="Verdana" w:hAnsi="Verdana"/>
        </w:rPr>
        <w:t xml:space="preserve"> no prosecution without the previous sanction of the Commissioner; only a Magistrate of the first class or higher can try it (section 134).</w:t>
      </w:r>
    </w:p>
    <w:p>
      <w:pPr>
        <w:pStyle w:val="ListParagraph"/>
        <w:numPr>
          <w:ilvl w:val="0"/>
          <w:numId w:val="2"/>
        </w:numPr>
        <w:spacing w:after="60" w:line="264"/>
      </w:pPr>
      <w:r>
        <w:rPr>
          <w:rFonts w:ascii="Verdana" w:cs="Verdana" w:eastAsia="Verdana" w:hAnsi="Verdana"/>
          <w:b/>
          <w:bCs/>
        </w:rPr>
        <w:t xml:space="preserve">Presumption:</w:t>
      </w:r>
      <w:r>
        <w:rPr>
          <w:rFonts w:ascii="Verdana" w:cs="Verdana" w:eastAsia="Verdana" w:hAnsi="Verdana"/>
        </w:rPr>
        <w:t xml:space="preserve"> in any prosecution requiring a culpable mental state, the court presumes it; the accused may prove otherwise beyond reasonable doubt (section 135).</w:t>
      </w:r>
    </w:p>
    <w:p>
      <w:pPr>
        <w:pStyle w:val="ListParagraph"/>
        <w:numPr>
          <w:ilvl w:val="0"/>
          <w:numId w:val="2"/>
        </w:numPr>
        <w:spacing w:after="60" w:line="264"/>
      </w:pPr>
      <w:r>
        <w:rPr>
          <w:rFonts w:ascii="Verdana" w:cs="Verdana" w:eastAsia="Verdana" w:hAnsi="Verdana"/>
          <w:b/>
          <w:bCs/>
        </w:rPr>
        <w:t xml:space="preserve">Companies:</w:t>
      </w:r>
      <w:r>
        <w:rPr>
          <w:rFonts w:ascii="Verdana" w:cs="Verdana" w:eastAsia="Verdana" w:hAnsi="Verdana"/>
        </w:rPr>
        <w:t xml:space="preserve"> every person in charge of and responsible for the conduct of business is deemed guilty unless he proves lack of knowledge or due diligence (section 137).</w:t>
      </w:r>
    </w:p>
    <w:p>
      <w:pPr>
        <w:pStyle w:val="ListParagraph"/>
        <w:numPr>
          <w:ilvl w:val="0"/>
          <w:numId w:val="2"/>
        </w:numPr>
        <w:spacing w:after="60" w:line="264"/>
      </w:pPr>
      <w:r>
        <w:rPr>
          <w:rFonts w:ascii="Verdana" w:cs="Verdana" w:eastAsia="Verdana" w:hAnsi="Verdana"/>
          <w:b/>
          <w:bCs/>
        </w:rPr>
        <w:t xml:space="preserve">Compounding:</w:t>
      </w:r>
      <w:r>
        <w:rPr>
          <w:rFonts w:ascii="Verdana" w:cs="Verdana" w:eastAsia="Verdana" w:hAnsi="Verdana"/>
        </w:rPr>
        <w:t xml:space="preserve"> under section 138, the Commissioner may compound on payment of 25% to 100% of the tax involved, after tax, interest and penalty are paid. It is not available to a person accused of issuing invoices without supply under section 132(1)(b), a person convicted by a court, a person who has compounded specified offences earlier, and other prescribed classes.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196: Compounding amount</w:t>
            </w:r>
          </w:p>
          <w:p>
            <w:pPr>
              <w:spacing w:after="60" w:line="260"/>
            </w:pPr>
            <w:r>
              <w:rPr>
                <w:rFonts w:ascii="Verdana" w:cs="Verdana" w:eastAsia="Verdana" w:hAnsi="Verdana"/>
                <w:sz w:val="20"/>
                <w:szCs w:val="20"/>
              </w:rPr>
              <w:t xml:space="preserve">Bansal Polymers wrongly availed ITC of Rs. 2,40,00,000 and has paid tax, interest and penalty. Compounding amount: minimum 25% = Rs. 60,00,000; maximum 100% = Rs. 2,40,00,000. On payment, no further proceedings are started under the Act and pending criminal proceedings abate.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Section 122 penalty is Rs. 10,000 or the tax involved, whichever is higher; section 122(1A) reaches the person at whose instance fake transactions are done.</w:t>
            </w:r>
          </w:p>
          <w:p>
            <w:pPr>
              <w:spacing w:after="60" w:line="260"/>
            </w:pPr>
            <w:r>
              <w:rPr>
                <w:rFonts w:ascii="Verdana" w:cs="Verdana" w:eastAsia="Verdana" w:hAnsi="Verdana"/>
                <w:sz w:val="20"/>
                <w:szCs w:val="20"/>
              </w:rPr>
              <w:t xml:space="preserve">•  Sections 122A and 122B add penalties for unregistered machines and track and trace breaches; section 125 is the residuary penalty up to Rs. 25,000.</w:t>
            </w:r>
          </w:p>
          <w:p>
            <w:pPr>
              <w:spacing w:after="60" w:line="260"/>
            </w:pPr>
            <w:r>
              <w:rPr>
                <w:rFonts w:ascii="Verdana" w:cs="Verdana" w:eastAsia="Verdana" w:hAnsi="Verdana"/>
                <w:sz w:val="20"/>
                <w:szCs w:val="20"/>
              </w:rPr>
              <w:t xml:space="preserve">•  Section 126 bars penalty for minor breaches (tax below Rs. 5,000) and easily rectifiable mistakes, and requires notice, hearing and reasons.</w:t>
            </w:r>
          </w:p>
          <w:p>
            <w:pPr>
              <w:spacing w:after="60" w:line="260"/>
            </w:pPr>
            <w:r>
              <w:rPr>
                <w:rFonts w:ascii="Verdana" w:cs="Verdana" w:eastAsia="Verdana" w:hAnsi="Verdana"/>
                <w:sz w:val="20"/>
                <w:szCs w:val="20"/>
              </w:rPr>
              <w:t xml:space="preserve">•  Late fees under section 47 are capped by turnover; section 128 allows waiver by notification.</w:t>
            </w:r>
          </w:p>
          <w:p>
            <w:pPr>
              <w:spacing w:after="60" w:line="260"/>
            </w:pPr>
            <w:r>
              <w:rPr>
                <w:rFonts w:ascii="Verdana" w:cs="Verdana" w:eastAsia="Verdana" w:hAnsi="Verdana"/>
                <w:sz w:val="20"/>
                <w:szCs w:val="20"/>
              </w:rPr>
              <w:t xml:space="preserve">•  Prosecution generally needs more than Rs. 2 crore (Rs. 1 crore for fake invoices), Commissioner's sanction, and is cognizable only above Rs. 5 crore.</w:t>
            </w:r>
          </w:p>
          <w:p>
            <w:pPr>
              <w:spacing w:after="60" w:line="260"/>
            </w:pPr>
            <w:r>
              <w:rPr>
                <w:rFonts w:ascii="Verdana" w:cs="Verdana" w:eastAsia="Verdana" w:hAnsi="Verdana"/>
                <w:sz w:val="20"/>
                <w:szCs w:val="20"/>
              </w:rPr>
              <w:t xml:space="preserve">•  Compounding costs 25% to 100% of tax, and is barred for fake invoice cases and persons already convicted.</w:t>
            </w:r>
          </w:p>
        </w:tc>
      </w:tr>
    </w:tbl>
    <w:p>
      <w:pPr>
        <w:pStyle w:val="Heading1"/>
        <w:pageBreakBefore/>
        <w:spacing w:after="200" w:before="0"/>
      </w:pPr>
      <w:r>
        <w:rPr>
          <w:rFonts w:ascii="Verdana" w:cs="Verdana" w:eastAsia="Verdana" w:hAnsi="Verdana"/>
        </w:rPr>
        <w:t xml:space="preserve">41. Anti-Profiteering (Section 171) and Rate-Cut Pricing</w:t>
      </w:r>
    </w:p>
    <w:p>
      <w:pPr>
        <w:spacing w:after="120" w:line="276"/>
        <w:jc w:val="both"/>
      </w:pPr>
      <w:r>
        <w:rPr>
          <w:rFonts w:ascii="Verdana" w:cs="Verdana" w:eastAsia="Verdana" w:hAnsi="Verdana"/>
        </w:rPr>
        <w:t xml:space="preserve">Section 171(1) requires that any reduction in the rate of tax on a supply, or any benefit of input tax credit, be passed on to the recipient by a commensurate reduction in prices. The provision was meant for the transition in 2017, when many businesses gained new credits, and for later rate cuts. It does not fix prices; it forbids keeping a tax benefit that the law intended for the buyer.</w:t>
      </w:r>
    </w:p>
    <w:p>
      <w:pPr>
        <w:pStyle w:val="Heading2"/>
        <w:keepNext/>
        <w:spacing w:after="120" w:before="240"/>
      </w:pPr>
      <w:r>
        <w:rPr>
          <w:rFonts w:ascii="Verdana" w:cs="Verdana" w:eastAsia="Verdana" w:hAnsi="Verdana"/>
        </w:rPr>
        <w:t xml:space="preserve">41.1 The Machinery and Its Sunset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69"/>
        <w:gridCol w:w="5569"/>
      </w:tblGrid>
      <w:tr>
        <w:trPr>
          <w:cantSplit/>
          <w:tblHeader/>
        </w:trPr>
        <w:tc>
          <w:tcPr>
            <w:tcW w:type="dxa" w:w="406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Period</w:t>
            </w:r>
          </w:p>
        </w:tc>
        <w:tc>
          <w:tcPr>
            <w:tcW w:type="dxa" w:w="556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Authority examining complaints</w:t>
            </w:r>
          </w:p>
        </w:tc>
      </w:tr>
      <w:tr>
        <w:trPr>
          <w:cantSplit/>
        </w:trPr>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2017 to 30 November 2022</w:t>
            </w:r>
          </w:p>
        </w:tc>
        <w:tc>
          <w:tcPr>
            <w:tcW w:type="dxa" w:w="55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National Anti-profiteering Authority (NAA)</w:t>
            </w:r>
          </w:p>
        </w:tc>
      </w:tr>
      <w:tr>
        <w:trPr>
          <w:cantSplit/>
        </w:trPr>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December 2022 to 30 September 2024</w:t>
            </w:r>
          </w:p>
        </w:tc>
        <w:tc>
          <w:tcPr>
            <w:tcW w:type="dxa" w:w="55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Competition Commission of India</w:t>
            </w:r>
          </w:p>
        </w:tc>
      </w:tr>
      <w:tr>
        <w:trPr>
          <w:cantSplit/>
        </w:trPr>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From 1 October 2024</w:t>
            </w:r>
          </w:p>
        </w:tc>
        <w:tc>
          <w:tcPr>
            <w:tcW w:type="dxa" w:w="55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Principal Bench of the GSTAT (pending and new cases)</w:t>
            </w:r>
          </w:p>
        </w:tc>
      </w:tr>
      <w:tr>
        <w:trPr>
          <w:cantSplit/>
        </w:trPr>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 or after 1 April 2025</w:t>
            </w:r>
          </w:p>
        </w:tc>
        <w:tc>
          <w:tcPr>
            <w:tcW w:type="dxa" w:w="55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new request for examination accepted (sunset notified on 30 September 2024)</w:t>
            </w:r>
          </w:p>
        </w:tc>
      </w:tr>
    </w:tbl>
    <w:p>
      <w:pPr>
        <w:spacing w:after="60"/>
      </w:pPr>
    </w:p>
    <w:p>
      <w:pPr>
        <w:spacing w:after="120" w:line="276"/>
        <w:jc w:val="both"/>
      </w:pPr>
      <w:r>
        <w:rPr>
          <w:rFonts w:ascii="Verdana" w:cs="Verdana" w:eastAsia="Verdana" w:hAnsi="Verdana"/>
        </w:rPr>
        <w:t xml:space="preserve">Cases filed before the sunset continue before the GSTAT. Where profiteering is established, the person must reduce prices and return the profiteered amount with interest, or deposit it in the Consumer Welfare Funds where the recipients cannot be identified. Under section 171(3A), a penalty of 10% of the profiteered amount applies unless the amount is deposited within 30 days of the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Validity of anti-profiteering</w:t>
            </w:r>
          </w:p>
          <w:p>
            <w:pPr>
              <w:spacing w:after="60" w:line="260"/>
            </w:pPr>
            <w:r>
              <w:rPr>
                <w:rFonts w:ascii="Verdana" w:cs="Verdana" w:eastAsia="Verdana" w:hAnsi="Verdana"/>
                <w:b/>
                <w:bCs/>
                <w:sz w:val="20"/>
                <w:szCs w:val="20"/>
              </w:rPr>
              <w:t xml:space="preserve">Reckitt Benckiser India (P) Ltd. v. Union of India (Delhi High Court, 2024):</w:t>
            </w:r>
            <w:r>
              <w:rPr>
                <w:rFonts w:ascii="Verdana" w:cs="Verdana" w:eastAsia="Verdana" w:hAnsi="Verdana"/>
                <w:sz w:val="20"/>
                <w:szCs w:val="20"/>
              </w:rPr>
              <w:t xml:space="preserve"> The Court upheld the constitutional validity of section 171 and the related rules. It held that the absence of a fixed methodology did not make the provision arbitrary, because the method must suit the facts of each case. Individual orders could still be challenged on their facts, and some cases were sent back for that purpose.</w:t>
            </w:r>
          </w:p>
          <w:p>
            <w:pPr>
              <w:spacing w:after="60" w:line="260"/>
            </w:pPr>
            <w:r>
              <w:rPr>
                <w:rFonts w:ascii="Verdana" w:cs="Verdana" w:eastAsia="Verdana" w:hAnsi="Verdana"/>
                <w:sz w:val="20"/>
                <w:szCs w:val="20"/>
              </w:rPr>
              <w:t xml:space="preserve">Practical point: pending cases are argued on facts, such as product-wise computation, cost increases absorbed, and whether the benefit reached the customer in another form.</w:t>
            </w:r>
          </w:p>
        </w:tc>
      </w:tr>
    </w:tbl>
    <w:p>
      <w:pPr>
        <w:spacing w:after="60"/>
      </w:pPr>
    </w:p>
    <w:p>
      <w:pPr>
        <w:pStyle w:val="Heading2"/>
        <w:keepNext/>
        <w:spacing w:after="120" w:before="240"/>
      </w:pPr>
      <w:r>
        <w:rPr>
          <w:rFonts w:ascii="Verdana" w:cs="Verdana" w:eastAsia="Verdana" w:hAnsi="Verdana"/>
        </w:rPr>
        <w:t xml:space="preserve">41.2 Why It Still Matters after GST 2.0</w:t>
      </w:r>
    </w:p>
    <w:p>
      <w:pPr>
        <w:spacing w:after="120" w:line="276"/>
        <w:jc w:val="both"/>
      </w:pPr>
      <w:r>
        <w:rPr>
          <w:rFonts w:ascii="Verdana" w:cs="Verdana" w:eastAsia="Verdana" w:hAnsi="Verdana"/>
        </w:rPr>
        <w:t xml:space="preserve">The rate cuts of 22 September 2025 were the largest since 2017. Many goods moved from 12% or 18% to 5%, and from 28% to 18%. Because of the sunset, no new anti-profiteering complaint can be filed for these cuts. But the Government publicly expected the benefit to be passed on, monitored prices of common items and took consumer grievances through its consumer helpline channels. Large brands, retailers and e-commerce platforms were also watched by the media and by customers comparing old and new prices. For a business, the risk now is reputational and commercial rather than a statutory order, but the numbers should still be defensible.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197: Revising prices after GST 2.0</w:t>
            </w:r>
          </w:p>
          <w:p>
            <w:pPr>
              <w:spacing w:after="60" w:line="260"/>
            </w:pPr>
            <w:r>
              <w:rPr>
                <w:rFonts w:ascii="Verdana" w:cs="Verdana" w:eastAsia="Verdana" w:hAnsi="Verdana"/>
                <w:sz w:val="20"/>
                <w:szCs w:val="20"/>
              </w:rPr>
              <w:t xml:space="preserve">Mehta Distributors revised the price list on 22 September 2025, keeping the pre-tax price unchanged.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8"/>
        <w:gridCol w:w="1927"/>
        <w:gridCol w:w="2570"/>
        <w:gridCol w:w="2143"/>
      </w:tblGrid>
      <w:tr>
        <w:trPr>
          <w:cantSplit/>
          <w:tblHeader/>
        </w:trPr>
        <w:tc>
          <w:tcPr>
            <w:tcW w:type="dxa" w:w="299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Item</w:t>
            </w:r>
          </w:p>
        </w:tc>
        <w:tc>
          <w:tcPr>
            <w:tcW w:type="dxa" w:w="192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Old MRP (Rs.)</w:t>
            </w:r>
          </w:p>
        </w:tc>
        <w:tc>
          <w:tcPr>
            <w:tcW w:type="dxa" w:w="257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Pre-tax price (Rs.)</w:t>
            </w:r>
          </w:p>
        </w:tc>
        <w:tc>
          <w:tcPr>
            <w:tcW w:type="dxa" w:w="214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New MRP (Rs.)</w:t>
            </w:r>
          </w:p>
        </w:tc>
      </w:tr>
      <w:tr>
        <w:trPr>
          <w:cantSplit/>
        </w:trPr>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Toothpaste: 18% to 5%</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118</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118 / 1.18 = 100</w:t>
            </w:r>
          </w:p>
        </w:tc>
        <w:tc>
          <w:tcPr>
            <w:tcW w:type="dxa" w:w="21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 x 1.05 = 105</w:t>
            </w:r>
          </w:p>
        </w:tc>
      </w:tr>
      <w:tr>
        <w:trPr>
          <w:cantSplit/>
        </w:trPr>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Butter: 12% to 5%</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560</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560 / 1.12 = 500</w:t>
            </w:r>
          </w:p>
        </w:tc>
        <w:tc>
          <w:tcPr>
            <w:tcW w:type="dxa" w:w="21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500 x 1.05 = 525</w:t>
            </w:r>
          </w:p>
        </w:tc>
      </w:tr>
      <w:tr>
        <w:trPr>
          <w:cantSplit/>
        </w:trPr>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Air conditioner: 28% to 18%</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44,800</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44,800 / 1.28 = 35,000</w:t>
            </w:r>
          </w:p>
        </w:tc>
        <w:tc>
          <w:tcPr>
            <w:tcW w:type="dxa" w:w="21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35,000 x 1.18 = 41,300</w:t>
            </w:r>
          </w:p>
        </w:tc>
      </w:tr>
    </w:tbl>
    <w:p>
      <w:pPr>
        <w:spacing w:after="60"/>
      </w:pPr>
    </w:p>
    <w:p>
      <w:pPr>
        <w:spacing w:after="120" w:line="276"/>
        <w:jc w:val="both"/>
      </w:pPr>
      <w:r>
        <w:rPr>
          <w:rFonts w:ascii="Verdana" w:cs="Verdana" w:eastAsia="Verdana" w:hAnsi="Verdana"/>
        </w:rPr>
        <w:t xml:space="preserve">If a business also absorbs a genuine cost increase, it should keep a note of the increase (raw material prices, wages) with dates, so that the reduction it did pass on can be explained.</w:t>
      </w:r>
    </w:p>
    <w:p>
      <w:pPr>
        <w:pStyle w:val="Heading2"/>
        <w:keepNext/>
        <w:spacing w:after="120" w:before="240"/>
      </w:pPr>
      <w:r>
        <w:rPr>
          <w:rFonts w:ascii="Verdana" w:cs="Verdana" w:eastAsia="Verdana" w:hAnsi="Verdana"/>
        </w:rPr>
        <w:t xml:space="preserve">41.3 Stock in Hand and Credit</w:t>
      </w:r>
    </w:p>
    <w:p>
      <w:pPr>
        <w:spacing w:after="120" w:line="276"/>
        <w:jc w:val="both"/>
      </w:pPr>
      <w:r>
        <w:rPr>
          <w:rFonts w:ascii="Verdana" w:cs="Verdana" w:eastAsia="Verdana" w:hAnsi="Verdana"/>
        </w:rPr>
        <w:t xml:space="preserve">A rate cut does not require reversal of ITC on stock in hand, because the goods remain taxable. The credit simply exceeds the output tax for a while. Where goods become fully exempt, such as UHT milk, paneer and Indian breads, ITC on inputs held in stock and in semi-finished or finished goods must be reversed under section 17(2) and rules 42 and 43, or under section 18(4) where all supplies become exempt.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198: Credit on stock bought before the cut</w:t>
            </w:r>
          </w:p>
          <w:p>
            <w:pPr>
              <w:spacing w:after="60" w:line="260"/>
            </w:pPr>
            <w:r>
              <w:rPr>
                <w:rFonts w:ascii="Verdana" w:cs="Verdana" w:eastAsia="Verdana" w:hAnsi="Verdana"/>
                <w:sz w:val="20"/>
                <w:szCs w:val="20"/>
              </w:rPr>
              <w:t xml:space="preserve">Arora Electronics bought air conditioners in August 2025 at Rs. 30,000 each plus 28% GST of Rs. 8,400. After 22 September 2025 it sells them at Rs. 35,000 plus 18% GST of Rs. 6,300.</w:t>
            </w:r>
          </w:p>
          <w:p>
            <w:pPr>
              <w:spacing w:after="60" w:line="260"/>
            </w:pPr>
            <w:r>
              <w:rPr>
                <w:rFonts w:ascii="Verdana" w:cs="Verdana" w:eastAsia="Verdana" w:hAnsi="Verdana"/>
                <w:sz w:val="20"/>
                <w:szCs w:val="20"/>
              </w:rPr>
              <w:t xml:space="preserve">Step 1: Output tax Rs. 6,300; ITC Rs. 8,400. Excess credit Rs. 2,100 per unit stays in the electronic credit ledger and is used against other output tax.</w:t>
            </w:r>
          </w:p>
          <w:p>
            <w:pPr>
              <w:spacing w:after="60" w:line="260"/>
            </w:pPr>
            <w:r>
              <w:rPr>
                <w:rFonts w:ascii="Verdana" w:cs="Verdana" w:eastAsia="Verdana" w:hAnsi="Verdana"/>
                <w:sz w:val="20"/>
                <w:szCs w:val="20"/>
              </w:rPr>
              <w:t xml:space="preserve">Step 2: Inverted duty refund under section 54(3) is not available for this excess. CBIC clarified in 2020 that where the input and output are the same goods, credit accumulated because of a rate reduction does not qualify.</w:t>
            </w:r>
          </w:p>
        </w:tc>
      </w:tr>
    </w:tbl>
    <w:p>
      <w:pPr>
        <w:spacing w:after="60"/>
      </w:pPr>
    </w:p>
    <w:p>
      <w:pPr>
        <w:pStyle w:val="Heading2"/>
        <w:keepNext/>
        <w:spacing w:after="120" w:before="240"/>
      </w:pPr>
      <w:r>
        <w:rPr>
          <w:rFonts w:ascii="Verdana" w:cs="Verdana" w:eastAsia="Verdana" w:hAnsi="Verdana"/>
        </w:rPr>
        <w:t xml:space="preserve">41.4 Practical Steps after a Rate Cut</w:t>
      </w:r>
    </w:p>
    <w:p>
      <w:pPr>
        <w:pStyle w:val="ListParagraph"/>
        <w:numPr>
          <w:ilvl w:val="0"/>
          <w:numId w:val="2"/>
        </w:numPr>
        <w:spacing w:after="60" w:line="264"/>
      </w:pPr>
      <w:r>
        <w:rPr>
          <w:rFonts w:ascii="Verdana" w:cs="Verdana" w:eastAsia="Verdana" w:hAnsi="Verdana"/>
          <w:b/>
          <w:bCs/>
        </w:rPr>
        <w:t xml:space="preserve">Rate masters:</w:t>
      </w:r>
      <w:r>
        <w:rPr>
          <w:rFonts w:ascii="Verdana" w:cs="Verdana" w:eastAsia="Verdana" w:hAnsi="Verdana"/>
        </w:rPr>
        <w:t xml:space="preserve"> update HSN-wise rates in the ERP and billing software from the effective date; test a sample of invoices.</w:t>
      </w:r>
    </w:p>
    <w:p>
      <w:pPr>
        <w:pStyle w:val="ListParagraph"/>
        <w:numPr>
          <w:ilvl w:val="0"/>
          <w:numId w:val="2"/>
        </w:numPr>
        <w:spacing w:after="60" w:line="264"/>
      </w:pPr>
      <w:r>
        <w:rPr>
          <w:rFonts w:ascii="Verdana" w:cs="Verdana" w:eastAsia="Verdana" w:hAnsi="Verdana"/>
          <w:b/>
          <w:bCs/>
        </w:rPr>
        <w:t xml:space="preserve">Price communication:</w:t>
      </w:r>
      <w:r>
        <w:rPr>
          <w:rFonts w:ascii="Verdana" w:cs="Verdana" w:eastAsia="Verdana" w:hAnsi="Verdana"/>
        </w:rPr>
        <w:t xml:space="preserve"> issue revised price lists to distributors and retailers with the effective date; keep copies.</w:t>
      </w:r>
    </w:p>
    <w:p>
      <w:pPr>
        <w:pStyle w:val="ListParagraph"/>
        <w:numPr>
          <w:ilvl w:val="0"/>
          <w:numId w:val="2"/>
        </w:numPr>
        <w:spacing w:after="60" w:line="264"/>
      </w:pPr>
      <w:r>
        <w:rPr>
          <w:rFonts w:ascii="Verdana" w:cs="Verdana" w:eastAsia="Verdana" w:hAnsi="Verdana"/>
          <w:b/>
          <w:bCs/>
        </w:rPr>
        <w:t xml:space="preserve">MRP on packs:</w:t>
      </w:r>
      <w:r>
        <w:rPr>
          <w:rFonts w:ascii="Verdana" w:cs="Verdana" w:eastAsia="Verdana" w:hAnsi="Verdana"/>
        </w:rPr>
        <w:t xml:space="preserve"> the Legal Metrology guidelines of 9 September 2025, relaxed on 18 September 2025, allowed manufacturers, packers and importers to show the revised MRP on unsold stock by sticker, stamping or online printing up to 31 December 2025, keeping the original MRP visible. The newspaper advertisement requirement was replaced by circulars to dealers with a copy to the Legal Metrology authorities. Check any later extension before relying on it.</w:t>
      </w:r>
    </w:p>
    <w:p>
      <w:pPr>
        <w:pStyle w:val="ListParagraph"/>
        <w:numPr>
          <w:ilvl w:val="0"/>
          <w:numId w:val="2"/>
        </w:numPr>
        <w:spacing w:after="60" w:line="264"/>
      </w:pPr>
      <w:r>
        <w:rPr>
          <w:rFonts w:ascii="Verdana" w:cs="Verdana" w:eastAsia="Verdana" w:hAnsi="Verdana"/>
          <w:b/>
          <w:bCs/>
        </w:rPr>
        <w:t xml:space="preserve">Contracts:</w:t>
      </w:r>
      <w:r>
        <w:rPr>
          <w:rFonts w:ascii="Verdana" w:cs="Verdana" w:eastAsia="Verdana" w:hAnsi="Verdana"/>
        </w:rPr>
        <w:t xml:space="preserve"> long-term supply contracts with tax clauses should be read; a price stated as "inclusive of taxes" may need renegotiation to pass on the cut.</w:t>
      </w:r>
    </w:p>
    <w:p>
      <w:pPr>
        <w:pStyle w:val="ListParagraph"/>
        <w:numPr>
          <w:ilvl w:val="0"/>
          <w:numId w:val="2"/>
        </w:numPr>
        <w:spacing w:after="60" w:line="264"/>
      </w:pPr>
      <w:r>
        <w:rPr>
          <w:rFonts w:ascii="Verdana" w:cs="Verdana" w:eastAsia="Verdana" w:hAnsi="Verdana"/>
          <w:b/>
          <w:bCs/>
        </w:rPr>
        <w:t xml:space="preserve">Evidence file:</w:t>
      </w:r>
      <w:r>
        <w:rPr>
          <w:rFonts w:ascii="Verdana" w:cs="Verdana" w:eastAsia="Verdana" w:hAnsi="Verdana"/>
        </w:rPr>
        <w:t xml:space="preserve"> keep the old and new price lists, cost data and dealer circulars together for at least the record retention period.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Section 171 requires rate cuts and ITC benefits to be passed on through commensurate price reductions.</w:t>
            </w:r>
          </w:p>
          <w:p>
            <w:pPr>
              <w:spacing w:after="60" w:line="260"/>
            </w:pPr>
            <w:r>
              <w:rPr>
                <w:rFonts w:ascii="Verdana" w:cs="Verdana" w:eastAsia="Verdana" w:hAnsi="Verdana"/>
                <w:sz w:val="20"/>
                <w:szCs w:val="20"/>
              </w:rPr>
              <w:t xml:space="preserve">•  Complaints moved from the NAA to the CCI on 1 December 2022 and to the GSTAT Principal Bench from 1 October 2024; no new request is accepted from 1 April 2025.</w:t>
            </w:r>
          </w:p>
          <w:p>
            <w:pPr>
              <w:spacing w:after="60" w:line="260"/>
            </w:pPr>
            <w:r>
              <w:rPr>
                <w:rFonts w:ascii="Verdana" w:cs="Verdana" w:eastAsia="Verdana" w:hAnsi="Verdana"/>
                <w:sz w:val="20"/>
                <w:szCs w:val="20"/>
              </w:rPr>
              <w:t xml:space="preserve">•  The Delhi High Court upheld the provision in Reckitt Benckiser (2024), leaving methodology to the facts of each case.</w:t>
            </w:r>
          </w:p>
          <w:p>
            <w:pPr>
              <w:spacing w:after="60" w:line="260"/>
            </w:pPr>
            <w:r>
              <w:rPr>
                <w:rFonts w:ascii="Verdana" w:cs="Verdana" w:eastAsia="Verdana" w:hAnsi="Verdana"/>
                <w:sz w:val="20"/>
                <w:szCs w:val="20"/>
              </w:rPr>
              <w:t xml:space="preserve">•  For GST 2.0 there is no statutory complaint route, but commercial and reputational scrutiny continues; keep price workings on file.</w:t>
            </w:r>
          </w:p>
          <w:p>
            <w:pPr>
              <w:spacing w:after="60" w:line="260"/>
            </w:pPr>
            <w:r>
              <w:rPr>
                <w:rFonts w:ascii="Verdana" w:cs="Verdana" w:eastAsia="Verdana" w:hAnsi="Verdana"/>
                <w:sz w:val="20"/>
                <w:szCs w:val="20"/>
              </w:rPr>
              <w:t xml:space="preserve">•  Rate cuts do not require ITC reversal on stock unless goods become exempt; accumulated credit from a rate cut on the same goods is not refundable.</w:t>
            </w:r>
          </w:p>
          <w:p>
            <w:pPr>
              <w:spacing w:after="60" w:line="260"/>
            </w:pPr>
            <w:r>
              <w:rPr>
                <w:rFonts w:ascii="Verdana" w:cs="Verdana" w:eastAsia="Verdana" w:hAnsi="Verdana"/>
                <w:sz w:val="20"/>
                <w:szCs w:val="20"/>
              </w:rPr>
              <w:t xml:space="preserve">•  Revised MRP stickering on old stock was permitted up to 31 December 2025 with the original MRP visible.</w:t>
            </w:r>
          </w:p>
        </w:tc>
      </w:tr>
    </w:tbl>
    <w:p>
      <w:pPr>
        <w:pStyle w:val="TocPart"/>
        <w:pageBreakBefore/>
        <w:shd w:fill="92400E" w:color="auto" w:val="clear"/>
        <w:spacing w:after="0" w:before="0"/>
        <w:ind w:left="0"/>
      </w:pPr>
      <w:r>
        <w:rPr>
          <w:rFonts w:ascii="Verdana" w:cs="Verdana" w:eastAsia="Verdana" w:hAnsi="Verdana"/>
          <w:b/>
          <w:bCs/>
          <w:color w:val="FFFFFF"/>
          <w:sz w:val="26"/>
          <w:szCs w:val="26"/>
        </w:rPr>
        <w:t xml:space="preserve">  PART I: ACCOUNTING, RECONCILIATION AND PRACTICE</w:t>
      </w:r>
    </w:p>
    <w:p>
      <w:pPr>
        <w:shd w:fill="F6E8D2" w:color="auto" w:val="clear"/>
        <w:spacing w:after="200"/>
      </w:pPr>
      <w:r>
        <w:rPr>
          <w:rFonts w:ascii="Verdana" w:cs="Verdana" w:eastAsia="Verdana" w:hAnsi="Verdana"/>
          <w:i/>
          <w:iCs/>
          <w:color w:val="92400E"/>
          <w:sz w:val="20"/>
          <w:szCs w:val="20"/>
        </w:rPr>
        <w:t xml:space="preserve">  GST in the books, reconciliations, year-end closing and notice management</w:t>
      </w:r>
    </w:p>
    <w:p>
      <w:pPr>
        <w:spacing w:after="240" w:line="276"/>
        <w:jc w:val="both"/>
      </w:pPr>
      <w:r>
        <w:rPr>
          <w:rFonts w:ascii="Verdana" w:cs="Verdana" w:eastAsia="Verdana" w:hAnsi="Verdana"/>
          <w:i/>
          <w:iCs/>
          <w:color w:val="404040"/>
          <w:sz w:val="21"/>
          <w:szCs w:val="21"/>
        </w:rPr>
        <w:t xml:space="preserve">This Part turns from the law to the working desk. It shows how GST is recorded and disclosed, how returns are reconciled with the books month by month and at year-end, and how a practice handles notices and litigation in an orderly way.</w:t>
      </w:r>
    </w:p>
    <w:p>
      <w:pPr>
        <w:pStyle w:val="Heading1"/>
        <w:spacing w:after="200" w:before="120"/>
      </w:pPr>
      <w:r>
        <w:rPr>
          <w:rFonts w:ascii="Verdana" w:cs="Verdana" w:eastAsia="Verdana" w:hAnsi="Verdana"/>
        </w:rPr>
        <w:t xml:space="preserve">42. GST in Books of Account and Financial Statements</w:t>
      </w:r>
    </w:p>
    <w:p>
      <w:pPr>
        <w:spacing w:after="120" w:line="276"/>
        <w:jc w:val="both"/>
      </w:pPr>
      <w:r>
        <w:rPr>
          <w:rFonts w:ascii="Verdana" w:cs="Verdana" w:eastAsia="Verdana" w:hAnsi="Verdana"/>
        </w:rPr>
        <w:t xml:space="preserve">GST collected on sales is not the business's income, and GST paid on eligible purchases is not its expense. Both are balances with the Government. Good ledger design keeps these balances visible, ties them to the electronic ledgers on the portal and makes reconciliation a routine task.</w:t>
      </w:r>
    </w:p>
    <w:p>
      <w:pPr>
        <w:pStyle w:val="Heading2"/>
        <w:keepNext/>
        <w:spacing w:after="120" w:before="240"/>
      </w:pPr>
      <w:r>
        <w:rPr>
          <w:rFonts w:ascii="Verdana" w:cs="Verdana" w:eastAsia="Verdana" w:hAnsi="Verdana"/>
        </w:rPr>
        <w:t xml:space="preserve">42.1 Ledger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69"/>
        <w:gridCol w:w="2570"/>
        <w:gridCol w:w="2999"/>
      </w:tblGrid>
      <w:tr>
        <w:trPr>
          <w:cantSplit/>
          <w:tblHeader/>
        </w:trPr>
        <w:tc>
          <w:tcPr>
            <w:tcW w:type="dxa" w:w="406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Ledger</w:t>
            </w:r>
          </w:p>
        </w:tc>
        <w:tc>
          <w:tcPr>
            <w:tcW w:type="dxa" w:w="257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Nature</w:t>
            </w:r>
          </w:p>
        </w:tc>
        <w:tc>
          <w:tcPr>
            <w:tcW w:type="dxa" w:w="299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Ties to</w:t>
            </w:r>
          </w:p>
        </w:tc>
      </w:tr>
      <w:tr>
        <w:trPr>
          <w:cantSplit/>
        </w:trPr>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Output CGST, SGST, IGST (separate for each GSTIN)</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Liability</w:t>
            </w:r>
          </w:p>
        </w:tc>
        <w:tc>
          <w:tcPr>
            <w:tcW w:type="dxa" w:w="29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GSTR-1 and GSTR-3B Table 3</w:t>
            </w:r>
          </w:p>
        </w:tc>
      </w:tr>
      <w:tr>
        <w:trPr>
          <w:cantSplit/>
        </w:trPr>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Input CGST, SGST, IGST</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Asset</w:t>
            </w:r>
          </w:p>
        </w:tc>
        <w:tc>
          <w:tcPr>
            <w:tcW w:type="dxa" w:w="29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GSTR-2B and electronic credit ledger</w:t>
            </w:r>
          </w:p>
        </w:tc>
      </w:tr>
      <w:tr>
        <w:trPr>
          <w:cantSplit/>
        </w:trPr>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RCM payable (CGST, SGST, IGST)</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Liability</w:t>
            </w:r>
          </w:p>
        </w:tc>
        <w:tc>
          <w:tcPr>
            <w:tcW w:type="dxa" w:w="29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GSTR-3B Table 3.1(d), cash ledger</w:t>
            </w:r>
          </w:p>
        </w:tc>
      </w:tr>
      <w:tr>
        <w:trPr>
          <w:cantSplit/>
        </w:trPr>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reversal (rules 37, 37A, 42, 43)</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Expense or asset adjustment</w:t>
            </w:r>
          </w:p>
        </w:tc>
        <w:tc>
          <w:tcPr>
            <w:tcW w:type="dxa" w:w="29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GSTR-3B Table 4(B)</w:t>
            </w:r>
          </w:p>
        </w:tc>
      </w:tr>
      <w:tr>
        <w:trPr>
          <w:cantSplit/>
        </w:trPr>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Blocked ITC</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Expense or part of asset cost</w:t>
            </w:r>
          </w:p>
        </w:tc>
        <w:tc>
          <w:tcPr>
            <w:tcW w:type="dxa" w:w="29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claimed in GSTR-3B</w:t>
            </w:r>
          </w:p>
        </w:tc>
      </w:tr>
      <w:tr>
        <w:trPr>
          <w:cantSplit/>
        </w:trPr>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Electronic cash ledger</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Asset</w:t>
            </w:r>
          </w:p>
        </w:tc>
        <w:tc>
          <w:tcPr>
            <w:tcW w:type="dxa" w:w="29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PMT-06 challans</w:t>
            </w:r>
          </w:p>
        </w:tc>
      </w:tr>
      <w:tr>
        <w:trPr>
          <w:cantSplit/>
        </w:trPr>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 refund receivable</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Asset</w:t>
            </w:r>
          </w:p>
        </w:tc>
        <w:tc>
          <w:tcPr>
            <w:tcW w:type="dxa" w:w="29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RFD-01 and refund orders</w:t>
            </w:r>
          </w:p>
        </w:tc>
      </w:tr>
      <w:tr>
        <w:trPr>
          <w:cantSplit/>
        </w:trPr>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 paid under protest or pre-deposit</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Asset (claim)</w:t>
            </w:r>
          </w:p>
        </w:tc>
        <w:tc>
          <w:tcPr>
            <w:tcW w:type="dxa" w:w="29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DRC-03, APL-01</w:t>
            </w:r>
          </w:p>
        </w:tc>
      </w:tr>
    </w:tbl>
    <w:p>
      <w:pPr>
        <w:spacing w:after="60"/>
      </w:pPr>
    </w:p>
    <w:p>
      <w:pPr>
        <w:pStyle w:val="Heading2"/>
        <w:keepNext/>
        <w:spacing w:after="120" w:before="240"/>
      </w:pPr>
      <w:r>
        <w:rPr>
          <w:rFonts w:ascii="Verdana" w:cs="Verdana" w:eastAsia="Verdana" w:hAnsi="Verdana"/>
        </w:rPr>
        <w:t xml:space="preserve">42.2 Journal Entries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199: One month's entries for Kavya Foods Pvt. Ltd., Gujarat (5% goods)</w:t>
            </w:r>
          </w:p>
          <w:p>
            <w:pPr>
              <w:spacing w:after="60" w:line="260"/>
            </w:pPr>
            <w:r>
              <w:rPr>
                <w:rFonts w:ascii="Verdana" w:cs="Verdana" w:eastAsia="Verdana" w:hAnsi="Verdana"/>
                <w:sz w:val="20"/>
                <w:szCs w:val="20"/>
              </w:rPr>
              <w:t xml:space="preserve">Intra-State sales Rs. 10,00,000 (CGST Rs. 25,000, SGST Rs. 25,000); inter-State sales Rs. 4,00,000 (IGST Rs. 20,000); intra-State purchases Rs. 6,00,000 (CGST Rs. 15,000, SGST Rs. 15,000); GTA freight Rs. 50,000 under RCM at 5% (CGST Rs. 1,250, SGST Rs. 1,250); legal fees Rs. 80,000 under RCM at 18% (CGST Rs. 7,200, SGST Rs. 7,200).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1606"/>
        <w:gridCol w:w="1607"/>
      </w:tblGrid>
      <w:tr>
        <w:trPr>
          <w:cantSplit/>
          <w:tblHeader/>
        </w:trPr>
        <w:tc>
          <w:tcPr>
            <w:tcW w:type="dxa" w:w="642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Entry</w:t>
            </w:r>
          </w:p>
        </w:tc>
        <w:tc>
          <w:tcPr>
            <w:tcW w:type="dxa" w:w="160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Debit (Rs.)</w:t>
            </w:r>
          </w:p>
        </w:tc>
        <w:tc>
          <w:tcPr>
            <w:tcW w:type="dxa" w:w="160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Credit (Rs.)</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Debtors Dr 14,70,000; to Sales 14,00,000, Output CGST 25,000, Output SGST 25,000, Output IGST 20,000</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14,70,000</w:t>
            </w:r>
          </w:p>
        </w:tc>
        <w:tc>
          <w:tcPr>
            <w:tcW w:type="dxa" w:w="16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14,70,000</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Purchases Dr 6,00,000, Input CGST Dr 15,000, Input SGST Dr 15,000; to Creditors 6,30,000</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6,30,000</w:t>
            </w:r>
          </w:p>
        </w:tc>
        <w:tc>
          <w:tcPr>
            <w:tcW w:type="dxa" w:w="16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6,30,000</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Freight Dr 50,000, Legal fees Dr 80,000; to Creditors 1,30,000</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1,30,000</w:t>
            </w:r>
          </w:p>
        </w:tc>
        <w:tc>
          <w:tcPr>
            <w:tcW w:type="dxa" w:w="16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1,30,000</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Input CGST Dr 8,450, Input SGST Dr 8,450; to RCM CGST payable 8,450, RCM SGST payable 8,450</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16,900</w:t>
            </w:r>
          </w:p>
        </w:tc>
        <w:tc>
          <w:tcPr>
            <w:tcW w:type="dxa" w:w="16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16,900</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RCM payable Dr 16,900; to Electronic cash ledger 16,900 (RCM must be paid in cash)</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16,900</w:t>
            </w:r>
          </w:p>
        </w:tc>
        <w:tc>
          <w:tcPr>
            <w:tcW w:type="dxa" w:w="16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16,900</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Output CGST Dr 23,450; to Input CGST 23,450. Output SGST Dr 23,450; to Input SGST 23,450</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46,900</w:t>
            </w:r>
          </w:p>
        </w:tc>
        <w:tc>
          <w:tcPr>
            <w:tcW w:type="dxa" w:w="16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46,900</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Output CGST Dr 1,550, Output SGST Dr 1,550, Output IGST Dr 20,000; to Electronic cash ledger 23,100</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23,100</w:t>
            </w:r>
          </w:p>
        </w:tc>
        <w:tc>
          <w:tcPr>
            <w:tcW w:type="dxa" w:w="16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23,100</w:t>
            </w:r>
          </w:p>
        </w:tc>
      </w:tr>
    </w:tbl>
    <w:p>
      <w:pPr>
        <w:spacing w:after="60"/>
      </w:pPr>
    </w:p>
    <w:p>
      <w:pPr>
        <w:spacing w:after="120" w:line="276"/>
        <w:jc w:val="both"/>
      </w:pPr>
      <w:r>
        <w:rPr>
          <w:rFonts w:ascii="Verdana" w:cs="Verdana" w:eastAsia="Verdana" w:hAnsi="Verdana"/>
        </w:rPr>
        <w:t xml:space="preserve">Check: total output tax Rs. 70,000 plus RCM Rs. 16,900 = Rs. 86,900. Credit used Rs. 46,900. Cash paid Rs. 16,900 + Rs. 23,100 = Rs. 40,000 = Rs. 86,900 less Rs. 46,900.</w:t>
      </w:r>
    </w:p>
    <w:p>
      <w:pPr>
        <w:pStyle w:val="ListParagraph"/>
        <w:numPr>
          <w:ilvl w:val="0"/>
          <w:numId w:val="2"/>
        </w:numPr>
        <w:spacing w:after="60" w:line="264"/>
      </w:pPr>
      <w:r>
        <w:rPr>
          <w:rFonts w:ascii="Verdana" w:cs="Verdana" w:eastAsia="Verdana" w:hAnsi="Verdana"/>
          <w:b/>
          <w:bCs/>
        </w:rPr>
        <w:t xml:space="preserve">ISD:</w:t>
      </w:r>
      <w:r>
        <w:rPr>
          <w:rFonts w:ascii="Verdana" w:cs="Verdana" w:eastAsia="Verdana" w:hAnsi="Verdana"/>
        </w:rPr>
        <w:t xml:space="preserve"> the head office ISD registration books common input services, then passes a distribution entry in ISD invoices: Branch Input GST Dr, to ISD Input GST. Each branch books the credit received.</w:t>
      </w:r>
    </w:p>
    <w:p>
      <w:pPr>
        <w:pStyle w:val="ListParagraph"/>
        <w:numPr>
          <w:ilvl w:val="0"/>
          <w:numId w:val="2"/>
        </w:numPr>
        <w:spacing w:after="60" w:line="264"/>
      </w:pPr>
      <w:r>
        <w:rPr>
          <w:rFonts w:ascii="Verdana" w:cs="Verdana" w:eastAsia="Verdana" w:hAnsi="Verdana"/>
          <w:b/>
          <w:bCs/>
        </w:rPr>
        <w:t xml:space="preserve">Cross charge:</w:t>
      </w:r>
      <w:r>
        <w:rPr>
          <w:rFonts w:ascii="Verdana" w:cs="Verdana" w:eastAsia="Verdana" w:hAnsi="Verdana"/>
        </w:rPr>
        <w:t xml:space="preserve"> services between distinct persons (for example, head office staff support to branches) are invoiced; the supplying GSTIN books output tax and the receiving GSTIN books input tax.</w:t>
      </w:r>
    </w:p>
    <w:p>
      <w:pPr>
        <w:pStyle w:val="ListParagraph"/>
        <w:numPr>
          <w:ilvl w:val="0"/>
          <w:numId w:val="2"/>
        </w:numPr>
        <w:spacing w:after="60" w:line="264"/>
      </w:pPr>
      <w:r>
        <w:rPr>
          <w:rFonts w:ascii="Verdana" w:cs="Verdana" w:eastAsia="Verdana" w:hAnsi="Verdana"/>
          <w:b/>
          <w:bCs/>
        </w:rPr>
        <w:t xml:space="preserve">Rule 37 reversal and re-availment:</w:t>
      </w:r>
      <w:r>
        <w:rPr>
          <w:rFonts w:ascii="Verdana" w:cs="Verdana" w:eastAsia="Verdana" w:hAnsi="Verdana"/>
        </w:rPr>
        <w:t xml:space="preserve"> where a supplier is unpaid after 180 days, pass ITC reversal Dr, to Input GST (with interest to P&amp;L); on payment, reverse the entry.</w:t>
      </w:r>
    </w:p>
    <w:p>
      <w:pPr>
        <w:pStyle w:val="ListParagraph"/>
        <w:numPr>
          <w:ilvl w:val="0"/>
          <w:numId w:val="2"/>
        </w:numPr>
        <w:spacing w:after="60" w:line="264"/>
      </w:pPr>
      <w:r>
        <w:rPr>
          <w:rFonts w:ascii="Verdana" w:cs="Verdana" w:eastAsia="Verdana" w:hAnsi="Verdana"/>
          <w:b/>
          <w:bCs/>
        </w:rPr>
        <w:t xml:space="preserve">Advances for services:</w:t>
      </w:r>
      <w:r>
        <w:rPr>
          <w:rFonts w:ascii="Verdana" w:cs="Verdana" w:eastAsia="Verdana" w:hAnsi="Verdana"/>
        </w:rPr>
        <w:t xml:space="preserve"> tax on an advance is booked as Output GST with a debit to a GST on advances ledger, adjusted when the invoice is issued.</w:t>
      </w:r>
    </w:p>
    <w:p>
      <w:pPr>
        <w:pStyle w:val="ListParagraph"/>
        <w:numPr>
          <w:ilvl w:val="0"/>
          <w:numId w:val="2"/>
        </w:numPr>
        <w:spacing w:after="60" w:line="264"/>
      </w:pPr>
      <w:r>
        <w:rPr>
          <w:rFonts w:ascii="Verdana" w:cs="Verdana" w:eastAsia="Verdana" w:hAnsi="Verdana"/>
          <w:b/>
          <w:bCs/>
        </w:rPr>
        <w:t xml:space="preserve">Export under LUT:</w:t>
      </w:r>
      <w:r>
        <w:rPr>
          <w:rFonts w:ascii="Verdana" w:cs="Verdana" w:eastAsia="Verdana" w:hAnsi="Verdana"/>
        </w:rPr>
        <w:t xml:space="preserve"> no output tax; unutilised ITC is claimed as refund and moved to GST refund receivable.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200: Refund of unutilised ITC on exports under LUT</w:t>
            </w:r>
          </w:p>
          <w:p>
            <w:pPr>
              <w:spacing w:after="60" w:line="260"/>
            </w:pPr>
            <w:r>
              <w:rPr>
                <w:rFonts w:ascii="Verdana" w:cs="Verdana" w:eastAsia="Verdana" w:hAnsi="Verdana"/>
                <w:sz w:val="20"/>
                <w:szCs w:val="20"/>
              </w:rPr>
              <w:t xml:space="preserve">Patel Components exported goods of Rs. 50,00,000 under LUT and made domestic supplies of Rs. 30,00,000 in a quarter. Net ITC Rs. 3,60,000.</w:t>
            </w:r>
          </w:p>
          <w:p>
            <w:pPr>
              <w:spacing w:after="60" w:line="260"/>
            </w:pPr>
            <w:r>
              <w:rPr>
                <w:rFonts w:ascii="Verdana" w:cs="Verdana" w:eastAsia="Verdana" w:hAnsi="Verdana"/>
                <w:sz w:val="20"/>
                <w:szCs w:val="20"/>
              </w:rPr>
              <w:t xml:space="preserve">Step 1: Refund under rule 89(4) = zero-rated turnover x net ITC / adjusted total turnover = Rs. 50,00,000 x Rs. 3,60,000 / Rs. 80,00,000 = Rs. 2,25,000.</w:t>
            </w:r>
          </w:p>
          <w:p>
            <w:pPr>
              <w:spacing w:after="60" w:line="260"/>
            </w:pPr>
            <w:r>
              <w:rPr>
                <w:rFonts w:ascii="Verdana" w:cs="Verdana" w:eastAsia="Verdana" w:hAnsi="Verdana"/>
                <w:sz w:val="20"/>
                <w:szCs w:val="20"/>
              </w:rPr>
              <w:t xml:space="preserve">Step 2: On filing RFD-01, the credit ledger is debited: GST refund receivable Dr Rs. 2,25,000; to Input GST Rs. 2,25,000. On receipt: Bank Dr; to GST refund receivable.</w:t>
            </w:r>
          </w:p>
        </w:tc>
      </w:tr>
    </w:tbl>
    <w:p>
      <w:pPr>
        <w:spacing w:after="60"/>
      </w:pPr>
    </w:p>
    <w:p>
      <w:pPr>
        <w:pStyle w:val="Heading2"/>
        <w:keepNext/>
        <w:spacing w:after="120" w:before="240"/>
      </w:pPr>
      <w:r>
        <w:rPr>
          <w:rFonts w:ascii="Verdana" w:cs="Verdana" w:eastAsia="Verdana" w:hAnsi="Verdana"/>
        </w:rPr>
        <w:t xml:space="preserve">42.3 Accounting Standards</w:t>
      </w:r>
    </w:p>
    <w:p>
      <w:pPr>
        <w:spacing w:after="120" w:line="276"/>
        <w:jc w:val="both"/>
      </w:pPr>
      <w:r>
        <w:rPr>
          <w:rFonts w:ascii="Verdana" w:cs="Verdana" w:eastAsia="Verdana" w:hAnsi="Verdana"/>
          <w:b/>
          <w:bCs/>
        </w:rPr>
        <w:t xml:space="preserve">Revenue (Ind AS 115):</w:t>
      </w:r>
      <w:r>
        <w:rPr>
          <w:rFonts w:ascii="Verdana" w:cs="Verdana" w:eastAsia="Verdana" w:hAnsi="Verdana"/>
        </w:rPr>
        <w:t xml:space="preserve"> the transaction price excludes amounts collected on behalf of third parties, such as GST. Revenue is therefore shown net of GST. Where the entity is an agent, for example an e-commerce operator collecting TCS, only its commission is revenue.</w:t>
      </w:r>
    </w:p>
    <w:p>
      <w:pPr>
        <w:spacing w:after="120" w:line="276"/>
        <w:jc w:val="both"/>
      </w:pPr>
      <w:r>
        <w:rPr>
          <w:rFonts w:ascii="Verdana" w:cs="Verdana" w:eastAsia="Verdana" w:hAnsi="Verdana"/>
          <w:b/>
          <w:bCs/>
        </w:rPr>
        <w:t xml:space="preserve">Inventories (Ind AS 2 and AS 2):</w:t>
      </w:r>
      <w:r>
        <w:rPr>
          <w:rFonts w:ascii="Verdana" w:cs="Verdana" w:eastAsia="Verdana" w:hAnsi="Verdana"/>
        </w:rPr>
        <w:t xml:space="preserve"> cost of purchase excludes taxes subsequently recoverable. GST that is not recoverable, such as for a composition dealer, an exempt business or blocked credits, is part of the cost of inventory.</w:t>
      </w:r>
    </w:p>
    <w:p>
      <w:pPr>
        <w:spacing w:after="120" w:line="276"/>
        <w:jc w:val="both"/>
      </w:pPr>
      <w:r>
        <w:rPr>
          <w:rFonts w:ascii="Verdana" w:cs="Verdana" w:eastAsia="Verdana" w:hAnsi="Verdana"/>
          <w:b/>
          <w:bCs/>
        </w:rPr>
        <w:t xml:space="preserve">Property, plant and equipment (Ind AS 16):</w:t>
      </w:r>
      <w:r>
        <w:rPr>
          <w:rFonts w:ascii="Verdana" w:cs="Verdana" w:eastAsia="Verdana" w:hAnsi="Verdana"/>
        </w:rPr>
        <w:t xml:space="preserve"> cost includes non-refundable purchase taxes. Blocked credit under section 17(5) is capitalised with the asset and depreciated.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201: Blocked credit capitalised</w:t>
            </w:r>
          </w:p>
          <w:p>
            <w:pPr>
              <w:spacing w:after="60" w:line="260"/>
            </w:pPr>
            <w:r>
              <w:rPr>
                <w:rFonts w:ascii="Verdana" w:cs="Verdana" w:eastAsia="Verdana" w:hAnsi="Verdana"/>
                <w:sz w:val="20"/>
                <w:szCs w:val="20"/>
              </w:rPr>
              <w:t xml:space="preserve">Sharma Textiles Pvt. Ltd. buys a car for a director at Rs. 9,00,000 plus GST at 18% of Rs. 1,62,000. The credit is blocked under section 17(5)(a). The asset is recorded at Rs. 10,62,000 and depreciated on that amount.</w:t>
            </w:r>
          </w:p>
          <w:p>
            <w:pPr>
              <w:spacing w:after="60" w:line="260"/>
            </w:pPr>
            <w:r>
              <w:rPr>
                <w:rFonts w:ascii="Verdana" w:cs="Verdana" w:eastAsia="Verdana" w:hAnsi="Verdana"/>
                <w:sz w:val="20"/>
                <w:szCs w:val="20"/>
              </w:rPr>
              <w:t xml:space="preserve">A composition dealer buying packing material for Rs. 1,00,000 plus 18% GST records inventory at Rs. 1,18,000, since it cannot take credit.</w:t>
            </w:r>
          </w:p>
        </w:tc>
      </w:tr>
    </w:tbl>
    <w:p>
      <w:pPr>
        <w:spacing w:after="60"/>
      </w:pPr>
    </w:p>
    <w:p>
      <w:pPr>
        <w:spacing w:after="120" w:line="276"/>
        <w:jc w:val="both"/>
      </w:pPr>
      <w:r>
        <w:rPr>
          <w:rFonts w:ascii="Verdana" w:cs="Verdana" w:eastAsia="Verdana" w:hAnsi="Verdana"/>
          <w:b/>
          <w:bCs/>
        </w:rPr>
        <w:t xml:space="preserve">Contingent liabilities (Ind AS 37 and Schedule III):</w:t>
      </w:r>
      <w:r>
        <w:rPr>
          <w:rFonts w:ascii="Verdana" w:cs="Verdana" w:eastAsia="Verdana" w:hAnsi="Verdana"/>
        </w:rPr>
        <w:t xml:space="preserve"> GST demands under appeal are disclosed as contingent liabilities where an outflow is possible but not probable; where it is probable, a provision is made. Pre-deposits are shown as assets. CARO 2020 clause 3(vii) requires the auditor to report undisputed statutory dues outstanding for more than six months and disputed dues not deposited, with the forum where the dispute is pending.</w:t>
      </w:r>
    </w:p>
    <w:p>
      <w:pPr>
        <w:pStyle w:val="Heading2"/>
        <w:keepNext/>
        <w:spacing w:after="120" w:before="240"/>
      </w:pPr>
      <w:r>
        <w:rPr>
          <w:rFonts w:ascii="Verdana" w:cs="Verdana" w:eastAsia="Verdana" w:hAnsi="Verdana"/>
        </w:rPr>
        <w:t xml:space="preserve">42.4 Income Tax Interplay</w:t>
      </w:r>
    </w:p>
    <w:p>
      <w:pPr>
        <w:spacing w:after="120" w:line="276"/>
        <w:jc w:val="both"/>
      </w:pPr>
      <w:r>
        <w:rPr>
          <w:rFonts w:ascii="Verdana" w:cs="Verdana" w:eastAsia="Verdana" w:hAnsi="Verdana"/>
        </w:rPr>
        <w:t xml:space="preserve">GST collected is a liability and is not income. GST paid is deductible only on actual payment under section 37 of the Income-tax Act, 2025, which corresponds to section 43B of the old Act. Blocked credits form part of the expense or asset cost. Interest under section 50 is generally treated as compensatory, while penalties for breach of law are not allowable. The tax audit report under the new Act (Form 26) calls for GST-related particulars, including turnover and, where the form so requires, expenditure with registered, unregistered and composition suppliers. See the companion guide on the Income-tax Act, 2025 for the current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Keep separate output, input, RCM, reversal and refund ledgers for each GSTIN, tied to specific return tables.</w:t>
            </w:r>
          </w:p>
          <w:p>
            <w:pPr>
              <w:spacing w:after="60" w:line="260"/>
            </w:pPr>
            <w:r>
              <w:rPr>
                <w:rFonts w:ascii="Verdana" w:cs="Verdana" w:eastAsia="Verdana" w:hAnsi="Verdana"/>
                <w:sz w:val="20"/>
                <w:szCs w:val="20"/>
              </w:rPr>
              <w:t xml:space="preserve">•  RCM is paid in cash and the credit taken in the same period; the month's cash payment equals total liability less credit used.</w:t>
            </w:r>
          </w:p>
          <w:p>
            <w:pPr>
              <w:spacing w:after="60" w:line="260"/>
            </w:pPr>
            <w:r>
              <w:rPr>
                <w:rFonts w:ascii="Verdana" w:cs="Verdana" w:eastAsia="Verdana" w:hAnsi="Verdana"/>
                <w:sz w:val="20"/>
                <w:szCs w:val="20"/>
              </w:rPr>
              <w:t xml:space="preserve">•  Revenue under Ind AS 115 excludes GST; non-recoverable GST is part of inventory and asset cost under Ind AS 2 and Ind AS 16.</w:t>
            </w:r>
          </w:p>
          <w:p>
            <w:pPr>
              <w:spacing w:after="60" w:line="260"/>
            </w:pPr>
            <w:r>
              <w:rPr>
                <w:rFonts w:ascii="Verdana" w:cs="Verdana" w:eastAsia="Verdana" w:hAnsi="Verdana"/>
                <w:sz w:val="20"/>
                <w:szCs w:val="20"/>
              </w:rPr>
              <w:t xml:space="preserve">•  Disputed demands are contingent liabilities or provisions under Ind AS 37; CARO 2020 clause 3(vii) reports statutory dues.</w:t>
            </w:r>
          </w:p>
          <w:p>
            <w:pPr>
              <w:spacing w:after="60" w:line="260"/>
            </w:pPr>
            <w:r>
              <w:rPr>
                <w:rFonts w:ascii="Verdana" w:cs="Verdana" w:eastAsia="Verdana" w:hAnsi="Verdana"/>
                <w:sz w:val="20"/>
                <w:szCs w:val="20"/>
              </w:rPr>
              <w:t xml:space="preserve">•  GST is deductible on actual payment under section 37 of the Income-tax Act, 2025; penalties are not deductible.</w:t>
            </w:r>
          </w:p>
        </w:tc>
      </w:tr>
    </w:tbl>
    <w:p>
      <w:pPr>
        <w:pStyle w:val="Heading1"/>
        <w:pageBreakBefore/>
        <w:spacing w:after="200" w:before="0"/>
      </w:pPr>
      <w:r>
        <w:rPr>
          <w:rFonts w:ascii="Verdana" w:cs="Verdana" w:eastAsia="Verdana" w:hAnsi="Verdana"/>
        </w:rPr>
        <w:t xml:space="preserve">43. Reconciliations and Year-End Closing</w:t>
      </w:r>
    </w:p>
    <w:p>
      <w:pPr>
        <w:spacing w:after="120" w:line="276"/>
        <w:jc w:val="both"/>
      </w:pPr>
      <w:r>
        <w:rPr>
          <w:rFonts w:ascii="Verdana" w:cs="Verdana" w:eastAsia="Verdana" w:hAnsi="Verdana"/>
        </w:rPr>
        <w:t xml:space="preserve">Almost every GST notice starts with a mismatch between two data sets that the department can see. A business that reconciles the same data sets every month finds the gap first and fixes it cheaply. The reconciliations below should be part of the monthly close.</w:t>
      </w:r>
    </w:p>
    <w:p>
      <w:pPr>
        <w:pStyle w:val="Heading2"/>
        <w:keepNext/>
        <w:spacing w:after="120" w:before="240"/>
      </w:pPr>
      <w:r>
        <w:rPr>
          <w:rFonts w:ascii="Verdana" w:cs="Verdana" w:eastAsia="Verdana" w:hAnsi="Verdana"/>
        </w:rPr>
        <w:t xml:space="preserve">43.1 Monthly and Annual Reconciliations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26"/>
        <w:gridCol w:w="4497"/>
        <w:gridCol w:w="1715"/>
      </w:tblGrid>
      <w:tr>
        <w:trPr>
          <w:cantSplit/>
          <w:tblHeader/>
        </w:trPr>
        <w:tc>
          <w:tcPr>
            <w:tcW w:type="dxa" w:w="342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Reconciliation</w:t>
            </w:r>
          </w:p>
        </w:tc>
        <w:tc>
          <w:tcPr>
            <w:tcW w:type="dxa" w:w="449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Purpose</w:t>
            </w:r>
          </w:p>
        </w:tc>
        <w:tc>
          <w:tcPr>
            <w:tcW w:type="dxa" w:w="171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Frequency</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Books vs GSTR-1</w:t>
            </w:r>
          </w:p>
        </w:tc>
        <w:tc>
          <w:tcPr>
            <w:tcW w:type="dxa" w:w="449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 invoices, credit notes and advances reported</w:t>
            </w:r>
          </w:p>
        </w:tc>
        <w:tc>
          <w:tcPr>
            <w:tcW w:type="dxa" w:w="17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Monthly</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GSTR-1 vs GSTR-3B</w:t>
            </w:r>
          </w:p>
        </w:tc>
        <w:tc>
          <w:tcPr>
            <w:tcW w:type="dxa" w:w="449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Liability declared equals liability paid (now largely locked)</w:t>
            </w:r>
          </w:p>
        </w:tc>
        <w:tc>
          <w:tcPr>
            <w:tcW w:type="dxa" w:w="17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Monthly</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GSTR-2B vs purchase register</w:t>
            </w:r>
          </w:p>
        </w:tc>
        <w:tc>
          <w:tcPr>
            <w:tcW w:type="dxa" w:w="449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claimed only on invoices in GSTR-2B; follow-up list for suppliers</w:t>
            </w:r>
          </w:p>
        </w:tc>
        <w:tc>
          <w:tcPr>
            <w:tcW w:type="dxa" w:w="17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Monthly</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E-way bills vs GSTR-1</w:t>
            </w:r>
          </w:p>
        </w:tc>
        <w:tc>
          <w:tcPr>
            <w:tcW w:type="dxa" w:w="449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Every movement for supply matched to an invoice</w:t>
            </w:r>
          </w:p>
        </w:tc>
        <w:tc>
          <w:tcPr>
            <w:tcW w:type="dxa" w:w="17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Monthly</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E-invoices (IRP) vs GSTR-1</w:t>
            </w:r>
          </w:p>
        </w:tc>
        <w:tc>
          <w:tcPr>
            <w:tcW w:type="dxa" w:w="449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Cancelled and amended e-invoices reflected</w:t>
            </w:r>
          </w:p>
        </w:tc>
        <w:tc>
          <w:tcPr>
            <w:tcW w:type="dxa" w:w="17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Monthly</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 turnover vs income-tax turnover, AIS and Form 168</w:t>
            </w:r>
          </w:p>
        </w:tc>
        <w:tc>
          <w:tcPr>
            <w:tcW w:type="dxa" w:w="449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Differences explained (non-GST income, stock transfers)</w:t>
            </w:r>
          </w:p>
        </w:tc>
        <w:tc>
          <w:tcPr>
            <w:tcW w:type="dxa" w:w="17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Annual</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Payroll and expenses vs RCM</w:t>
            </w:r>
          </w:p>
        </w:tc>
        <w:tc>
          <w:tcPr>
            <w:tcW w:type="dxa" w:w="449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RCM on director fees, legal, GTA, import of services</w:t>
            </w:r>
          </w:p>
        </w:tc>
        <w:tc>
          <w:tcPr>
            <w:tcW w:type="dxa" w:w="17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Monthly</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(section 51) and TCS (section 52) credits</w:t>
            </w:r>
          </w:p>
        </w:tc>
        <w:tc>
          <w:tcPr>
            <w:tcW w:type="dxa" w:w="449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Credits accepted in the cash ledger match receivables</w:t>
            </w:r>
          </w:p>
        </w:tc>
        <w:tc>
          <w:tcPr>
            <w:tcW w:type="dxa" w:w="17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Monthly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202: GSTR-2B vs purchase register for one month</w:t>
            </w:r>
          </w:p>
          <w:p>
            <w:pPr>
              <w:spacing w:after="60" w:line="260"/>
            </w:pPr>
            <w:r>
              <w:rPr>
                <w:rFonts w:ascii="Verdana" w:cs="Verdana" w:eastAsia="Verdana" w:hAnsi="Verdana"/>
                <w:sz w:val="20"/>
                <w:szCs w:val="20"/>
              </w:rPr>
              <w:t xml:space="preserve">Purchase register ITC Rs. 18,40,000; GSTR-2B ITC Rs. 17,65,000. Difference Rs. 75,000.</w:t>
            </w:r>
          </w:p>
          <w:p>
            <w:pPr>
              <w:spacing w:after="60" w:line="260"/>
            </w:pPr>
            <w:r>
              <w:rPr>
                <w:rFonts w:ascii="Verdana" w:cs="Verdana" w:eastAsia="Verdana" w:hAnsi="Verdana"/>
                <w:sz w:val="20"/>
                <w:szCs w:val="20"/>
              </w:rPr>
              <w:t xml:space="preserve">Step 1: Three invoices not uploaded by suppliers: Rs. 52,000. Do not claim; follow up.</w:t>
            </w:r>
          </w:p>
          <w:p>
            <w:pPr>
              <w:spacing w:after="60" w:line="260"/>
            </w:pPr>
            <w:r>
              <w:rPr>
                <w:rFonts w:ascii="Verdana" w:cs="Verdana" w:eastAsia="Verdana" w:hAnsi="Verdana"/>
                <w:sz w:val="20"/>
                <w:szCs w:val="20"/>
              </w:rPr>
              <w:t xml:space="preserve">Step 2: One supplier reported an invoice under another GSTIN of the group: Rs. 15,000. Ask the supplier to amend through GSTR-1A or a later GSTR-1.</w:t>
            </w:r>
          </w:p>
          <w:p>
            <w:pPr>
              <w:spacing w:after="60" w:line="260"/>
            </w:pPr>
            <w:r>
              <w:rPr>
                <w:rFonts w:ascii="Verdana" w:cs="Verdana" w:eastAsia="Verdana" w:hAnsi="Verdana"/>
                <w:sz w:val="20"/>
                <w:szCs w:val="20"/>
              </w:rPr>
              <w:t xml:space="preserve">Step 3: A supplier credit note in GSTR-2B not yet booked: Rs. 8,000. Book it and reduce ITC.</w:t>
            </w:r>
          </w:p>
          <w:p>
            <w:pPr>
              <w:spacing w:after="60" w:line="260"/>
            </w:pPr>
            <w:r>
              <w:rPr>
                <w:rFonts w:ascii="Verdana" w:cs="Verdana" w:eastAsia="Verdana" w:hAnsi="Verdana"/>
                <w:sz w:val="20"/>
                <w:szCs w:val="20"/>
              </w:rPr>
              <w:t xml:space="preserve">Check: Rs. 52,000 + Rs. 15,000 + Rs. 8,000 = Rs. 75,000. ITC claimable: Rs. 17,65,000.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No rectification of GSTR-3B outside the scheme</w:t>
            </w:r>
          </w:p>
          <w:p>
            <w:pPr>
              <w:spacing w:after="60" w:line="260"/>
            </w:pPr>
            <w:r>
              <w:rPr>
                <w:rFonts w:ascii="Verdana" w:cs="Verdana" w:eastAsia="Verdana" w:hAnsi="Verdana"/>
                <w:b/>
                <w:bCs/>
                <w:sz w:val="20"/>
                <w:szCs w:val="20"/>
              </w:rPr>
              <w:t xml:space="preserve">Union of India v. Bharti Airtel Ltd. (Supreme Court, 2021):</w:t>
            </w:r>
            <w:r>
              <w:rPr>
                <w:rFonts w:ascii="Verdana" w:cs="Verdana" w:eastAsia="Verdana" w:hAnsi="Verdana"/>
                <w:sz w:val="20"/>
                <w:szCs w:val="20"/>
              </w:rPr>
              <w:t xml:space="preserve"> The taxpayer cannot unilaterally rectify a filed GSTR-3B outside the scheme of the Act. Self-assessment is the taxpayer's duty, based on its own books, and errors must be corrected through the mechanism the law provides. This is why monthly reconciliation before filing matters: the chance to correct later is limited.</w:t>
            </w:r>
          </w:p>
        </w:tc>
      </w:tr>
    </w:tbl>
    <w:p>
      <w:pPr>
        <w:spacing w:after="60"/>
      </w:pPr>
    </w:p>
    <w:p>
      <w:pPr>
        <w:pStyle w:val="Heading2"/>
        <w:keepNext/>
        <w:spacing w:after="120" w:before="240"/>
      </w:pPr>
      <w:r>
        <w:rPr>
          <w:rFonts w:ascii="Verdana" w:cs="Verdana" w:eastAsia="Verdana" w:hAnsi="Verdana"/>
        </w:rPr>
        <w:t xml:space="preserve">43.2 Year-End Items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69"/>
        <w:gridCol w:w="3641"/>
        <w:gridCol w:w="1928"/>
      </w:tblGrid>
      <w:tr>
        <w:trPr>
          <w:cantSplit/>
          <w:tblHeader/>
        </w:trPr>
        <w:tc>
          <w:tcPr>
            <w:tcW w:type="dxa" w:w="406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Item</w:t>
            </w:r>
          </w:p>
        </w:tc>
        <w:tc>
          <w:tcPr>
            <w:tcW w:type="dxa" w:w="364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Deadline</w:t>
            </w:r>
          </w:p>
        </w:tc>
        <w:tc>
          <w:tcPr>
            <w:tcW w:type="dxa" w:w="192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Reference</w:t>
            </w:r>
          </w:p>
        </w:tc>
      </w:tr>
      <w:tr>
        <w:trPr>
          <w:cantSplit/>
        </w:trPr>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Last date to take ITC of the year</w:t>
            </w:r>
          </w:p>
        </w:tc>
        <w:tc>
          <w:tcPr>
            <w:tcW w:type="dxa" w:w="36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November of next year or annual return date, earlier</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16(4)</w:t>
            </w:r>
          </w:p>
        </w:tc>
      </w:tr>
      <w:tr>
        <w:trPr>
          <w:cantSplit/>
        </w:trPr>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Credit notes and GSTR-1 corrections for the year</w:t>
            </w:r>
          </w:p>
        </w:tc>
        <w:tc>
          <w:tcPr>
            <w:tcW w:type="dxa" w:w="36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November of next year or annual return date, earlier</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34(2), 37(3)</w:t>
            </w:r>
          </w:p>
        </w:tc>
      </w:tr>
      <w:tr>
        <w:trPr>
          <w:cantSplit/>
        </w:trPr>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Annual true-up of common credit reversal</w:t>
            </w:r>
          </w:p>
        </w:tc>
        <w:tc>
          <w:tcPr>
            <w:tcW w:type="dxa" w:w="36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Return for September of next year</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Rule 42(2), rule 43</w:t>
            </w:r>
          </w:p>
        </w:tc>
      </w:tr>
      <w:tr>
        <w:trPr>
          <w:cantSplit/>
        </w:trPr>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Reversal where supplier did not file GSTR-3B by 30 September</w:t>
            </w:r>
          </w:p>
        </w:tc>
        <w:tc>
          <w:tcPr>
            <w:tcW w:type="dxa" w:w="36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By 30 November of next year</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Rule 37A</w:t>
            </w:r>
          </w:p>
        </w:tc>
      </w:tr>
      <w:tr>
        <w:trPr>
          <w:cantSplit/>
        </w:trPr>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GSTR-9 and GSTR-9C</w:t>
            </w:r>
          </w:p>
        </w:tc>
        <w:tc>
          <w:tcPr>
            <w:tcW w:type="dxa" w:w="36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December of next year</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44, rule 80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203: Rule 42 annual true-up for FY 2025-26</w:t>
            </w:r>
          </w:p>
          <w:p>
            <w:pPr>
              <w:spacing w:after="60" w:line="260"/>
            </w:pPr>
            <w:r>
              <w:rPr>
                <w:rFonts w:ascii="Verdana" w:cs="Verdana" w:eastAsia="Verdana" w:hAnsi="Verdana"/>
                <w:sz w:val="20"/>
                <w:szCs w:val="20"/>
              </w:rPr>
              <w:t xml:space="preserve">Common credit for the year Rs. 24,00,000. Exempt turnover Rs. 3,60,00,000; total turnover Rs. 24,00,00,000.</w:t>
            </w:r>
          </w:p>
          <w:p>
            <w:pPr>
              <w:spacing w:after="60" w:line="260"/>
            </w:pPr>
            <w:r>
              <w:rPr>
                <w:rFonts w:ascii="Verdana" w:cs="Verdana" w:eastAsia="Verdana" w:hAnsi="Verdana"/>
                <w:sz w:val="20"/>
                <w:szCs w:val="20"/>
              </w:rPr>
              <w:t xml:space="preserve">Step 1: Credit attributable to exempt supplies = Rs. 24,00,000 x 3,60,00,000 / 24,00,00,000 = Rs. 3,60,000.</w:t>
            </w:r>
          </w:p>
          <w:p>
            <w:pPr>
              <w:spacing w:after="60" w:line="260"/>
            </w:pPr>
            <w:r>
              <w:rPr>
                <w:rFonts w:ascii="Verdana" w:cs="Verdana" w:eastAsia="Verdana" w:hAnsi="Verdana"/>
                <w:sz w:val="20"/>
                <w:szCs w:val="20"/>
              </w:rPr>
              <w:t xml:space="preserve">Step 2: Monthly reversals during the year totalled Rs. 3,15,000. Shortfall Rs. 45,000, reversed in the September 2026 return filed on 20 October 2026.</w:t>
            </w:r>
          </w:p>
          <w:p>
            <w:pPr>
              <w:spacing w:after="60" w:line="260"/>
            </w:pPr>
            <w:r>
              <w:rPr>
                <w:rFonts w:ascii="Verdana" w:cs="Verdana" w:eastAsia="Verdana" w:hAnsi="Verdana"/>
                <w:sz w:val="20"/>
                <w:szCs w:val="20"/>
              </w:rPr>
              <w:t xml:space="preserve">Step 3: Interest from 1 April 2026 to 20 October 2026, both days included (203 days): Rs. 45,000 x 18% x 203 / 365 = Rs. 4,505.</w:t>
            </w:r>
          </w:p>
        </w:tc>
      </w:tr>
    </w:tbl>
    <w:p>
      <w:pPr>
        <w:spacing w:after="60"/>
      </w:pPr>
    </w:p>
    <w:p>
      <w:pPr>
        <w:pStyle w:val="Heading2"/>
        <w:keepNext/>
        <w:spacing w:after="120" w:before="240"/>
      </w:pPr>
      <w:r>
        <w:rPr>
          <w:rFonts w:ascii="Verdana" w:cs="Verdana" w:eastAsia="Verdana" w:hAnsi="Verdana"/>
        </w:rPr>
        <w:t xml:space="preserve">43.3 A Worked GSTR-9 Reconciliation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204: Books to GSTR-9 for Patel Components Pvt. Ltd., FY 2025-26</w:t>
            </w:r>
          </w:p>
          <w:p>
            <w:pPr>
              <w:spacing w:after="60" w:line="260"/>
            </w:pPr>
            <w:r>
              <w:rPr>
                <w:rFonts w:ascii="Verdana" w:cs="Verdana" w:eastAsia="Verdana" w:hAnsi="Verdana"/>
                <w:sz w:val="20"/>
                <w:szCs w:val="20"/>
              </w:rPr>
              <w:t xml:space="preserve">Revenue from operations as per audited books: Rs. 24,60,00,000. GSTR-1 turnover for the year: Rs. 25,85,00,000.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Revenue from operations as per books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24,60,00,000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unbilled revenue at 31 March 2026 (time of supply in April 2026)</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35,00,000)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unbilled revenue of FY 2024-25 invoiced this year</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28,00,000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sale of scrap booked in other income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6,40,000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supplies to own branch in another State (distinct person)</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1,20,00,000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post-sale discounts deducted in books without GST credit notes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12,00,000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Turnover as per books for GST</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Rs. 25,91,40,000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Turnover as per GSTR-1 and GSTR-3B</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25,85,00,000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Unreconciled difference</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Rs. 6,40,000</w:t>
            </w:r>
          </w:p>
        </w:tc>
      </w:tr>
    </w:tbl>
    <w:p>
      <w:pPr>
        <w:spacing w:after="60"/>
      </w:pPr>
    </w:p>
    <w:p>
      <w:pPr>
        <w:spacing w:after="120" w:line="276"/>
        <w:jc w:val="both"/>
      </w:pPr>
      <w:r>
        <w:rPr>
          <w:rFonts w:ascii="Verdana" w:cs="Verdana" w:eastAsia="Verdana" w:hAnsi="Verdana"/>
        </w:rPr>
        <w:t xml:space="preserve">The difference is the scrap sale, which was never invoiced through the GST billing system. Tax at 18% is Rs. 1,15,200 (CGST Rs. 57,600 and SGST Rs. 57,600). It is shown in GSTR-9 Table 4 and paid through DRC-03 with interest, since GSTR-9 cannot itself be used to pay. On the ITC side, Table 8A (GSTR-2B) showed Rs. 3,16,80,000 against Rs. 3,11,50,000 availed in Table 8B. The difference of Rs. 5,30,000 was explained by blocked credits not availed (Rs. 2,10,000), FY 2025-26 invoices availed in FY 2026-27 before 30 November 2026 (Rs. 2,40,000, shown in Table 8C and Table 13) and invoices for goods rejected and returned, on which credit was not availed pending the suppliers' credit notes (Rs. 80,000). Rs. 2,10,000 + Rs. 2,40,000 + Rs. 80,000 = Rs. 5,30,000.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Prepare the GSTR-9 working from the books, not from the returns. Starting from GSTR-1 hides exactly the items the department will later find.</w:t>
            </w:r>
          </w:p>
          <w:p>
            <w:pPr>
              <w:spacing w:after="60" w:line="260"/>
            </w:pPr>
            <w:r>
              <w:rPr>
                <w:rFonts w:ascii="Verdana" w:cs="Verdana" w:eastAsia="Verdana" w:hAnsi="Verdana"/>
                <w:sz w:val="20"/>
                <w:szCs w:val="20"/>
              </w:rPr>
              <w:t xml:space="preserve">GSTR-9C (for aggregate turnover above Rs. 5 crore) is self-certified; the same reconciliation feeds it and the audit file.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Reconcile books with GSTR-1, GSTR-2B with the purchase register, and e-way bills and e-invoices with GSTR-1 every month.</w:t>
            </w:r>
          </w:p>
          <w:p>
            <w:pPr>
              <w:spacing w:after="60" w:line="260"/>
            </w:pPr>
            <w:r>
              <w:rPr>
                <w:rFonts w:ascii="Verdana" w:cs="Verdana" w:eastAsia="Verdana" w:hAnsi="Verdana"/>
                <w:sz w:val="20"/>
                <w:szCs w:val="20"/>
              </w:rPr>
              <w:t xml:space="preserve">•  Annual reconciliations cover income-tax turnover, AIS and Form 168, RCM and TDS and TCS credits.</w:t>
            </w:r>
          </w:p>
          <w:p>
            <w:pPr>
              <w:spacing w:after="60" w:line="260"/>
            </w:pPr>
            <w:r>
              <w:rPr>
                <w:rFonts w:ascii="Verdana" w:cs="Verdana" w:eastAsia="Verdana" w:hAnsi="Verdana"/>
                <w:sz w:val="20"/>
                <w:szCs w:val="20"/>
              </w:rPr>
              <w:t xml:space="preserve">•  ITC, credit notes and GSTR-1 corrections for a year close on 30 November of the next year; rule 42 true-up by September's return with interest.</w:t>
            </w:r>
          </w:p>
          <w:p>
            <w:pPr>
              <w:spacing w:after="60" w:line="260"/>
            </w:pPr>
            <w:r>
              <w:rPr>
                <w:rFonts w:ascii="Verdana" w:cs="Verdana" w:eastAsia="Verdana" w:hAnsi="Verdana"/>
                <w:sz w:val="20"/>
                <w:szCs w:val="20"/>
              </w:rPr>
              <w:t xml:space="preserve">•  GSTR-9 should be prepared from the books; differences are paid through DRC-03, not through GSTR-9.</w:t>
            </w:r>
          </w:p>
          <w:p>
            <w:pPr>
              <w:spacing w:after="60" w:line="260"/>
            </w:pPr>
            <w:r>
              <w:rPr>
                <w:rFonts w:ascii="Verdana" w:cs="Verdana" w:eastAsia="Verdana" w:hAnsi="Verdana"/>
                <w:sz w:val="20"/>
                <w:szCs w:val="20"/>
              </w:rPr>
              <w:t xml:space="preserve">•  Returns cannot be rectified outside the statutory scheme (Bharti Airtel), so reconcile before filing.</w:t>
            </w:r>
          </w:p>
        </w:tc>
      </w:tr>
    </w:tbl>
    <w:p>
      <w:pPr>
        <w:pStyle w:val="Heading1"/>
        <w:pageBreakBefore/>
        <w:spacing w:after="200" w:before="0"/>
      </w:pPr>
      <w:r>
        <w:rPr>
          <w:rFonts w:ascii="Verdana" w:cs="Verdana" w:eastAsia="Verdana" w:hAnsi="Verdana"/>
        </w:rPr>
        <w:t xml:space="preserve">44. Handling Notices and Managing Litigation</w:t>
      </w:r>
    </w:p>
    <w:p>
      <w:pPr>
        <w:spacing w:after="120" w:line="276"/>
        <w:jc w:val="both"/>
      </w:pPr>
      <w:r>
        <w:rPr>
          <w:rFonts w:ascii="Verdana" w:cs="Verdana" w:eastAsia="Verdana" w:hAnsi="Verdana"/>
        </w:rPr>
        <w:t xml:space="preserve">A notice is a deadline with a document attached. The first job is to find out what stage the matter is at and how much time is left. The second is to decide whether to settle or contest. Only then does drafting start.</w:t>
      </w:r>
    </w:p>
    <w:p>
      <w:pPr>
        <w:pStyle w:val="Heading2"/>
        <w:keepNext/>
        <w:spacing w:after="120" w:before="240"/>
      </w:pPr>
      <w:r>
        <w:rPr>
          <w:rFonts w:ascii="Verdana" w:cs="Verdana" w:eastAsia="Verdana" w:hAnsi="Verdana"/>
        </w:rPr>
        <w:t xml:space="preserve">44.1 Triage: What the Form Tells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4283"/>
        <w:gridCol w:w="2785"/>
      </w:tblGrid>
      <w:tr>
        <w:trPr>
          <w:cantSplit/>
          <w:tblHeader/>
        </w:trPr>
        <w:tc>
          <w:tcPr>
            <w:tcW w:type="dxa" w:w="257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Form</w:t>
            </w:r>
          </w:p>
        </w:tc>
        <w:tc>
          <w:tcPr>
            <w:tcW w:type="dxa" w:w="428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Stage</w:t>
            </w:r>
          </w:p>
        </w:tc>
        <w:tc>
          <w:tcPr>
            <w:tcW w:type="dxa" w:w="278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Usual time to respond</w:t>
            </w:r>
          </w:p>
        </w:tc>
      </w:tr>
      <w:tr>
        <w:trPr>
          <w:cantSplit/>
        </w:trPr>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ASMT-10</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Scrutiny of returns</w:t>
            </w:r>
          </w:p>
        </w:tc>
        <w:tc>
          <w:tcPr>
            <w:tcW w:type="dxa" w:w="27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days</w:t>
            </w:r>
          </w:p>
        </w:tc>
      </w:tr>
      <w:tr>
        <w:trPr>
          <w:cantSplit/>
        </w:trPr>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ADT-01, ADT-02</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Audit notice, audit findings</w:t>
            </w:r>
          </w:p>
        </w:tc>
        <w:tc>
          <w:tcPr>
            <w:tcW w:type="dxa" w:w="27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working days notice; as per findings</w:t>
            </w:r>
          </w:p>
        </w:tc>
      </w:tr>
      <w:tr>
        <w:trPr>
          <w:cantSplit/>
        </w:trPr>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DRC-01A</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Pre-notice intimation</w:t>
            </w:r>
          </w:p>
        </w:tc>
        <w:tc>
          <w:tcPr>
            <w:tcW w:type="dxa" w:w="27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 stated, usually 7 to 30 days</w:t>
            </w:r>
          </w:p>
        </w:tc>
      </w:tr>
      <w:tr>
        <w:trPr>
          <w:cantSplit/>
        </w:trPr>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DRC-01B, DRC-01C</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System mismatch in liability or ITC</w:t>
            </w:r>
          </w:p>
        </w:tc>
        <w:tc>
          <w:tcPr>
            <w:tcW w:type="dxa" w:w="27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 days</w:t>
            </w:r>
          </w:p>
        </w:tc>
      </w:tr>
      <w:tr>
        <w:trPr>
          <w:cantSplit/>
        </w:trPr>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DRC-01</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Show cause notice</w:t>
            </w:r>
          </w:p>
        </w:tc>
        <w:tc>
          <w:tcPr>
            <w:tcW w:type="dxa" w:w="27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days, or as stated</w:t>
            </w:r>
          </w:p>
        </w:tc>
      </w:tr>
      <w:tr>
        <w:trPr>
          <w:cantSplit/>
        </w:trPr>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DRC-07</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Order</w:t>
            </w:r>
          </w:p>
        </w:tc>
        <w:tc>
          <w:tcPr>
            <w:tcW w:type="dxa" w:w="27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 in 3 months or appeal in 3 months</w:t>
            </w:r>
          </w:p>
        </w:tc>
      </w:tr>
      <w:tr>
        <w:trPr>
          <w:cantSplit/>
        </w:trPr>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DRC-13</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Garnishee notice</w:t>
            </w:r>
          </w:p>
        </w:tc>
        <w:tc>
          <w:tcPr>
            <w:tcW w:type="dxa" w:w="27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Immediate</w:t>
            </w:r>
          </w:p>
        </w:tc>
      </w:tr>
      <w:tr>
        <w:trPr>
          <w:cantSplit/>
        </w:trPr>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REG-17, REG-31</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Cancellation or suspension of registration</w:t>
            </w:r>
          </w:p>
        </w:tc>
        <w:tc>
          <w:tcPr>
            <w:tcW w:type="dxa" w:w="27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REG-17: 7 days; REG-31: 30 days</w:t>
            </w:r>
          </w:p>
        </w:tc>
      </w:tr>
    </w:tbl>
    <w:p>
      <w:pPr>
        <w:spacing w:after="60"/>
      </w:pPr>
    </w:p>
    <w:p>
      <w:pPr>
        <w:spacing w:after="120" w:line="276"/>
        <w:jc w:val="both"/>
      </w:pPr>
      <w:r>
        <w:rPr>
          <w:rFonts w:ascii="Verdana" w:cs="Verdana" w:eastAsia="Verdana" w:hAnsi="Verdana"/>
        </w:rPr>
        <w:t xml:space="preserve">Check the DIN on every CBIC communication and verify it on the CBIC site. Check the officer's jurisdiction, the period, and whether the other administration has already issued a notice on the same issue.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205: A limitation diary for a section 74A notice</w:t>
            </w:r>
          </w:p>
          <w:p>
            <w:pPr>
              <w:spacing w:after="60" w:line="260"/>
            </w:pPr>
            <w:r>
              <w:rPr>
                <w:rFonts w:ascii="Verdana" w:cs="Verdana" w:eastAsia="Verdana" w:hAnsi="Verdana"/>
                <w:sz w:val="20"/>
                <w:szCs w:val="20"/>
              </w:rPr>
              <w:t xml:space="preserve">Joshi Electricals received a section 74A notice (non-fraud) for FY 2024-25 dated 14 August 2026, proposing tax of Rs. 7,20,000 on an ITC mismatch.</w:t>
            </w:r>
          </w:p>
          <w:p>
            <w:pPr>
              <w:spacing w:after="60" w:line="260"/>
            </w:pPr>
            <w:r>
              <w:rPr>
                <w:rFonts w:ascii="Verdana" w:cs="Verdana" w:eastAsia="Verdana" w:hAnsi="Verdana"/>
                <w:sz w:val="20"/>
                <w:szCs w:val="20"/>
              </w:rPr>
              <w:t xml:space="preserve">Step 1: Reply due in 30 days: 13 September 2026.</w:t>
            </w:r>
          </w:p>
          <w:p>
            <w:pPr>
              <w:spacing w:after="60" w:line="260"/>
            </w:pPr>
            <w:r>
              <w:rPr>
                <w:rFonts w:ascii="Verdana" w:cs="Verdana" w:eastAsia="Verdana" w:hAnsi="Verdana"/>
                <w:sz w:val="20"/>
                <w:szCs w:val="20"/>
              </w:rPr>
              <w:t xml:space="preserve">Step 2: The 60-day window for payment with interest and no penalty ends on 13 October 2026.</w:t>
            </w:r>
          </w:p>
          <w:p>
            <w:pPr>
              <w:spacing w:after="60" w:line="260"/>
            </w:pPr>
            <w:r>
              <w:rPr>
                <w:rFonts w:ascii="Verdana" w:cs="Verdana" w:eastAsia="Verdana" w:hAnsi="Verdana"/>
                <w:sz w:val="20"/>
                <w:szCs w:val="20"/>
              </w:rPr>
              <w:t xml:space="preserve">Step 3: The order is due within 12 months of the notice, by 14 August 2027 (up to 14 February 2028 if extended).</w:t>
            </w:r>
          </w:p>
          <w:p>
            <w:pPr>
              <w:spacing w:after="60" w:line="260"/>
            </w:pPr>
            <w:r>
              <w:rPr>
                <w:rFonts w:ascii="Verdana" w:cs="Verdana" w:eastAsia="Verdana" w:hAnsi="Verdana"/>
                <w:sz w:val="20"/>
                <w:szCs w:val="20"/>
              </w:rPr>
              <w:t xml:space="preserve">Step 4: If an order is passed on 10 March 2027, first appeal lies by 10 June 2027.</w:t>
            </w:r>
          </w:p>
        </w:tc>
      </w:tr>
    </w:tbl>
    <w:p>
      <w:pPr>
        <w:spacing w:after="60"/>
      </w:pPr>
    </w:p>
    <w:p>
      <w:pPr>
        <w:pStyle w:val="Heading2"/>
        <w:keepNext/>
        <w:spacing w:after="120" w:before="240"/>
      </w:pPr>
      <w:r>
        <w:rPr>
          <w:rFonts w:ascii="Verdana" w:cs="Verdana" w:eastAsia="Verdana" w:hAnsi="Verdana"/>
        </w:rPr>
        <w:t xml:space="preserve">44.2 Settle or Contest</w:t>
      </w:r>
    </w:p>
    <w:p>
      <w:pPr>
        <w:spacing w:after="120" w:line="276"/>
        <w:jc w:val="both"/>
      </w:pPr>
      <w:r>
        <w:rPr>
          <w:rFonts w:ascii="Verdana" w:cs="Verdana" w:eastAsia="Verdana" w:hAnsi="Verdana"/>
        </w:rPr>
        <w:t xml:space="preserve">The decision depends on the strength of the case, the cost of delay and the penalty scale. Interest keeps running while a matter is contested unless the amount is paid under protest.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206: Paying within 60 days versus contesting</w:t>
            </w:r>
          </w:p>
          <w:p>
            <w:pPr>
              <w:spacing w:after="60" w:line="260"/>
            </w:pPr>
            <w:r>
              <w:rPr>
                <w:rFonts w:ascii="Verdana" w:cs="Verdana" w:eastAsia="Verdana" w:hAnsi="Verdana"/>
                <w:sz w:val="20"/>
                <w:szCs w:val="20"/>
              </w:rPr>
              <w:t xml:space="preserve">Continuing the Joshi Electricals case, interest to date is Rs. 1,40,000.</w:t>
            </w:r>
          </w:p>
          <w:p>
            <w:pPr>
              <w:spacing w:after="60" w:line="260"/>
            </w:pPr>
            <w:r>
              <w:rPr>
                <w:rFonts w:ascii="Verdana" w:cs="Verdana" w:eastAsia="Verdana" w:hAnsi="Verdana"/>
                <w:sz w:val="20"/>
                <w:szCs w:val="20"/>
              </w:rPr>
              <w:t xml:space="preserve">Option A: pay tax Rs. 7,20,000 and interest Rs. 1,40,000 within 60 days. Total Rs. 8,60,000; no penalty.</w:t>
            </w:r>
          </w:p>
          <w:p>
            <w:pPr>
              <w:spacing w:after="60" w:line="260"/>
            </w:pPr>
            <w:r>
              <w:rPr>
                <w:rFonts w:ascii="Verdana" w:cs="Verdana" w:eastAsia="Verdana" w:hAnsi="Verdana"/>
                <w:sz w:val="20"/>
                <w:szCs w:val="20"/>
              </w:rPr>
              <w:t xml:space="preserve">Option B: contest and lose at first appeal two years later. Extra interest Rs. 7,20,000 x 18% x 2 = Rs. 2,59,200, so interest Rs. 3,99,200; penalty 10% Rs. 72,000; total outflow Rs. 11,91,200, less the pre-deposit already paid, plus professional fees.</w:t>
            </w:r>
          </w:p>
          <w:p>
            <w:pPr>
              <w:spacing w:after="60" w:line="260"/>
            </w:pPr>
            <w:r>
              <w:rPr>
                <w:rFonts w:ascii="Verdana" w:cs="Verdana" w:eastAsia="Verdana" w:hAnsi="Verdana"/>
                <w:sz w:val="20"/>
                <w:szCs w:val="20"/>
              </w:rPr>
              <w:t xml:space="preserve">Option C: pay under protest now and contest. Interest stops; the amount is refunded with interest if the appeal succeeds.</w:t>
            </w:r>
          </w:p>
          <w:p>
            <w:pPr>
              <w:spacing w:after="60" w:line="260"/>
            </w:pPr>
            <w:r>
              <w:rPr>
                <w:rFonts w:ascii="Verdana" w:cs="Verdana" w:eastAsia="Verdana" w:hAnsi="Verdana"/>
                <w:sz w:val="20"/>
                <w:szCs w:val="20"/>
              </w:rPr>
              <w:t xml:space="preserve">If the documents show the supplier paid the tax, the case is strong and B or C is sensible. If the supplier is non-existent, A is usually better.</w:t>
            </w:r>
          </w:p>
        </w:tc>
      </w:tr>
    </w:tbl>
    <w:p>
      <w:pPr>
        <w:spacing w:after="60"/>
      </w:pPr>
    </w:p>
    <w:p>
      <w:pPr>
        <w:pStyle w:val="Heading2"/>
        <w:keepNext/>
        <w:spacing w:after="120" w:before="240"/>
      </w:pPr>
      <w:r>
        <w:rPr>
          <w:rFonts w:ascii="Verdana" w:cs="Verdana" w:eastAsia="Verdana" w:hAnsi="Verdana"/>
        </w:rPr>
        <w:t xml:space="preserve">44.3 Reply Structure and Hearing</w:t>
      </w:r>
    </w:p>
    <w:p>
      <w:pPr>
        <w:spacing w:after="120" w:line="276"/>
        <w:jc w:val="both"/>
      </w:pPr>
      <w:r>
        <w:rPr>
          <w:rFonts w:ascii="Verdana" w:cs="Verdana" w:eastAsia="Verdana" w:hAnsi="Verdana"/>
        </w:rPr>
        <w:t xml:space="preserve">A reply should be complete and courteous. It is read by an officer with many files, and later by an appellate authority deciding whether the officer considered it.</w:t>
      </w:r>
    </w:p>
    <w:p>
      <w:pPr>
        <w:pStyle w:val="ListParagraph"/>
        <w:numPr>
          <w:ilvl w:val="0"/>
          <w:numId w:val="2"/>
        </w:numPr>
        <w:spacing w:after="60" w:line="264"/>
      </w:pPr>
      <w:r>
        <w:rPr>
          <w:rFonts w:ascii="Verdana" w:cs="Verdana" w:eastAsia="Verdana" w:hAnsi="Verdana"/>
          <w:b/>
          <w:bCs/>
        </w:rPr>
        <w:t xml:space="preserve">Preliminary objections:</w:t>
      </w:r>
      <w:r>
        <w:rPr>
          <w:rFonts w:ascii="Verdana" w:cs="Verdana" w:eastAsia="Verdana" w:hAnsi="Verdana"/>
        </w:rPr>
        <w:t xml:space="preserve"> limitation, jurisdiction, DIN, section 6(2)(b), vague allegations, extended period not invoked properly.</w:t>
      </w:r>
    </w:p>
    <w:p>
      <w:pPr>
        <w:pStyle w:val="ListParagraph"/>
        <w:numPr>
          <w:ilvl w:val="0"/>
          <w:numId w:val="2"/>
        </w:numPr>
        <w:spacing w:after="60" w:line="264"/>
      </w:pPr>
      <w:r>
        <w:rPr>
          <w:rFonts w:ascii="Verdana" w:cs="Verdana" w:eastAsia="Verdana" w:hAnsi="Verdana"/>
          <w:b/>
          <w:bCs/>
        </w:rPr>
        <w:t xml:space="preserve">Facts:</w:t>
      </w:r>
      <w:r>
        <w:rPr>
          <w:rFonts w:ascii="Verdana" w:cs="Verdana" w:eastAsia="Verdana" w:hAnsi="Verdana"/>
        </w:rPr>
        <w:t xml:space="preserve"> a short, accurate chronology.</w:t>
      </w:r>
    </w:p>
    <w:p>
      <w:pPr>
        <w:pStyle w:val="ListParagraph"/>
        <w:numPr>
          <w:ilvl w:val="0"/>
          <w:numId w:val="2"/>
        </w:numPr>
        <w:spacing w:after="60" w:line="264"/>
      </w:pPr>
      <w:r>
        <w:rPr>
          <w:rFonts w:ascii="Verdana" w:cs="Verdana" w:eastAsia="Verdana" w:hAnsi="Verdana"/>
          <w:b/>
          <w:bCs/>
        </w:rPr>
        <w:t xml:space="preserve">Point-wise reply:</w:t>
      </w:r>
      <w:r>
        <w:rPr>
          <w:rFonts w:ascii="Verdana" w:cs="Verdana" w:eastAsia="Verdana" w:hAnsi="Verdana"/>
        </w:rPr>
        <w:t xml:space="preserve"> each allegation, with the reconciliation and documents.</w:t>
      </w:r>
    </w:p>
    <w:p>
      <w:pPr>
        <w:pStyle w:val="ListParagraph"/>
        <w:numPr>
          <w:ilvl w:val="0"/>
          <w:numId w:val="2"/>
        </w:numPr>
        <w:spacing w:after="60" w:line="264"/>
      </w:pPr>
      <w:r>
        <w:rPr>
          <w:rFonts w:ascii="Verdana" w:cs="Verdana" w:eastAsia="Verdana" w:hAnsi="Verdana"/>
          <w:b/>
          <w:bCs/>
        </w:rPr>
        <w:t xml:space="preserve">Law:</w:t>
      </w:r>
      <w:r>
        <w:rPr>
          <w:rFonts w:ascii="Verdana" w:cs="Verdana" w:eastAsia="Verdana" w:hAnsi="Verdana"/>
        </w:rPr>
        <w:t xml:space="preserve"> sections, rules, circulars and judgments, with the passage relied upon.</w:t>
      </w:r>
    </w:p>
    <w:p>
      <w:pPr>
        <w:pStyle w:val="ListParagraph"/>
        <w:numPr>
          <w:ilvl w:val="0"/>
          <w:numId w:val="2"/>
        </w:numPr>
        <w:spacing w:after="60" w:line="264"/>
      </w:pPr>
      <w:r>
        <w:rPr>
          <w:rFonts w:ascii="Verdana" w:cs="Verdana" w:eastAsia="Verdana" w:hAnsi="Verdana"/>
          <w:b/>
          <w:bCs/>
        </w:rPr>
        <w:t xml:space="preserve">Interest and penalty:</w:t>
      </w:r>
      <w:r>
        <w:rPr>
          <w:rFonts w:ascii="Verdana" w:cs="Verdana" w:eastAsia="Verdana" w:hAnsi="Verdana"/>
        </w:rPr>
        <w:t xml:space="preserve"> separate submissions, since they often survive even when tax is conceded.</w:t>
      </w:r>
    </w:p>
    <w:p>
      <w:pPr>
        <w:pStyle w:val="ListParagraph"/>
        <w:numPr>
          <w:ilvl w:val="0"/>
          <w:numId w:val="2"/>
        </w:numPr>
        <w:spacing w:after="60" w:line="264"/>
      </w:pPr>
      <w:r>
        <w:rPr>
          <w:rFonts w:ascii="Verdana" w:cs="Verdana" w:eastAsia="Verdana" w:hAnsi="Verdana"/>
          <w:b/>
          <w:bCs/>
        </w:rPr>
        <w:t xml:space="preserve">Prayer and request for hearing.</w:t>
      </w:r>
    </w:p>
    <w:p>
      <w:pPr>
        <w:spacing w:after="120" w:line="276"/>
        <w:jc w:val="both"/>
      </w:pPr>
      <w:r>
        <w:rPr>
          <w:rFonts w:ascii="Verdana" w:cs="Verdana" w:eastAsia="Verdana" w:hAnsi="Verdana"/>
        </w:rPr>
        <w:t xml:space="preserve">A specimen outline of a reply to a notice alleging excess ITC over GSTR-2B follows: (1) the ITC in question, invoice-wise, with GSTR-2B references for the month or later month; (2) IGST on imports and RCM credits that do not appear in the B2B part of GSTR-2B; (3) supplier invoices uploaded late, with proof that the credit was not used before appearing in GSTR-2B; (4) proof of receipt and payment for any invoice still missing, with a request to proceed first against the supplier and to allow restoration on the supplier's payment; (5) interest only on credit utilised, under section 50(3) and rule 88B.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For the personal hearing, carry a two-page note of arguments, the reconciliation and an indexed paper book. Ask that the submissions be recorded, and file a written synopsis the same day.</w:t>
            </w:r>
          </w:p>
          <w:p>
            <w:pPr>
              <w:spacing w:after="60" w:line="260"/>
            </w:pPr>
            <w:r>
              <w:rPr>
                <w:rFonts w:ascii="Verdana" w:cs="Verdana" w:eastAsia="Verdana" w:hAnsi="Verdana"/>
                <w:sz w:val="20"/>
                <w:szCs w:val="20"/>
              </w:rPr>
              <w:t xml:space="preserve">Do not concede orally what has not been conceded in writing.</w:t>
            </w:r>
          </w:p>
        </w:tc>
      </w:tr>
    </w:tbl>
    <w:p>
      <w:pPr>
        <w:spacing w:after="60"/>
      </w:pPr>
    </w:p>
    <w:p>
      <w:pPr>
        <w:pStyle w:val="Heading2"/>
        <w:keepNext/>
        <w:spacing w:after="120" w:before="240"/>
      </w:pPr>
      <w:r>
        <w:rPr>
          <w:rFonts w:ascii="Verdana" w:cs="Verdana" w:eastAsia="Verdana" w:hAnsi="Verdana"/>
        </w:rPr>
        <w:t xml:space="preserve">44.4 Strategy, Tracking and Ethics</w:t>
      </w:r>
    </w:p>
    <w:p>
      <w:pPr>
        <w:spacing w:after="120" w:line="276"/>
        <w:jc w:val="both"/>
      </w:pPr>
      <w:r>
        <w:rPr>
          <w:rFonts w:ascii="Verdana" w:cs="Verdana" w:eastAsia="Verdana" w:hAnsi="Verdana"/>
        </w:rPr>
        <w:t xml:space="preserve">Choose a writ only where the order is without jurisdiction, a hearing was denied, limitation has plainly expired or a rule is invalid. Otherwise appeal, because the appellate forums examine facts. Payment through DRC-03 with a clear note that it is under protest preserves the right to refund.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8"/>
        <w:gridCol w:w="6640"/>
      </w:tblGrid>
      <w:tr>
        <w:trPr>
          <w:cantSplit/>
          <w:tblHeader/>
        </w:trPr>
        <w:tc>
          <w:tcPr>
            <w:tcW w:type="dxa" w:w="299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Field</w:t>
            </w:r>
          </w:p>
        </w:tc>
        <w:tc>
          <w:tcPr>
            <w:tcW w:type="dxa" w:w="664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Content</w:t>
            </w:r>
          </w:p>
        </w:tc>
      </w:tr>
      <w:tr>
        <w:trPr>
          <w:cantSplit/>
        </w:trPr>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Client and GSTIN</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Entity, State, jurisdiction (Centre or State)</w:t>
            </w:r>
          </w:p>
        </w:tc>
      </w:tr>
      <w:tr>
        <w:trPr>
          <w:cantSplit/>
        </w:trPr>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Reference</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Notice or order number, DIN, date of service</w:t>
            </w:r>
          </w:p>
        </w:tc>
      </w:tr>
      <w:tr>
        <w:trPr>
          <w:cantSplit/>
        </w:trPr>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Period and issue</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Financial year, section, subject</w:t>
            </w:r>
          </w:p>
        </w:tc>
      </w:tr>
      <w:tr>
        <w:trPr>
          <w:cantSplit/>
        </w:trPr>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Amounts</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interest, penalty; amount paid or pre-deposited</w:t>
            </w:r>
          </w:p>
        </w:tc>
      </w:tr>
      <w:tr>
        <w:trPr>
          <w:cantSplit/>
        </w:trPr>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Deadlines</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Reply, hearing, 60-day window, order limit, appeal limit</w:t>
            </w:r>
          </w:p>
        </w:tc>
      </w:tr>
      <w:tr>
        <w:trPr>
          <w:cantSplit/>
        </w:trPr>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Status and next action</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Owner and due date</w:t>
            </w:r>
          </w:p>
        </w:tc>
      </w:tr>
    </w:tbl>
    <w:p>
      <w:pPr>
        <w:spacing w:after="60"/>
      </w:pPr>
    </w:p>
    <w:p>
      <w:pPr>
        <w:spacing w:after="120" w:line="276"/>
        <w:jc w:val="both"/>
      </w:pPr>
      <w:r>
        <w:rPr>
          <w:rFonts w:ascii="Verdana" w:cs="Verdana" w:eastAsia="Verdana" w:hAnsi="Verdana"/>
        </w:rPr>
        <w:t xml:space="preserve">Tell the client in writing what the notice says, the options, the likely cost of each and the deadline. Never advise a client to withhold or alter documents. Where facts show deliberate evasion, advise the client of the consequences and do not present a false case. Keep proper files, since the professional's own conduct may be examined later.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The form number identifies the stage; diarise every deadline on the day of receipt and check the DIN.</w:t>
            </w:r>
          </w:p>
          <w:p>
            <w:pPr>
              <w:spacing w:after="60" w:line="260"/>
            </w:pPr>
            <w:r>
              <w:rPr>
                <w:rFonts w:ascii="Verdana" w:cs="Verdana" w:eastAsia="Verdana" w:hAnsi="Verdana"/>
                <w:sz w:val="20"/>
                <w:szCs w:val="20"/>
              </w:rPr>
              <w:t xml:space="preserve">•  Decide whether to settle or contest by comparing the penalty-free window with the cost of delay and the strength of evidence.</w:t>
            </w:r>
          </w:p>
          <w:p>
            <w:pPr>
              <w:spacing w:after="60" w:line="260"/>
            </w:pPr>
            <w:r>
              <w:rPr>
                <w:rFonts w:ascii="Verdana" w:cs="Verdana" w:eastAsia="Verdana" w:hAnsi="Verdana"/>
                <w:sz w:val="20"/>
                <w:szCs w:val="20"/>
              </w:rPr>
              <w:t xml:space="preserve">•  Replies should start with preliminary objections, then facts, point-wise answers and law, with separate submissions on interest and penalty.</w:t>
            </w:r>
          </w:p>
          <w:p>
            <w:pPr>
              <w:spacing w:after="60" w:line="260"/>
            </w:pPr>
            <w:r>
              <w:rPr>
                <w:rFonts w:ascii="Verdana" w:cs="Verdana" w:eastAsia="Verdana" w:hAnsi="Verdana"/>
                <w:sz w:val="20"/>
                <w:szCs w:val="20"/>
              </w:rPr>
              <w:t xml:space="preserve">•  Use a writ only for jurisdiction, natural justice, limitation or vires; otherwise appeal.</w:t>
            </w:r>
          </w:p>
          <w:p>
            <w:pPr>
              <w:spacing w:after="60" w:line="260"/>
            </w:pPr>
            <w:r>
              <w:rPr>
                <w:rFonts w:ascii="Verdana" w:cs="Verdana" w:eastAsia="Verdana" w:hAnsi="Verdana"/>
                <w:sz w:val="20"/>
                <w:szCs w:val="20"/>
              </w:rPr>
              <w:t xml:space="preserve">•  A litigation tracker and written client advice protect both the client and the professional.</w:t>
            </w:r>
          </w:p>
        </w:tc>
      </w:tr>
    </w:tbl>
    <w:p>
      <w:pPr>
        <w:pStyle w:val="TocPart"/>
        <w:pageBreakBefore/>
        <w:shd w:fill="92400E" w:color="auto" w:val="clear"/>
        <w:spacing w:after="0" w:before="0"/>
        <w:ind w:left="0"/>
      </w:pPr>
      <w:r>
        <w:rPr>
          <w:rFonts w:ascii="Verdana" w:cs="Verdana" w:eastAsia="Verdana" w:hAnsi="Verdana"/>
          <w:b/>
          <w:bCs/>
          <w:color w:val="FFFFFF"/>
          <w:sz w:val="26"/>
          <w:szCs w:val="26"/>
        </w:rPr>
        <w:t xml:space="preserve">  PART J: COMPREHENSIVE CASE STUDIES</w:t>
      </w:r>
    </w:p>
    <w:p>
      <w:pPr>
        <w:shd w:fill="F6E8D2" w:color="auto" w:val="clear"/>
        <w:spacing w:after="200"/>
      </w:pPr>
      <w:r>
        <w:rPr>
          <w:rFonts w:ascii="Verdana" w:cs="Verdana" w:eastAsia="Verdana" w:hAnsi="Verdana"/>
          <w:i/>
          <w:iCs/>
          <w:color w:val="92400E"/>
          <w:sz w:val="20"/>
          <w:szCs w:val="20"/>
        </w:rPr>
        <w:t xml:space="preserve">  Fifteen working files, from the monthly return to the show cause notice</w:t>
      </w:r>
    </w:p>
    <w:p>
      <w:pPr>
        <w:spacing w:after="240" w:line="276"/>
        <w:jc w:val="both"/>
      </w:pPr>
      <w:r>
        <w:rPr>
          <w:rFonts w:ascii="Verdana" w:cs="Verdana" w:eastAsia="Verdana" w:hAnsi="Verdana"/>
          <w:i/>
          <w:iCs/>
          <w:color w:val="404040"/>
          <w:sz w:val="21"/>
          <w:szCs w:val="21"/>
        </w:rPr>
        <w:t xml:space="preserve">The earlier Parts explain the law topic by topic. In practice a client brings all of it together in one set of facts, one month or one transaction. The case studies in this Part are built the way a working paper is built: facts with numbers, the issues, the computation with every step shown, the forms and due dates, and the lessons that carry to the next file.</w:t>
      </w:r>
    </w:p>
    <w:p>
      <w:pPr>
        <w:pStyle w:val="Heading1"/>
        <w:spacing w:after="200" w:before="120"/>
      </w:pPr>
      <w:r>
        <w:rPr>
          <w:rFonts w:ascii="Verdana" w:cs="Verdana" w:eastAsia="Verdana" w:hAnsi="Verdana"/>
        </w:rPr>
        <w:t xml:space="preserve">45. Case Study 1: Monthly GSTR-3B of a Trading Company</w:t>
      </w:r>
    </w:p>
    <w:p>
      <w:pPr>
        <w:pStyle w:val="Heading2"/>
        <w:keepNext/>
        <w:spacing w:after="120" w:before="240"/>
      </w:pPr>
      <w:r>
        <w:rPr>
          <w:rFonts w:ascii="Verdana" w:cs="Verdana" w:eastAsia="Verdana" w:hAnsi="Verdana"/>
        </w:rPr>
        <w:t xml:space="preserve">45.1 Facts</w:t>
      </w:r>
    </w:p>
    <w:p>
      <w:pPr>
        <w:spacing w:after="120" w:line="276"/>
        <w:jc w:val="both"/>
      </w:pPr>
      <w:r>
        <w:rPr>
          <w:rFonts w:ascii="Verdana" w:cs="Verdana" w:eastAsia="Verdana" w:hAnsi="Verdana"/>
        </w:rPr>
        <w:t xml:space="preserve">Suryoday Electricals Pvt. Ltd. is a trader in switchgear, cables and fittings with one registration in Ahmedabad, Gujarat. All its goods are taxed at 18%. The company was incorporated in 2023 and paid income tax of Rs. 62,000 for FY 2023-24 and Rs. 88,000 for FY 2024-25. Its electronic credit ledger had no opening balance for November 2025. The accountant has prepared the following data for the GSTR-3B of </w:t>
      </w:r>
      <w:r>
        <w:rPr>
          <w:rFonts w:ascii="Verdana" w:cs="Verdana" w:eastAsia="Verdana" w:hAnsi="Verdana"/>
          <w:b/>
          <w:bCs/>
        </w:rPr>
        <w:t xml:space="preserve">November 2025</w:t>
      </w:r>
      <w:r>
        <w:rPr>
          <w:rFonts w:ascii="Verdana" w:cs="Verdana" w:eastAsia="Verdana" w:hAnsi="Verdana"/>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52"/>
        <w:gridCol w:w="1724"/>
        <w:gridCol w:w="1420"/>
        <w:gridCol w:w="1420"/>
        <w:gridCol w:w="1422"/>
      </w:tblGrid>
      <w:tr>
        <w:trPr>
          <w:cantSplit/>
          <w:tblHeader/>
        </w:trPr>
        <w:tc>
          <w:tcPr>
            <w:tcW w:type="dxa" w:w="365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Outward supplies</w:t>
            </w:r>
          </w:p>
        </w:tc>
        <w:tc>
          <w:tcPr>
            <w:tcW w:type="dxa" w:w="1724"/>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Taxable value</w:t>
            </w:r>
          </w:p>
        </w:tc>
        <w:tc>
          <w:tcPr>
            <w:tcW w:type="dxa" w:w="142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IGST</w:t>
            </w:r>
          </w:p>
        </w:tc>
        <w:tc>
          <w:tcPr>
            <w:tcW w:type="dxa" w:w="142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CGST</w:t>
            </w:r>
          </w:p>
        </w:tc>
        <w:tc>
          <w:tcPr>
            <w:tcW w:type="dxa" w:w="142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SGST</w:t>
            </w:r>
          </w:p>
        </w:tc>
      </w:tr>
      <w:tr>
        <w:trPr>
          <w:cantSplit/>
        </w:trPr>
        <w:tc>
          <w:tcPr>
            <w:tcW w:type="dxa" w:w="36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Intra-State B2B (Gujarat)</w:t>
            </w:r>
          </w:p>
        </w:tc>
        <w:tc>
          <w:tcPr>
            <w:tcW w:type="dxa" w:w="17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60,00,000</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0</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5,40,000</w:t>
            </w:r>
          </w:p>
        </w:tc>
        <w:tc>
          <w:tcPr>
            <w:tcW w:type="dxa" w:w="14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5,40,000</w:t>
            </w:r>
          </w:p>
        </w:tc>
      </w:tr>
      <w:tr>
        <w:trPr>
          <w:cantSplit/>
        </w:trPr>
        <w:tc>
          <w:tcPr>
            <w:tcW w:type="dxa" w:w="36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Intra-State B2C (Gujarat)</w:t>
            </w:r>
          </w:p>
        </w:tc>
        <w:tc>
          <w:tcPr>
            <w:tcW w:type="dxa" w:w="17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8,00,000</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0</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72,000</w:t>
            </w:r>
          </w:p>
        </w:tc>
        <w:tc>
          <w:tcPr>
            <w:tcW w:type="dxa" w:w="14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72,000</w:t>
            </w:r>
          </w:p>
        </w:tc>
      </w:tr>
      <w:tr>
        <w:trPr>
          <w:cantSplit/>
        </w:trPr>
        <w:tc>
          <w:tcPr>
            <w:tcW w:type="dxa" w:w="36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Inter-State B2B</w:t>
            </w:r>
          </w:p>
        </w:tc>
        <w:tc>
          <w:tcPr>
            <w:tcW w:type="dxa" w:w="17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25,00,000</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4,50,000</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0</w:t>
            </w:r>
          </w:p>
        </w:tc>
        <w:tc>
          <w:tcPr>
            <w:tcW w:type="dxa" w:w="14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0</w:t>
            </w:r>
          </w:p>
        </w:tc>
      </w:tr>
      <w:tr>
        <w:trPr>
          <w:cantSplit/>
        </w:trPr>
        <w:tc>
          <w:tcPr>
            <w:tcW w:type="dxa" w:w="36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Inter-State B2C (Rajasthan)</w:t>
            </w:r>
          </w:p>
        </w:tc>
        <w:tc>
          <w:tcPr>
            <w:tcW w:type="dxa" w:w="17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2,00,000</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36,000</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0</w:t>
            </w:r>
          </w:p>
        </w:tc>
        <w:tc>
          <w:tcPr>
            <w:tcW w:type="dxa" w:w="14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0</w:t>
            </w:r>
          </w:p>
        </w:tc>
      </w:tr>
      <w:tr>
        <w:trPr>
          <w:cantSplit/>
        </w:trPr>
        <w:tc>
          <w:tcPr>
            <w:tcW w:type="dxa" w:w="3652"/>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w:t>
            </w:r>
          </w:p>
        </w:tc>
        <w:tc>
          <w:tcPr>
            <w:tcW w:type="dxa" w:w="1724"/>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95,00,000</w:t>
            </w:r>
          </w:p>
        </w:tc>
        <w:tc>
          <w:tcPr>
            <w:tcW w:type="dxa" w:w="142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4,86,000</w:t>
            </w:r>
          </w:p>
        </w:tc>
        <w:tc>
          <w:tcPr>
            <w:tcW w:type="dxa" w:w="142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6,12,000</w:t>
            </w:r>
          </w:p>
        </w:tc>
        <w:tc>
          <w:tcPr>
            <w:tcW w:type="dxa" w:w="1422"/>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6,12,000</w:t>
            </w:r>
          </w:p>
        </w:tc>
      </w:tr>
    </w:tbl>
    <w:p>
      <w:pPr>
        <w:spacing w:after="60"/>
      </w:pPr>
    </w:p>
    <w:p>
      <w:pPr>
        <w:spacing w:after="120" w:line="276"/>
        <w:jc w:val="both"/>
      </w:pPr>
      <w:r>
        <w:rPr>
          <w:rFonts w:ascii="Verdana" w:cs="Verdana" w:eastAsia="Verdana" w:hAnsi="Verdana"/>
        </w:rPr>
        <w:t xml:space="preserve">Inward supplies for the month, as seen in GSTR-2B and in the purchase register, were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52"/>
        <w:gridCol w:w="1724"/>
        <w:gridCol w:w="1420"/>
        <w:gridCol w:w="1420"/>
        <w:gridCol w:w="1422"/>
      </w:tblGrid>
      <w:tr>
        <w:trPr>
          <w:cantSplit/>
          <w:tblHeader/>
        </w:trPr>
        <w:tc>
          <w:tcPr>
            <w:tcW w:type="dxa" w:w="365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Inward supply</w:t>
            </w:r>
          </w:p>
        </w:tc>
        <w:tc>
          <w:tcPr>
            <w:tcW w:type="dxa" w:w="1724"/>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Taxable value</w:t>
            </w:r>
          </w:p>
        </w:tc>
        <w:tc>
          <w:tcPr>
            <w:tcW w:type="dxa" w:w="142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IGST</w:t>
            </w:r>
          </w:p>
        </w:tc>
        <w:tc>
          <w:tcPr>
            <w:tcW w:type="dxa" w:w="142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CGST</w:t>
            </w:r>
          </w:p>
        </w:tc>
        <w:tc>
          <w:tcPr>
            <w:tcW w:type="dxa" w:w="142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SGST</w:t>
            </w:r>
          </w:p>
        </w:tc>
      </w:tr>
      <w:tr>
        <w:trPr>
          <w:cantSplit/>
        </w:trPr>
        <w:tc>
          <w:tcPr>
            <w:tcW w:type="dxa" w:w="36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Trading goods, Gujarat suppliers</w:t>
            </w:r>
          </w:p>
        </w:tc>
        <w:tc>
          <w:tcPr>
            <w:tcW w:type="dxa" w:w="17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50,00,000</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0</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4,50,000</w:t>
            </w:r>
          </w:p>
        </w:tc>
        <w:tc>
          <w:tcPr>
            <w:tcW w:type="dxa" w:w="14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4,50,000</w:t>
            </w:r>
          </w:p>
        </w:tc>
      </w:tr>
      <w:tr>
        <w:trPr>
          <w:cantSplit/>
        </w:trPr>
        <w:tc>
          <w:tcPr>
            <w:tcW w:type="dxa" w:w="36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Trading goods, Maharashtra supplier</w:t>
            </w:r>
          </w:p>
        </w:tc>
        <w:tc>
          <w:tcPr>
            <w:tcW w:type="dxa" w:w="17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20,00,000</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3,60,000</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0</w:t>
            </w:r>
          </w:p>
        </w:tc>
        <w:tc>
          <w:tcPr>
            <w:tcW w:type="dxa" w:w="14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0</w:t>
            </w:r>
          </w:p>
        </w:tc>
      </w:tr>
      <w:tr>
        <w:trPr>
          <w:cantSplit/>
        </w:trPr>
        <w:tc>
          <w:tcPr>
            <w:tcW w:type="dxa" w:w="36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Office rent, telephone, courier</w:t>
            </w:r>
          </w:p>
        </w:tc>
        <w:tc>
          <w:tcPr>
            <w:tcW w:type="dxa" w:w="17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2,00,000</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0</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18,000</w:t>
            </w:r>
          </w:p>
        </w:tc>
        <w:tc>
          <w:tcPr>
            <w:tcW w:type="dxa" w:w="14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18,000</w:t>
            </w:r>
          </w:p>
        </w:tc>
      </w:tr>
      <w:tr>
        <w:trPr>
          <w:cantSplit/>
        </w:trPr>
        <w:tc>
          <w:tcPr>
            <w:tcW w:type="dxa" w:w="36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Repair of director's car (5-seater)</w:t>
            </w:r>
          </w:p>
        </w:tc>
        <w:tc>
          <w:tcPr>
            <w:tcW w:type="dxa" w:w="17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40,000</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0</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3,600</w:t>
            </w:r>
          </w:p>
        </w:tc>
        <w:tc>
          <w:tcPr>
            <w:tcW w:type="dxa" w:w="14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3,600</w:t>
            </w:r>
          </w:p>
        </w:tc>
      </w:tr>
      <w:tr>
        <w:trPr>
          <w:cantSplit/>
        </w:trPr>
        <w:tc>
          <w:tcPr>
            <w:tcW w:type="dxa" w:w="36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Staff lunch from a restaurant (5%)</w:t>
            </w:r>
          </w:p>
        </w:tc>
        <w:tc>
          <w:tcPr>
            <w:tcW w:type="dxa" w:w="17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0</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750</w:t>
            </w:r>
          </w:p>
        </w:tc>
        <w:tc>
          <w:tcPr>
            <w:tcW w:type="dxa" w:w="14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750</w:t>
            </w:r>
          </w:p>
        </w:tc>
      </w:tr>
      <w:tr>
        <w:trPr>
          <w:cantSplit/>
        </w:trPr>
        <w:tc>
          <w:tcPr>
            <w:tcW w:type="dxa" w:w="36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Legal fees to an advocate firm (RCM, 18%)</w:t>
            </w:r>
          </w:p>
        </w:tc>
        <w:tc>
          <w:tcPr>
            <w:tcW w:type="dxa" w:w="17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0</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9,000</w:t>
            </w:r>
          </w:p>
        </w:tc>
        <w:tc>
          <w:tcPr>
            <w:tcW w:type="dxa" w:w="14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9,000</w:t>
            </w:r>
          </w:p>
        </w:tc>
      </w:tr>
      <w:tr>
        <w:trPr>
          <w:cantSplit/>
        </w:trPr>
        <w:tc>
          <w:tcPr>
            <w:tcW w:type="dxa" w:w="36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Freight to a GTA, not opted forward charge (RCM, 5%)</w:t>
            </w:r>
          </w:p>
        </w:tc>
        <w:tc>
          <w:tcPr>
            <w:tcW w:type="dxa" w:w="17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50,000</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0</w:t>
            </w:r>
          </w:p>
        </w:tc>
        <w:tc>
          <w:tcPr>
            <w:tcW w:type="dxa" w:w="14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1,250</w:t>
            </w:r>
          </w:p>
        </w:tc>
        <w:tc>
          <w:tcPr>
            <w:tcW w:type="dxa" w:w="14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1,250</w:t>
            </w:r>
          </w:p>
        </w:tc>
      </w:tr>
    </w:tbl>
    <w:p>
      <w:pPr>
        <w:spacing w:after="60"/>
      </w:pPr>
    </w:p>
    <w:p>
      <w:pPr>
        <w:spacing w:after="120" w:line="276"/>
        <w:jc w:val="both"/>
      </w:pPr>
      <w:r>
        <w:rPr>
          <w:rFonts w:ascii="Verdana" w:cs="Verdana" w:eastAsia="Verdana" w:hAnsi="Verdana"/>
        </w:rPr>
        <w:t xml:space="preserve">One more item needs attention. A supplier invoice dated 10 May 2025 for goods of Rs. 3,00,000 (CGST Rs. 27,000, SGST Rs. 27,000) was taken as credit in the May 2025 return, filed on 20 June 2025. The supplier has not been paid because of a quality dispute.</w:t>
      </w:r>
    </w:p>
    <w:p>
      <w:pPr>
        <w:pStyle w:val="Heading2"/>
        <w:keepNext/>
        <w:spacing w:after="120" w:before="240"/>
      </w:pPr>
      <w:r>
        <w:rPr>
          <w:rFonts w:ascii="Verdana" w:cs="Verdana" w:eastAsia="Verdana" w:hAnsi="Verdana"/>
        </w:rPr>
        <w:t xml:space="preserve">45.2 Issues</w:t>
      </w:r>
    </w:p>
    <w:p>
      <w:pPr>
        <w:pStyle w:val="ListParagraph"/>
        <w:numPr>
          <w:ilvl w:val="0"/>
          <w:numId w:val="2"/>
        </w:numPr>
        <w:spacing w:after="60" w:line="264"/>
      </w:pPr>
      <w:r>
        <w:rPr>
          <w:rFonts w:ascii="Verdana" w:cs="Verdana" w:eastAsia="Verdana" w:hAnsi="Verdana"/>
        </w:rPr>
        <w:t xml:space="preserve">Which tables of GSTR-3B carry each figure, and what is auto-populated.</w:t>
      </w:r>
    </w:p>
    <w:p>
      <w:pPr>
        <w:pStyle w:val="ListParagraph"/>
        <w:numPr>
          <w:ilvl w:val="0"/>
          <w:numId w:val="2"/>
        </w:numPr>
        <w:spacing w:after="60" w:line="264"/>
      </w:pPr>
      <w:r>
        <w:rPr>
          <w:rFonts w:ascii="Verdana" w:cs="Verdana" w:eastAsia="Verdana" w:hAnsi="Verdana"/>
        </w:rPr>
        <w:t xml:space="preserve">Tax payable under reverse charge on legal fees and freight, and credit of that tax.</w:t>
      </w:r>
    </w:p>
    <w:p>
      <w:pPr>
        <w:pStyle w:val="ListParagraph"/>
        <w:numPr>
          <w:ilvl w:val="0"/>
          <w:numId w:val="2"/>
        </w:numPr>
        <w:spacing w:after="60" w:line="264"/>
      </w:pPr>
      <w:r>
        <w:rPr>
          <w:rFonts w:ascii="Verdana" w:cs="Verdana" w:eastAsia="Verdana" w:hAnsi="Verdana"/>
        </w:rPr>
        <w:t xml:space="preserve">Blocked credit under section 17(5) on car repair and staff food.</w:t>
      </w:r>
    </w:p>
    <w:p>
      <w:pPr>
        <w:pStyle w:val="ListParagraph"/>
        <w:numPr>
          <w:ilvl w:val="0"/>
          <w:numId w:val="2"/>
        </w:numPr>
        <w:spacing w:after="60" w:line="264"/>
      </w:pPr>
      <w:r>
        <w:rPr>
          <w:rFonts w:ascii="Verdana" w:cs="Verdana" w:eastAsia="Verdana" w:hAnsi="Verdana"/>
        </w:rPr>
        <w:t xml:space="preserve">Reversal under rule 37 for the unpaid supplier, with interest.</w:t>
      </w:r>
    </w:p>
    <w:p>
      <w:pPr>
        <w:pStyle w:val="ListParagraph"/>
        <w:numPr>
          <w:ilvl w:val="0"/>
          <w:numId w:val="2"/>
        </w:numPr>
        <w:spacing w:after="60" w:line="264"/>
      </w:pPr>
      <w:r>
        <w:rPr>
          <w:rFonts w:ascii="Verdana" w:cs="Verdana" w:eastAsia="Verdana" w:hAnsi="Verdana"/>
        </w:rPr>
        <w:t xml:space="preserve">Set-off in the order laid down in section 49 and rule 88A, cash payable, and the 1% cash test of rule 86B.</w:t>
      </w:r>
    </w:p>
    <w:p>
      <w:pPr>
        <w:pStyle w:val="Heading2"/>
        <w:keepNext/>
        <w:spacing w:after="120" w:before="240"/>
      </w:pPr>
      <w:r>
        <w:rPr>
          <w:rFonts w:ascii="Verdana" w:cs="Verdana" w:eastAsia="Verdana" w:hAnsi="Verdana"/>
        </w:rPr>
        <w:t xml:space="preserve">45.3 Analysis and computation</w:t>
      </w:r>
    </w:p>
    <w:p>
      <w:pPr>
        <w:spacing w:after="120" w:line="276"/>
        <w:jc w:val="both"/>
      </w:pPr>
      <w:r>
        <w:rPr>
          <w:rFonts w:ascii="Verdana" w:cs="Verdana" w:eastAsia="Verdana" w:hAnsi="Verdana"/>
          <w:b/>
          <w:bCs/>
        </w:rPr>
        <w:t xml:space="preserve">Reverse charge.</w:t>
      </w:r>
      <w:r>
        <w:rPr>
          <w:rFonts w:ascii="Verdana" w:cs="Verdana" w:eastAsia="Verdana" w:hAnsi="Verdana"/>
        </w:rPr>
        <w:t xml:space="preserve"> Legal services by an advocate or firm of advocates to a business entity are taxed in the hands of the recipient under section 9(3). Freight paid to a GTA that has not opted for forward charge is also taxed in the hands of a registered recipient at 5%. Both amounts are paid in cash; the ITC on them is available in the same return because the services are used for business. The 5% without-credit condition binds the GTA, not the recipient.</w:t>
      </w:r>
    </w:p>
    <w:p>
      <w:pPr>
        <w:spacing w:after="120" w:line="276"/>
        <w:jc w:val="both"/>
      </w:pPr>
      <w:r>
        <w:rPr>
          <w:rFonts w:ascii="Verdana" w:cs="Verdana" w:eastAsia="Verdana" w:hAnsi="Verdana"/>
          <w:b/>
          <w:bCs/>
        </w:rPr>
        <w:t xml:space="preserve">Blocked credit.</w:t>
      </w:r>
      <w:r>
        <w:rPr>
          <w:rFonts w:ascii="Verdana" w:cs="Verdana" w:eastAsia="Verdana" w:hAnsi="Verdana"/>
        </w:rPr>
        <w:t xml:space="preserve"> Repair of a motor car used by a director is blocked by section 17(5)(ab) read with (a), since the car is not used for transport of goods, passengers or training. Food supplied to staff is blocked by section 17(5)(b)(i). Both are shown in Table 4A and reversed in Table 4B(1).</w:t>
      </w:r>
    </w:p>
    <w:p>
      <w:pPr>
        <w:spacing w:after="120" w:line="276"/>
        <w:jc w:val="both"/>
      </w:pPr>
      <w:r>
        <w:rPr>
          <w:rFonts w:ascii="Verdana" w:cs="Verdana" w:eastAsia="Verdana" w:hAnsi="Verdana"/>
          <w:b/>
          <w:bCs/>
        </w:rPr>
        <w:t xml:space="preserve">Rule 37.</w:t>
      </w:r>
      <w:r>
        <w:rPr>
          <w:rFonts w:ascii="Verdana" w:cs="Verdana" w:eastAsia="Verdana" w:hAnsi="Verdana"/>
        </w:rPr>
        <w:t xml:space="preserve"> The 180th day from 10 May 2025 is 6 November 2025, which falls in November. The credit of Rs. 54,000 must be added back in the November return. It goes in Table 4B(2) because it can be reclaimed when the supplier is paid. Interest under section 50 is payable where the credit had been utilised. The company used its whole ledger every month, so interest runs from 21 June 2025 to 20 December 2025, 183 days.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CGST reversed</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27,000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CGST: 27,000 x 18% x 183 / 365</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2,437</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SGST reversed</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27,000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SGST (same working)</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2,437</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interest payable in cash (Table 5.1)</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Rs. 4,874</w:t>
            </w:r>
          </w:p>
        </w:tc>
      </w:tr>
    </w:tbl>
    <w:p>
      <w:pPr>
        <w:spacing w:after="60"/>
      </w:pPr>
    </w:p>
    <w:p>
      <w:pPr>
        <w:spacing w:after="120" w:line="276"/>
        <w:jc w:val="both"/>
      </w:pPr>
      <w:r>
        <w:rPr>
          <w:rFonts w:ascii="Verdana" w:cs="Verdana" w:eastAsia="Verdana" w:hAnsi="Verdana"/>
        </w:rPr>
        <w:t xml:space="preserve">The ITC position for Table 4 is then: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63"/>
        <w:gridCol w:w="1724"/>
        <w:gridCol w:w="1724"/>
        <w:gridCol w:w="1727"/>
      </w:tblGrid>
      <w:tr>
        <w:trPr>
          <w:cantSplit/>
          <w:tblHeader/>
        </w:trPr>
        <w:tc>
          <w:tcPr>
            <w:tcW w:type="dxa" w:w="446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Table of GSTR-3B</w:t>
            </w:r>
          </w:p>
        </w:tc>
        <w:tc>
          <w:tcPr>
            <w:tcW w:type="dxa" w:w="1724"/>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IGST</w:t>
            </w:r>
          </w:p>
        </w:tc>
        <w:tc>
          <w:tcPr>
            <w:tcW w:type="dxa" w:w="1724"/>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CGST</w:t>
            </w:r>
          </w:p>
        </w:tc>
        <w:tc>
          <w:tcPr>
            <w:tcW w:type="dxa" w:w="172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SGST</w:t>
            </w:r>
          </w:p>
        </w:tc>
      </w:tr>
      <w:tr>
        <w:trPr>
          <w:cantSplit/>
        </w:trPr>
        <w:tc>
          <w:tcPr>
            <w:tcW w:type="dxa" w:w="446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4A(3) Inward supplies liable to reverse charge</w:t>
            </w:r>
          </w:p>
        </w:tc>
        <w:tc>
          <w:tcPr>
            <w:tcW w:type="dxa" w:w="17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0</w:t>
            </w:r>
          </w:p>
        </w:tc>
        <w:tc>
          <w:tcPr>
            <w:tcW w:type="dxa" w:w="17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10,250</w:t>
            </w:r>
          </w:p>
        </w:tc>
        <w:tc>
          <w:tcPr>
            <w:tcW w:type="dxa" w:w="17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10,250</w:t>
            </w:r>
          </w:p>
        </w:tc>
      </w:tr>
      <w:tr>
        <w:trPr>
          <w:cantSplit/>
        </w:trPr>
        <w:tc>
          <w:tcPr>
            <w:tcW w:type="dxa" w:w="446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4A(5) All other ITC</w:t>
            </w:r>
          </w:p>
        </w:tc>
        <w:tc>
          <w:tcPr>
            <w:tcW w:type="dxa" w:w="17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3,60,000</w:t>
            </w:r>
          </w:p>
        </w:tc>
        <w:tc>
          <w:tcPr>
            <w:tcW w:type="dxa" w:w="17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4,72,350</w:t>
            </w:r>
          </w:p>
        </w:tc>
        <w:tc>
          <w:tcPr>
            <w:tcW w:type="dxa" w:w="17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4,72,350</w:t>
            </w:r>
          </w:p>
        </w:tc>
      </w:tr>
      <w:tr>
        <w:trPr>
          <w:cantSplit/>
        </w:trPr>
        <w:tc>
          <w:tcPr>
            <w:tcW w:type="dxa" w:w="446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4B(1) Blocked credit: car repair and staff food</w:t>
            </w:r>
          </w:p>
        </w:tc>
        <w:tc>
          <w:tcPr>
            <w:tcW w:type="dxa" w:w="17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0</w:t>
            </w:r>
          </w:p>
        </w:tc>
        <w:tc>
          <w:tcPr>
            <w:tcW w:type="dxa" w:w="17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4,350</w:t>
            </w:r>
          </w:p>
        </w:tc>
        <w:tc>
          <w:tcPr>
            <w:tcW w:type="dxa" w:w="17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4,350</w:t>
            </w:r>
          </w:p>
        </w:tc>
      </w:tr>
      <w:tr>
        <w:trPr>
          <w:cantSplit/>
        </w:trPr>
        <w:tc>
          <w:tcPr>
            <w:tcW w:type="dxa" w:w="446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4B(2) Rule 37 reversal</w:t>
            </w:r>
          </w:p>
        </w:tc>
        <w:tc>
          <w:tcPr>
            <w:tcW w:type="dxa" w:w="17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0</w:t>
            </w:r>
          </w:p>
        </w:tc>
        <w:tc>
          <w:tcPr>
            <w:tcW w:type="dxa" w:w="17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27,000</w:t>
            </w:r>
          </w:p>
        </w:tc>
        <w:tc>
          <w:tcPr>
            <w:tcW w:type="dxa" w:w="17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27,000</w:t>
            </w:r>
          </w:p>
        </w:tc>
      </w:tr>
      <w:tr>
        <w:trPr>
          <w:cantSplit/>
        </w:trPr>
        <w:tc>
          <w:tcPr>
            <w:tcW w:type="dxa" w:w="4463"/>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4C Net ITC available</w:t>
            </w:r>
          </w:p>
        </w:tc>
        <w:tc>
          <w:tcPr>
            <w:tcW w:type="dxa" w:w="1724"/>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3,60,000</w:t>
            </w:r>
          </w:p>
        </w:tc>
        <w:tc>
          <w:tcPr>
            <w:tcW w:type="dxa" w:w="1724"/>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4,51,250</w:t>
            </w:r>
          </w:p>
        </w:tc>
        <w:tc>
          <w:tcPr>
            <w:tcW w:type="dxa" w:w="1727"/>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4,51,250</w:t>
            </w:r>
          </w:p>
        </w:tc>
      </w:tr>
    </w:tbl>
    <w:p>
      <w:pPr>
        <w:spacing w:after="60"/>
      </w:pPr>
    </w:p>
    <w:p>
      <w:pPr>
        <w:spacing w:after="120" w:line="276"/>
        <w:jc w:val="both"/>
      </w:pPr>
      <w:r>
        <w:rPr>
          <w:rFonts w:ascii="Verdana" w:cs="Verdana" w:eastAsia="Verdana" w:hAnsi="Verdana"/>
          <w:b/>
          <w:bCs/>
        </w:rPr>
        <w:t xml:space="preserve">Set-off.</w:t>
      </w:r>
      <w:r>
        <w:rPr>
          <w:rFonts w:ascii="Verdana" w:cs="Verdana" w:eastAsia="Verdana" w:hAnsi="Verdana"/>
        </w:rPr>
        <w:t xml:space="preserve"> IGST credit is used first against IGST. CGST credit then goes against CGST and SGST credit against SGST. Nothing is left to use across heads.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7"/>
        <w:gridCol w:w="2333"/>
        <w:gridCol w:w="2333"/>
        <w:gridCol w:w="2335"/>
      </w:tblGrid>
      <w:tr>
        <w:trPr>
          <w:cantSplit/>
          <w:tblHeader/>
        </w:trPr>
        <w:tc>
          <w:tcPr>
            <w:tcW w:type="dxa" w:w="263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Head</w:t>
            </w:r>
          </w:p>
        </w:tc>
        <w:tc>
          <w:tcPr>
            <w:tcW w:type="dxa" w:w="233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Output tax</w:t>
            </w:r>
          </w:p>
        </w:tc>
        <w:tc>
          <w:tcPr>
            <w:tcW w:type="dxa" w:w="233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ITC used</w:t>
            </w:r>
          </w:p>
        </w:tc>
        <w:tc>
          <w:tcPr>
            <w:tcW w:type="dxa" w:w="233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Cash payable</w:t>
            </w:r>
          </w:p>
        </w:tc>
      </w:tr>
      <w:tr>
        <w:trPr>
          <w:cantSplit/>
        </w:trPr>
        <w:tc>
          <w:tcPr>
            <w:tcW w:type="dxa" w:w="263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IGST</w:t>
            </w:r>
          </w:p>
        </w:tc>
        <w:tc>
          <w:tcPr>
            <w:tcW w:type="dxa" w:w="23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4,86,000</w:t>
            </w:r>
          </w:p>
        </w:tc>
        <w:tc>
          <w:tcPr>
            <w:tcW w:type="dxa" w:w="23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3,60,000</w:t>
            </w:r>
          </w:p>
        </w:tc>
        <w:tc>
          <w:tcPr>
            <w:tcW w:type="dxa" w:w="23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1,26,000</w:t>
            </w:r>
          </w:p>
        </w:tc>
      </w:tr>
      <w:tr>
        <w:trPr>
          <w:cantSplit/>
        </w:trPr>
        <w:tc>
          <w:tcPr>
            <w:tcW w:type="dxa" w:w="263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CGST</w:t>
            </w:r>
          </w:p>
        </w:tc>
        <w:tc>
          <w:tcPr>
            <w:tcW w:type="dxa" w:w="23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6,12,000</w:t>
            </w:r>
          </w:p>
        </w:tc>
        <w:tc>
          <w:tcPr>
            <w:tcW w:type="dxa" w:w="23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4,51,250</w:t>
            </w:r>
          </w:p>
        </w:tc>
        <w:tc>
          <w:tcPr>
            <w:tcW w:type="dxa" w:w="23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1,60,750</w:t>
            </w:r>
          </w:p>
        </w:tc>
      </w:tr>
      <w:tr>
        <w:trPr>
          <w:cantSplit/>
        </w:trPr>
        <w:tc>
          <w:tcPr>
            <w:tcW w:type="dxa" w:w="263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SGST</w:t>
            </w:r>
          </w:p>
        </w:tc>
        <w:tc>
          <w:tcPr>
            <w:tcW w:type="dxa" w:w="23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6,12,000</w:t>
            </w:r>
          </w:p>
        </w:tc>
        <w:tc>
          <w:tcPr>
            <w:tcW w:type="dxa" w:w="23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4,51,250</w:t>
            </w:r>
          </w:p>
        </w:tc>
        <w:tc>
          <w:tcPr>
            <w:tcW w:type="dxa" w:w="23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1,60,750</w:t>
            </w:r>
          </w:p>
        </w:tc>
      </w:tr>
      <w:tr>
        <w:trPr>
          <w:cantSplit/>
        </w:trPr>
        <w:tc>
          <w:tcPr>
            <w:tcW w:type="dxa" w:w="2637"/>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forward charge</w:t>
            </w:r>
          </w:p>
        </w:tc>
        <w:tc>
          <w:tcPr>
            <w:tcW w:type="dxa" w:w="2333"/>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17,10,000</w:t>
            </w:r>
          </w:p>
        </w:tc>
        <w:tc>
          <w:tcPr>
            <w:tcW w:type="dxa" w:w="2333"/>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12,62,500</w:t>
            </w:r>
          </w:p>
        </w:tc>
        <w:tc>
          <w:tcPr>
            <w:tcW w:type="dxa" w:w="2335"/>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4,47,500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207: Rule 86B check for Suryoday Electricals</w:t>
            </w:r>
          </w:p>
          <w:p>
            <w:pPr>
              <w:spacing w:after="60" w:line="260"/>
            </w:pPr>
            <w:r>
              <w:rPr>
                <w:rFonts w:ascii="Verdana" w:cs="Verdana" w:eastAsia="Verdana" w:hAnsi="Verdana"/>
                <w:sz w:val="20"/>
                <w:szCs w:val="20"/>
              </w:rPr>
              <w:t xml:space="preserve">Step 1: Taxable value of outward supplies in the month is Rs. 95,00,000, which is more than Rs. 50 lakh. Rule 86B applies unless an exception is met.</w:t>
            </w:r>
          </w:p>
          <w:p>
            <w:pPr>
              <w:spacing w:after="60" w:line="260"/>
            </w:pPr>
            <w:r>
              <w:rPr>
                <w:rFonts w:ascii="Verdana" w:cs="Verdana" w:eastAsia="Verdana" w:hAnsi="Verdana"/>
                <w:sz w:val="20"/>
                <w:szCs w:val="20"/>
              </w:rPr>
              <w:t xml:space="preserve">Step 2: The income tax exception needs more than Rs. 1 lakh paid in each of the last two years for which the return time limit has expired. Rs. 62,000 and Rs. 88,000 do not qualify. No refund exception applies either.</w:t>
            </w:r>
          </w:p>
          <w:p>
            <w:pPr>
              <w:spacing w:after="60" w:line="260"/>
            </w:pPr>
            <w:r>
              <w:rPr>
                <w:rFonts w:ascii="Verdana" w:cs="Verdana" w:eastAsia="Verdana" w:hAnsi="Verdana"/>
                <w:sz w:val="20"/>
                <w:szCs w:val="20"/>
              </w:rPr>
              <w:t xml:space="preserve">Step 3: Minimum cash = 1% of output tax of Rs. 17,10,000 = Rs. 17,100.</w:t>
            </w:r>
          </w:p>
          <w:p>
            <w:pPr>
              <w:spacing w:after="60" w:line="260"/>
            </w:pPr>
            <w:r>
              <w:rPr>
                <w:rFonts w:ascii="Verdana" w:cs="Verdana" w:eastAsia="Verdana" w:hAnsi="Verdana"/>
                <w:sz w:val="20"/>
                <w:szCs w:val="20"/>
              </w:rPr>
              <w:t xml:space="preserve">Step 4: Cash actually paid against output tax = Rs. 4,47,500. Tax paid under reverse charge does not count because it is not output tax, but the condition is met anyway.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Cash for forward charge output tax</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4,47,500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Cash for reverse charge (CGST 10,250 + SGST 10,250)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20,500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rule 37 reversal</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4,874</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cash deposit through PMT-06 for November 2025</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Rs. 4,72,874</w:t>
            </w:r>
          </w:p>
        </w:tc>
      </w:tr>
    </w:tbl>
    <w:p>
      <w:pPr>
        <w:spacing w:after="60"/>
      </w:pPr>
    </w:p>
    <w:p>
      <w:pPr>
        <w:pStyle w:val="Heading2"/>
        <w:keepNext/>
        <w:spacing w:after="120" w:before="240"/>
      </w:pPr>
      <w:r>
        <w:rPr>
          <w:rFonts w:ascii="Verdana" w:cs="Verdana" w:eastAsia="Verdana" w:hAnsi="Verdana"/>
        </w:rPr>
        <w:t xml:space="preserve">45.4 Compliance and documentation</w:t>
      </w:r>
    </w:p>
    <w:p>
      <w:pPr>
        <w:pStyle w:val="ListParagraph"/>
        <w:numPr>
          <w:ilvl w:val="0"/>
          <w:numId w:val="2"/>
        </w:numPr>
        <w:spacing w:after="60" w:line="264"/>
      </w:pPr>
      <w:r>
        <w:rPr>
          <w:rFonts w:ascii="Verdana" w:cs="Verdana" w:eastAsia="Verdana" w:hAnsi="Verdana"/>
        </w:rPr>
        <w:t xml:space="preserve">GSTR-1 for November 2025 by 11 December 2025: B2B invoices invoice-wise, B2C inter-State invoices of value above the prescribed limit individually, other B2C in summary. Annual turnover is above Rs. 5 crore, so B2B invoices carry an IRN.</w:t>
      </w:r>
    </w:p>
    <w:p>
      <w:pPr>
        <w:pStyle w:val="ListParagraph"/>
        <w:numPr>
          <w:ilvl w:val="0"/>
          <w:numId w:val="2"/>
        </w:numPr>
        <w:spacing w:after="60" w:line="264"/>
      </w:pPr>
      <w:r>
        <w:rPr>
          <w:rFonts w:ascii="Verdana" w:cs="Verdana" w:eastAsia="Verdana" w:hAnsi="Verdana"/>
        </w:rPr>
        <w:t xml:space="preserve">GSTR-3B by 20 December 2025. Table 3.1(a) is auto-populated from GSTR-1 and cannot be edited; errors are corrected in GSTR-1A before filing. Table 3.1(d) carries the reverse charge value and tax. Table 3.2 shows Rs. 2,00,000 supplied to unregistered persons in Rajasthan.</w:t>
      </w:r>
    </w:p>
    <w:p>
      <w:pPr>
        <w:pStyle w:val="ListParagraph"/>
        <w:numPr>
          <w:ilvl w:val="0"/>
          <w:numId w:val="2"/>
        </w:numPr>
        <w:spacing w:after="60" w:line="264"/>
      </w:pPr>
      <w:r>
        <w:rPr>
          <w:rFonts w:ascii="Verdana" w:cs="Verdana" w:eastAsia="Verdana" w:hAnsi="Verdana"/>
        </w:rPr>
        <w:t xml:space="preserve">Self-invoice for the advocate fees and the GTA freight, and a payment voucher on payment.</w:t>
      </w:r>
    </w:p>
    <w:p>
      <w:pPr>
        <w:pStyle w:val="ListParagraph"/>
        <w:numPr>
          <w:ilvl w:val="0"/>
          <w:numId w:val="2"/>
        </w:numPr>
        <w:spacing w:after="60" w:line="264"/>
      </w:pPr>
      <w:r>
        <w:rPr>
          <w:rFonts w:ascii="Verdana" w:cs="Verdana" w:eastAsia="Verdana" w:hAnsi="Verdana"/>
        </w:rPr>
        <w:t xml:space="preserve">A rule 37 register listing unpaid invoices by age. When the supplier is paid, the Rs. 54,000 is reclaimed in Table 4A(5) and also shown in Table 4D(1).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b/>
                <w:bCs/>
                <w:sz w:val="20"/>
                <w:szCs w:val="20"/>
              </w:rPr>
              <w:t xml:space="preserve">Lessons</w:t>
            </w:r>
          </w:p>
          <w:p>
            <w:pPr>
              <w:spacing w:after="60" w:line="260"/>
            </w:pPr>
            <w:r>
              <w:rPr>
                <w:rFonts w:ascii="Verdana" w:cs="Verdana" w:eastAsia="Verdana" w:hAnsi="Verdana"/>
                <w:sz w:val="20"/>
                <w:szCs w:val="20"/>
              </w:rPr>
              <w:t xml:space="preserve">Blocked credits are shown in Table 4A and reversed in 4B(1); rule 37 reversals go to 4B(2) so that the reclaim is traceable.</w:t>
            </w:r>
          </w:p>
          <w:p>
            <w:pPr>
              <w:spacing w:after="60" w:line="260"/>
            </w:pPr>
            <w:r>
              <w:rPr>
                <w:rFonts w:ascii="Verdana" w:cs="Verdana" w:eastAsia="Verdana" w:hAnsi="Verdana"/>
                <w:sz w:val="20"/>
                <w:szCs w:val="20"/>
              </w:rPr>
              <w:t xml:space="preserve">Count the 180 days from the invoice date, not from the date of receipt of goods, and build a monthly ageing report.</w:t>
            </w:r>
          </w:p>
          <w:p>
            <w:pPr>
              <w:spacing w:after="60" w:line="260"/>
            </w:pPr>
            <w:r>
              <w:rPr>
                <w:rFonts w:ascii="Verdana" w:cs="Verdana" w:eastAsia="Verdana" w:hAnsi="Verdana"/>
                <w:sz w:val="20"/>
                <w:szCs w:val="20"/>
              </w:rPr>
              <w:t xml:space="preserve">Rule 86B is tested every month on that month's value. A company that usually pays cash can still be caught in a month with large purchases.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Reverse charge on legal fees and GTA freight is paid in cash and taken as credit in the same return.</w:t>
            </w:r>
          </w:p>
          <w:p>
            <w:pPr>
              <w:spacing w:after="60" w:line="260"/>
            </w:pPr>
            <w:r>
              <w:rPr>
                <w:rFonts w:ascii="Verdana" w:cs="Verdana" w:eastAsia="Verdana" w:hAnsi="Verdana"/>
                <w:sz w:val="20"/>
                <w:szCs w:val="20"/>
              </w:rPr>
              <w:t xml:space="preserve">•  Car repair and staff food are blocked under section 17(5) and reversed in Table 4B(1).</w:t>
            </w:r>
          </w:p>
          <w:p>
            <w:pPr>
              <w:spacing w:after="60" w:line="260"/>
            </w:pPr>
            <w:r>
              <w:rPr>
                <w:rFonts w:ascii="Verdana" w:cs="Verdana" w:eastAsia="Verdana" w:hAnsi="Verdana"/>
                <w:sz w:val="20"/>
                <w:szCs w:val="20"/>
              </w:rPr>
              <w:t xml:space="preserve">•  The unpaid supplier triggered a rule 37 reversal of Rs. 54,000 with interest of Rs. 4,874.</w:t>
            </w:r>
          </w:p>
          <w:p>
            <w:pPr>
              <w:spacing w:after="60" w:line="260"/>
            </w:pPr>
            <w:r>
              <w:rPr>
                <w:rFonts w:ascii="Verdana" w:cs="Verdana" w:eastAsia="Verdana" w:hAnsi="Verdana"/>
                <w:sz w:val="20"/>
                <w:szCs w:val="20"/>
              </w:rPr>
              <w:t xml:space="preserve">•  After set-off in the rule 88A order, cash payable for the month is Rs. 4,72,874.</w:t>
            </w:r>
          </w:p>
        </w:tc>
      </w:tr>
    </w:tbl>
    <w:p>
      <w:pPr>
        <w:pStyle w:val="Heading1"/>
        <w:pageBreakBefore/>
        <w:spacing w:after="200" w:before="0"/>
      </w:pPr>
      <w:r>
        <w:rPr>
          <w:rFonts w:ascii="Verdana" w:cs="Verdana" w:eastAsia="Verdana" w:hAnsi="Verdana"/>
        </w:rPr>
        <w:t xml:space="preserve">46. Case Study 2: Manufacturer with Taxable and Exempt Supplies</w:t>
      </w:r>
    </w:p>
    <w:p>
      <w:pPr>
        <w:pStyle w:val="Heading2"/>
        <w:keepNext/>
        <w:spacing w:after="120" w:before="240"/>
      </w:pPr>
      <w:r>
        <w:rPr>
          <w:rFonts w:ascii="Verdana" w:cs="Verdana" w:eastAsia="Verdana" w:hAnsi="Verdana"/>
        </w:rPr>
        <w:t xml:space="preserve">46.1 Facts</w:t>
      </w:r>
    </w:p>
    <w:p>
      <w:pPr>
        <w:spacing w:after="120" w:line="276"/>
        <w:jc w:val="both"/>
      </w:pPr>
      <w:r>
        <w:rPr>
          <w:rFonts w:ascii="Verdana" w:cs="Verdana" w:eastAsia="Verdana" w:hAnsi="Verdana"/>
        </w:rPr>
        <w:t xml:space="preserve">Narmada Agro Foods Pvt. Ltd., Rajkot, Gujarat, mills wheat. It sells branded, pre-packaged and labelled atta at 5% and loose, unbranded atta which is exempt. Wheat is bought without GST. Its credits come from packing material, machinery spares, services and capital goods. The figures for </w:t>
      </w:r>
      <w:r>
        <w:rPr>
          <w:rFonts w:ascii="Verdana" w:cs="Verdana" w:eastAsia="Verdana" w:hAnsi="Verdana"/>
          <w:b/>
          <w:bCs/>
        </w:rPr>
        <w:t xml:space="preserve">January 2026</w:t>
      </w:r>
      <w:r>
        <w:rPr>
          <w:rFonts w:ascii="Verdana" w:cs="Verdana" w:eastAsia="Verdana" w:hAnsi="Verdana"/>
        </w:rPr>
        <w:t xml:space="preserve">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16"/>
        <w:gridCol w:w="1807"/>
        <w:gridCol w:w="3615"/>
      </w:tblGrid>
      <w:tr>
        <w:trPr>
          <w:cantSplit/>
          <w:tblHeader/>
        </w:trPr>
        <w:tc>
          <w:tcPr>
            <w:tcW w:type="dxa" w:w="421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Item</w:t>
            </w:r>
          </w:p>
        </w:tc>
        <w:tc>
          <w:tcPr>
            <w:tcW w:type="dxa" w:w="180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Amount (Rs.)</w:t>
            </w:r>
          </w:p>
        </w:tc>
        <w:tc>
          <w:tcPr>
            <w:tcW w:type="dxa" w:w="361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Treatment</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Turnover: branded atta (5%)</w:t>
            </w:r>
          </w:p>
        </w:tc>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60,00,000</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Turnover: loose atta (exempt)</w:t>
            </w:r>
          </w:p>
        </w:tc>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40,00,000</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value E</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on printed pouches and labels</w:t>
            </w:r>
          </w:p>
        </w:tc>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1,40,000</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Only for taxable supplies (T4)</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on plain bags for loose atta</w:t>
            </w:r>
          </w:p>
        </w:tc>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20,000</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Only for exempt supplies (T2)</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on insurance of the director's car</w:t>
            </w:r>
          </w:p>
        </w:tc>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15,000</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Blocked, section 17(5) (T3)</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on repairs, security, rent, audit (common)</w:t>
            </w:r>
          </w:p>
        </w:tc>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Common credit (C2)</w:t>
            </w:r>
          </w:p>
        </w:tc>
      </w:tr>
      <w:tr>
        <w:trPr>
          <w:cantSplit/>
        </w:trPr>
        <w:tc>
          <w:tcPr>
            <w:tcW w:type="dxa" w:w="4216"/>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ITC for the month (T)</w:t>
            </w:r>
          </w:p>
        </w:tc>
        <w:tc>
          <w:tcPr>
            <w:tcW w:type="dxa" w:w="1807"/>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2,75,000</w:t>
            </w:r>
          </w:p>
        </w:tc>
        <w:tc>
          <w:tcPr>
            <w:tcW w:type="dxa" w:w="3615"/>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p>
        </w:tc>
      </w:tr>
    </w:tbl>
    <w:p>
      <w:pPr>
        <w:spacing w:after="60"/>
      </w:pPr>
    </w:p>
    <w:p>
      <w:pPr>
        <w:spacing w:after="120" w:line="276"/>
        <w:jc w:val="both"/>
      </w:pPr>
      <w:r>
        <w:rPr>
          <w:rFonts w:ascii="Verdana" w:cs="Verdana" w:eastAsia="Verdana" w:hAnsi="Verdana"/>
        </w:rPr>
        <w:t xml:space="preserve">In January 2026 the company also bought a common grain cleaning and packing line for Rs. 30,00,000 plus GST of Rs. 5,40,000 (CGST Rs. 2,70,000, SGST Rs. 2,70,000). For the whole of FY 2025-26, common credit was Rs. 12,00,000, exempt turnover Rs. 4,20,00,000 and total turnover Rs. 10,50,00,000. Monthly reversals under rule 42 during the year added up to Rs. 4,52,000.</w:t>
      </w:r>
    </w:p>
    <w:p>
      <w:pPr>
        <w:pStyle w:val="Heading2"/>
        <w:keepNext/>
        <w:spacing w:after="120" w:before="240"/>
      </w:pPr>
      <w:r>
        <w:rPr>
          <w:rFonts w:ascii="Verdana" w:cs="Verdana" w:eastAsia="Verdana" w:hAnsi="Verdana"/>
        </w:rPr>
        <w:t xml:space="preserve">46.2 Issues</w:t>
      </w:r>
    </w:p>
    <w:p>
      <w:pPr>
        <w:pStyle w:val="ListParagraph"/>
        <w:numPr>
          <w:ilvl w:val="0"/>
          <w:numId w:val="2"/>
        </w:numPr>
        <w:spacing w:after="60" w:line="264"/>
      </w:pPr>
      <w:r>
        <w:rPr>
          <w:rFonts w:ascii="Verdana" w:cs="Verdana" w:eastAsia="Verdana" w:hAnsi="Verdana"/>
        </w:rPr>
        <w:t xml:space="preserve">Monthly reversal of common credit on inputs and input services under rule 42.</w:t>
      </w:r>
    </w:p>
    <w:p>
      <w:pPr>
        <w:pStyle w:val="ListParagraph"/>
        <w:numPr>
          <w:ilvl w:val="0"/>
          <w:numId w:val="2"/>
        </w:numPr>
        <w:spacing w:after="60" w:line="264"/>
      </w:pPr>
      <w:r>
        <w:rPr>
          <w:rFonts w:ascii="Verdana" w:cs="Verdana" w:eastAsia="Verdana" w:hAnsi="Verdana"/>
        </w:rPr>
        <w:t xml:space="preserve">Treatment of the common capital good under rule 43.</w:t>
      </w:r>
    </w:p>
    <w:p>
      <w:pPr>
        <w:pStyle w:val="ListParagraph"/>
        <w:numPr>
          <w:ilvl w:val="0"/>
          <w:numId w:val="2"/>
        </w:numPr>
        <w:spacing w:after="60" w:line="264"/>
      </w:pPr>
      <w:r>
        <w:rPr>
          <w:rFonts w:ascii="Verdana" w:cs="Verdana" w:eastAsia="Verdana" w:hAnsi="Verdana"/>
        </w:rPr>
        <w:t xml:space="preserve">Annual recomputation under rule 42(2) and interest on the shortfall.</w:t>
      </w:r>
    </w:p>
    <w:p>
      <w:pPr>
        <w:pStyle w:val="Heading2"/>
        <w:keepNext/>
        <w:spacing w:after="120" w:before="240"/>
      </w:pPr>
      <w:r>
        <w:rPr>
          <w:rFonts w:ascii="Verdana" w:cs="Verdana" w:eastAsia="Verdana" w:hAnsi="Verdana"/>
        </w:rPr>
        <w:t xml:space="preserve">46.3 Analysis and computation</w:t>
      </w:r>
    </w:p>
    <w:p>
      <w:pPr>
        <w:spacing w:after="120" w:line="276"/>
        <w:jc w:val="both"/>
      </w:pPr>
      <w:r>
        <w:rPr>
          <w:rFonts w:ascii="Verdana" w:cs="Verdana" w:eastAsia="Verdana" w:hAnsi="Verdana"/>
        </w:rPr>
        <w:t xml:space="preserve">Section 17(2) allows credit only to the extent inputs are used for taxable supplies. Rules 42 and 43 give the formula. Credits used only for exempt supplies (T2) and blocked credits (T3) are not available at all. Credits used only for taxable supplies (T4) are fully available. Only the common pool (C2) is split in the ratio of exempt turnover to total turnover.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 total ITC</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2,75,000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T2 exclusively exempt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20,000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T3 blocked</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15,000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C1</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2,40,000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T4 exclusively taxable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1,40,000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C2: common credit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D1 = C2 x E / F = 1,00,000 x 40,00,000 / 1,00,00,000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40,000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C3 = C2 less D1 (no non-business use, so D2 is nil)</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60,000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Net ITC credited = T4 + C3</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Rs. 2,00,000</w:t>
            </w:r>
          </w:p>
        </w:tc>
      </w:tr>
    </w:tbl>
    <w:p>
      <w:pPr>
        <w:spacing w:after="60"/>
      </w:pPr>
    </w:p>
    <w:p>
      <w:pPr>
        <w:spacing w:after="120" w:line="276"/>
        <w:jc w:val="both"/>
      </w:pPr>
      <w:r>
        <w:rPr>
          <w:rFonts w:ascii="Verdana" w:cs="Verdana" w:eastAsia="Verdana" w:hAnsi="Verdana"/>
        </w:rPr>
        <w:t xml:space="preserve">Table 4A shows the full Rs. 2,75,000. Table 4B(1) shows Rs. 75,000 (T2, T3 and D1), split equally between CGST and SGST.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208: Rule 43 on the common packing line</w:t>
            </w:r>
          </w:p>
          <w:p>
            <w:pPr>
              <w:spacing w:after="60" w:line="260"/>
            </w:pPr>
            <w:r>
              <w:rPr>
                <w:rFonts w:ascii="Verdana" w:cs="Verdana" w:eastAsia="Verdana" w:hAnsi="Verdana"/>
                <w:sz w:val="20"/>
                <w:szCs w:val="20"/>
              </w:rPr>
              <w:t xml:space="preserve">Step 1: Under rule 43 as amended, the full credit on a common capital good (Tc = Rs. 5,40,000) is credited to the ledger when received.</w:t>
            </w:r>
          </w:p>
          <w:p>
            <w:pPr>
              <w:spacing w:after="60" w:line="260"/>
            </w:pPr>
            <w:r>
              <w:rPr>
                <w:rFonts w:ascii="Verdana" w:cs="Verdana" w:eastAsia="Verdana" w:hAnsi="Verdana"/>
                <w:sz w:val="20"/>
                <w:szCs w:val="20"/>
              </w:rPr>
              <w:t xml:space="preserve">Step 2: The useful life is taken as five years, so the credit attributable to each month is Tm = Tc / 60 = Rs. 9,000.</w:t>
            </w:r>
          </w:p>
          <w:p>
            <w:pPr>
              <w:spacing w:after="60" w:line="260"/>
            </w:pPr>
            <w:r>
              <w:rPr>
                <w:rFonts w:ascii="Verdana" w:cs="Verdana" w:eastAsia="Verdana" w:hAnsi="Verdana"/>
                <w:sz w:val="20"/>
                <w:szCs w:val="20"/>
              </w:rPr>
              <w:t xml:space="preserve">Step 3: For January 2026, Te = Tm x E / F = 9,000 x 40% = Rs. 3,600 (CGST Rs. 1,800, SGST Rs. 1,800).</w:t>
            </w:r>
          </w:p>
          <w:p>
            <w:pPr>
              <w:spacing w:after="60" w:line="260"/>
            </w:pPr>
            <w:r>
              <w:rPr>
                <w:rFonts w:ascii="Verdana" w:cs="Verdana" w:eastAsia="Verdana" w:hAnsi="Verdana"/>
                <w:sz w:val="20"/>
                <w:szCs w:val="20"/>
              </w:rPr>
              <w:t xml:space="preserve">Step 4: Te is added to output tax in every month of the residual life, using that month's ratio. If the line had been used only for loose atta, no credit would be available; if only for branded atta, full credit with no monthly reversal.</w:t>
            </w:r>
          </w:p>
        </w:tc>
      </w:tr>
    </w:tbl>
    <w:p>
      <w:pPr>
        <w:spacing w:after="60"/>
      </w:pPr>
    </w:p>
    <w:p>
      <w:pPr>
        <w:spacing w:after="120" w:line="276"/>
        <w:jc w:val="both"/>
      </w:pPr>
      <w:r>
        <w:rPr>
          <w:rFonts w:ascii="Verdana" w:cs="Verdana" w:eastAsia="Verdana" w:hAnsi="Verdana"/>
          <w:b/>
          <w:bCs/>
        </w:rPr>
        <w:t xml:space="preserve">Annual recomputation.</w:t>
      </w:r>
      <w:r>
        <w:rPr>
          <w:rFonts w:ascii="Verdana" w:cs="Verdana" w:eastAsia="Verdana" w:hAnsi="Verdana"/>
        </w:rPr>
        <w:t xml:space="preserve"> Rule 42(2) requires the reversal to be worked out again for the whole year on annual figures. Monthly ratios move with the season (loose atta sells more in some months), so the monthly total rarely matches the annual figure.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Annual C2</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12,00,000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Annual E / F = 4,20,00,000 / 10,50,00,000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D1 for the year = 12,00,000 x 40%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4,80,000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total monthly D1 reversed during the year</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4,52,000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Shortfall to be added to output tax</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Rs. 28,000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209: Interest on the rule 42 shortfall</w:t>
            </w:r>
          </w:p>
          <w:p>
            <w:pPr>
              <w:spacing w:after="60" w:line="260"/>
            </w:pPr>
            <w:r>
              <w:rPr>
                <w:rFonts w:ascii="Verdana" w:cs="Verdana" w:eastAsia="Verdana" w:hAnsi="Verdana"/>
                <w:sz w:val="20"/>
                <w:szCs w:val="20"/>
              </w:rPr>
              <w:t xml:space="preserve">Step 1: The shortfall must be added to output tax in a month not later than September 2026, and interest at the section 50(1) rate runs from 1 April 2026 to the date of payment.</w:t>
            </w:r>
          </w:p>
          <w:p>
            <w:pPr>
              <w:spacing w:after="60" w:line="260"/>
            </w:pPr>
            <w:r>
              <w:rPr>
                <w:rFonts w:ascii="Verdana" w:cs="Verdana" w:eastAsia="Verdana" w:hAnsi="Verdana"/>
                <w:sz w:val="20"/>
                <w:szCs w:val="20"/>
              </w:rPr>
              <w:t xml:space="preserve">Step 2: The company paid it in the GSTR-3B for July 2026, filed on 20 August 2026. Days from 1 April 2026 to 20 August 2026, both included: 30 + 31 + 30 + 31 + 20 = 142.</w:t>
            </w:r>
          </w:p>
          <w:p>
            <w:pPr>
              <w:spacing w:after="60" w:line="260"/>
            </w:pPr>
            <w:r>
              <w:rPr>
                <w:rFonts w:ascii="Verdana" w:cs="Verdana" w:eastAsia="Verdana" w:hAnsi="Verdana"/>
                <w:sz w:val="20"/>
                <w:szCs w:val="20"/>
              </w:rPr>
              <w:t xml:space="preserve">Step 3: CGST interest = 14,000 x 18% x 142 / 365 = Rs. 980. SGST interest is the same.</w:t>
            </w:r>
          </w:p>
          <w:p>
            <w:pPr>
              <w:spacing w:after="60" w:line="260"/>
            </w:pPr>
            <w:r>
              <w:rPr>
                <w:rFonts w:ascii="Verdana" w:cs="Verdana" w:eastAsia="Verdana" w:hAnsi="Verdana"/>
                <w:sz w:val="20"/>
                <w:szCs w:val="20"/>
              </w:rPr>
              <w:t xml:space="preserve">Step 4: Total: tax Rs. 28,000 plus interest Rs. 1,960.</w:t>
            </w:r>
          </w:p>
          <w:p>
            <w:pPr>
              <w:spacing w:after="60" w:line="260"/>
            </w:pPr>
            <w:r>
              <w:rPr>
                <w:rFonts w:ascii="Verdana" w:cs="Verdana" w:eastAsia="Verdana" w:hAnsi="Verdana"/>
                <w:sz w:val="20"/>
                <w:szCs w:val="20"/>
              </w:rPr>
              <w:t xml:space="preserve">Step 5: Had the annual figure been lower than the monthly total, the excess reversal could be claimed back in the same window, without interest.</w:t>
            </w:r>
          </w:p>
        </w:tc>
      </w:tr>
    </w:tbl>
    <w:p>
      <w:pPr>
        <w:spacing w:after="60"/>
      </w:pPr>
    </w:p>
    <w:p>
      <w:pPr>
        <w:pStyle w:val="Heading2"/>
        <w:keepNext/>
        <w:spacing w:after="120" w:before="240"/>
      </w:pPr>
      <w:r>
        <w:rPr>
          <w:rFonts w:ascii="Verdana" w:cs="Verdana" w:eastAsia="Verdana" w:hAnsi="Verdana"/>
        </w:rPr>
        <w:t xml:space="preserve">46.4 Compliance and documentation</w:t>
      </w:r>
    </w:p>
    <w:p>
      <w:pPr>
        <w:pStyle w:val="ListParagraph"/>
        <w:numPr>
          <w:ilvl w:val="0"/>
          <w:numId w:val="2"/>
        </w:numPr>
        <w:spacing w:after="60" w:line="264"/>
      </w:pPr>
      <w:r>
        <w:rPr>
          <w:rFonts w:ascii="Verdana" w:cs="Verdana" w:eastAsia="Verdana" w:hAnsi="Verdana"/>
        </w:rPr>
        <w:t xml:space="preserve">Monthly: T2, T3 and D1 in Table 4B(1) of GSTR-3B; Te under rule 43 also in Table 4B(1).</w:t>
      </w:r>
    </w:p>
    <w:p>
      <w:pPr>
        <w:pStyle w:val="ListParagraph"/>
        <w:numPr>
          <w:ilvl w:val="0"/>
          <w:numId w:val="2"/>
        </w:numPr>
        <w:spacing w:after="60" w:line="264"/>
      </w:pPr>
      <w:r>
        <w:rPr>
          <w:rFonts w:ascii="Verdana" w:cs="Verdana" w:eastAsia="Verdana" w:hAnsi="Verdana"/>
        </w:rPr>
        <w:t xml:space="preserve">Annual: shortfall under rule 42(2) in Table 4B(1) of a return up to September 2026, interest in Table 5.1; excess reversal reclaimed in Table 4A(5).</w:t>
      </w:r>
    </w:p>
    <w:p>
      <w:pPr>
        <w:pStyle w:val="ListParagraph"/>
        <w:numPr>
          <w:ilvl w:val="0"/>
          <w:numId w:val="2"/>
        </w:numPr>
        <w:spacing w:after="60" w:line="264"/>
      </w:pPr>
      <w:r>
        <w:rPr>
          <w:rFonts w:ascii="Verdana" w:cs="Verdana" w:eastAsia="Verdana" w:hAnsi="Verdana"/>
        </w:rPr>
        <w:t xml:space="preserve">GSTR-9 for FY 2025-26 by 31 December 2026: reversals under rules 42 and 43 in Table 7, and the annual adjustment reported where the form requires.</w:t>
      </w:r>
    </w:p>
    <w:p>
      <w:pPr>
        <w:pStyle w:val="ListParagraph"/>
        <w:numPr>
          <w:ilvl w:val="0"/>
          <w:numId w:val="2"/>
        </w:numPr>
        <w:spacing w:after="60" w:line="264"/>
      </w:pPr>
      <w:r>
        <w:rPr>
          <w:rFonts w:ascii="Verdana" w:cs="Verdana" w:eastAsia="Verdana" w:hAnsi="Verdana"/>
        </w:rPr>
        <w:t xml:space="preserve">A monthly rule 42 working file tied to the sales register (E and F) and to the ITC register (T1 to T4).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b/>
                <w:bCs/>
                <w:sz w:val="20"/>
                <w:szCs w:val="20"/>
              </w:rPr>
              <w:t xml:space="preserve">Lessons</w:t>
            </w:r>
          </w:p>
          <w:p>
            <w:pPr>
              <w:spacing w:after="60" w:line="260"/>
            </w:pPr>
            <w:r>
              <w:rPr>
                <w:rFonts w:ascii="Verdana" w:cs="Verdana" w:eastAsia="Verdana" w:hAnsi="Verdana"/>
                <w:sz w:val="20"/>
                <w:szCs w:val="20"/>
              </w:rPr>
              <w:t xml:space="preserve">Tag every purchase at the time of booking as T1, T2, T3, T4 or common. Tagging at the year end leads to disputes.</w:t>
            </w:r>
          </w:p>
          <w:p>
            <w:pPr>
              <w:spacing w:after="60" w:line="260"/>
            </w:pPr>
            <w:r>
              <w:rPr>
                <w:rFonts w:ascii="Verdana" w:cs="Verdana" w:eastAsia="Verdana" w:hAnsi="Verdana"/>
                <w:sz w:val="20"/>
                <w:szCs w:val="20"/>
              </w:rPr>
              <w:t xml:space="preserve">Interest on the annual shortfall runs from 1 April. Doing the true-up in July rather than September saves interest.</w:t>
            </w:r>
          </w:p>
          <w:p>
            <w:pPr>
              <w:spacing w:after="60" w:line="260"/>
            </w:pPr>
            <w:r>
              <w:rPr>
                <w:rFonts w:ascii="Verdana" w:cs="Verdana" w:eastAsia="Verdana" w:hAnsi="Verdana"/>
                <w:sz w:val="20"/>
                <w:szCs w:val="20"/>
              </w:rPr>
              <w:t xml:space="preserve">Rule 43 has its own monthly working for common capital goods. Do not mix capital goods credit into C2.</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Only common credit is apportioned; exclusively exempt and blocked credits are not taken at all.</w:t>
            </w:r>
          </w:p>
          <w:p>
            <w:pPr>
              <w:spacing w:after="60" w:line="260"/>
            </w:pPr>
            <w:r>
              <w:rPr>
                <w:rFonts w:ascii="Verdana" w:cs="Verdana" w:eastAsia="Verdana" w:hAnsi="Verdana"/>
                <w:sz w:val="20"/>
                <w:szCs w:val="20"/>
              </w:rPr>
              <w:t xml:space="preserve">•  January 2026 reversal under rule 42 was Rs. 40,000 and under rule 43 Rs. 3,600.</w:t>
            </w:r>
          </w:p>
          <w:p>
            <w:pPr>
              <w:spacing w:after="60" w:line="260"/>
            </w:pPr>
            <w:r>
              <w:rPr>
                <w:rFonts w:ascii="Verdana" w:cs="Verdana" w:eastAsia="Verdana" w:hAnsi="Verdana"/>
                <w:sz w:val="20"/>
                <w:szCs w:val="20"/>
              </w:rPr>
              <w:t xml:space="preserve">•  The annual recomputation gave a shortfall of Rs. 28,000, paid with interest of Rs. 1,960 for 142 days.</w:t>
            </w:r>
          </w:p>
          <w:p>
            <w:pPr>
              <w:spacing w:after="60" w:line="260"/>
            </w:pPr>
            <w:r>
              <w:rPr>
                <w:rFonts w:ascii="Verdana" w:cs="Verdana" w:eastAsia="Verdana" w:hAnsi="Verdana"/>
                <w:sz w:val="20"/>
                <w:szCs w:val="20"/>
              </w:rPr>
              <w:t xml:space="preserve">•  Early true-up and clean tagging of purchases keep interest and disputes low.</w:t>
            </w:r>
          </w:p>
        </w:tc>
      </w:tr>
    </w:tbl>
    <w:p>
      <w:pPr>
        <w:pStyle w:val="Heading1"/>
        <w:pageBreakBefore/>
        <w:spacing w:after="200" w:before="0"/>
      </w:pPr>
      <w:r>
        <w:rPr>
          <w:rFonts w:ascii="Verdana" w:cs="Verdana" w:eastAsia="Verdana" w:hAnsi="Verdana"/>
        </w:rPr>
        <w:t xml:space="preserve">47. Case Study 3: IT Services Exporter and Refund under Rule 89(4)</w:t>
      </w:r>
    </w:p>
    <w:p>
      <w:pPr>
        <w:pStyle w:val="Heading2"/>
        <w:keepNext/>
        <w:spacing w:after="120" w:before="240"/>
      </w:pPr>
      <w:r>
        <w:rPr>
          <w:rFonts w:ascii="Verdana" w:cs="Verdana" w:eastAsia="Verdana" w:hAnsi="Verdana"/>
        </w:rPr>
        <w:t xml:space="preserve">47.1 Facts</w:t>
      </w:r>
    </w:p>
    <w:p>
      <w:pPr>
        <w:spacing w:after="120" w:line="276"/>
        <w:jc w:val="both"/>
      </w:pPr>
      <w:r>
        <w:rPr>
          <w:rFonts w:ascii="Verdana" w:cs="Verdana" w:eastAsia="Verdana" w:hAnsi="Verdana"/>
        </w:rPr>
        <w:t xml:space="preserve">Kaveri Softech Pvt. Ltd., Bengaluru, Karnataka, develops software for overseas clients. It filed its LUT in RFD-11 for FY 2026-27 on 25 March 2026. For </w:t>
      </w:r>
      <w:r>
        <w:rPr>
          <w:rFonts w:ascii="Verdana" w:cs="Verdana" w:eastAsia="Verdana" w:hAnsi="Verdana"/>
          <w:b/>
          <w:bCs/>
        </w:rPr>
        <w:t xml:space="preserve">April to June 2026</w:t>
      </w:r>
      <w:r>
        <w:rPr>
          <w:rFonts w:ascii="Verdana" w:cs="Verdana" w:eastAsia="Verdana" w:hAnsi="Verdana"/>
        </w:rPr>
        <w:t xml:space="preserve"> it made the following supplies.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2007"/>
        <w:gridCol w:w="2007"/>
        <w:gridCol w:w="2010"/>
      </w:tblGrid>
      <w:tr>
        <w:trPr>
          <w:cantSplit/>
          <w:tblHeader/>
        </w:trPr>
        <w:tc>
          <w:tcPr>
            <w:tcW w:type="dxa" w:w="3614"/>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Client</w:t>
            </w:r>
          </w:p>
        </w:tc>
        <w:tc>
          <w:tcPr>
            <w:tcW w:type="dxa" w:w="200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Invoiced in quarter</w:t>
            </w:r>
          </w:p>
        </w:tc>
        <w:tc>
          <w:tcPr>
            <w:tcW w:type="dxa" w:w="200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Realised in quarter</w:t>
            </w:r>
          </w:p>
        </w:tc>
        <w:tc>
          <w:tcPr>
            <w:tcW w:type="dxa" w:w="201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Status</w:t>
            </w:r>
          </w:p>
        </w:tc>
      </w:tr>
      <w:tr>
        <w:trPr>
          <w:cantSplit/>
        </w:trP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Alpine Data GmbH, Germany</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1,40,00,000</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1,40,00,000</w:t>
            </w:r>
          </w:p>
        </w:tc>
        <w:tc>
          <w:tcPr>
            <w:tcW w:type="dxa" w:w="20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e-BRC matched</w:t>
            </w:r>
          </w:p>
        </w:tc>
      </w:tr>
      <w:tr>
        <w:trPr>
          <w:cantSplit/>
        </w:trP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Harbor Retail Inc., USA</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1,60,00,000</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1,10,00,000</w:t>
            </w:r>
          </w:p>
        </w:tc>
        <w:tc>
          <w:tcPr>
            <w:tcW w:type="dxa" w:w="20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50 lakh realised in July</w:t>
            </w:r>
          </w:p>
        </w:tc>
      </w:tr>
      <w:tr>
        <w:trPr>
          <w:cantSplit/>
        </w:trP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Thames Analytics Ltd., UK</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1,00,00,000</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1,00,00,000</w:t>
            </w:r>
          </w:p>
        </w:tc>
        <w:tc>
          <w:tcPr>
            <w:tcW w:type="dxa" w:w="20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e-BRC matched</w:t>
            </w:r>
          </w:p>
        </w:tc>
      </w:tr>
      <w:tr>
        <w:trPr>
          <w:cantSplit/>
        </w:trP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Harbor Retail Inc., March 2026 invoice</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0</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30,00,000</w:t>
            </w:r>
          </w:p>
        </w:tc>
        <w:tc>
          <w:tcPr>
            <w:tcW w:type="dxa" w:w="20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e-BRC matched</w:t>
            </w:r>
          </w:p>
        </w:tc>
      </w:tr>
      <w:tr>
        <w:trPr>
          <w:cantSplit/>
        </w:trPr>
        <w:tc>
          <w:tcPr>
            <w:tcW w:type="dxa" w:w="3614"/>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export clients</w:t>
            </w:r>
          </w:p>
        </w:tc>
        <w:tc>
          <w:tcPr>
            <w:tcW w:type="dxa" w:w="2007"/>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4,00,00,000</w:t>
            </w:r>
          </w:p>
        </w:tc>
        <w:tc>
          <w:tcPr>
            <w:tcW w:type="dxa" w:w="2007"/>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3,80,00,000</w:t>
            </w:r>
          </w:p>
        </w:tc>
        <w:tc>
          <w:tcPr>
            <w:tcW w:type="dxa" w:w="201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p>
        </w:tc>
      </w:tr>
    </w:tbl>
    <w:p>
      <w:pPr>
        <w:spacing w:after="60"/>
      </w:pPr>
    </w:p>
    <w:p>
      <w:pPr>
        <w:spacing w:after="120" w:line="276"/>
        <w:jc w:val="both"/>
      </w:pPr>
      <w:r>
        <w:rPr>
          <w:rFonts w:ascii="Verdana" w:cs="Verdana" w:eastAsia="Verdana" w:hAnsi="Verdana"/>
        </w:rPr>
        <w:t xml:space="preserve">It also invoiced Rs. 12,00,000 to its own branch office in London for support work (cost Rs. 10,50,000), and Rs. 8,00,000 to a Bengaluru client. ITC for the quarter was IGST Rs. 12,00,000, CGST Rs. 9,00,000 and SGST Rs. 9,00,000 on inputs and input services, plus IGST Rs. 3,00,000 on laptops (capital goods). The opening ledger balance was nil.</w:t>
      </w:r>
    </w:p>
    <w:p>
      <w:pPr>
        <w:pStyle w:val="Heading2"/>
        <w:keepNext/>
        <w:spacing w:after="120" w:before="240"/>
      </w:pPr>
      <w:r>
        <w:rPr>
          <w:rFonts w:ascii="Verdana" w:cs="Verdana" w:eastAsia="Verdana" w:hAnsi="Verdana"/>
        </w:rPr>
        <w:t xml:space="preserve">47.2 Issues</w:t>
      </w:r>
    </w:p>
    <w:p>
      <w:pPr>
        <w:pStyle w:val="ListParagraph"/>
        <w:numPr>
          <w:ilvl w:val="0"/>
          <w:numId w:val="2"/>
        </w:numPr>
        <w:spacing w:after="60" w:line="264"/>
      </w:pPr>
      <w:r>
        <w:rPr>
          <w:rFonts w:ascii="Verdana" w:cs="Verdana" w:eastAsia="Verdana" w:hAnsi="Verdana"/>
        </w:rPr>
        <w:t xml:space="preserve">Whether each foreign supply meets the five conditions of an export of services in section 2(6) of the IGST Act.</w:t>
      </w:r>
    </w:p>
    <w:p>
      <w:pPr>
        <w:pStyle w:val="ListParagraph"/>
        <w:numPr>
          <w:ilvl w:val="0"/>
          <w:numId w:val="2"/>
        </w:numPr>
        <w:spacing w:after="60" w:line="264"/>
      </w:pPr>
      <w:r>
        <w:rPr>
          <w:rFonts w:ascii="Verdana" w:cs="Verdana" w:eastAsia="Verdana" w:hAnsi="Verdana"/>
        </w:rPr>
        <w:t xml:space="preserve">Tax on the London branch supply and on the domestic supply.</w:t>
      </w:r>
    </w:p>
    <w:p>
      <w:pPr>
        <w:pStyle w:val="ListParagraph"/>
        <w:numPr>
          <w:ilvl w:val="0"/>
          <w:numId w:val="2"/>
        </w:numPr>
        <w:spacing w:after="60" w:line="264"/>
      </w:pPr>
      <w:r>
        <w:rPr>
          <w:rFonts w:ascii="Verdana" w:cs="Verdana" w:eastAsia="Verdana" w:hAnsi="Verdana"/>
        </w:rPr>
        <w:t xml:space="preserve">Refund of unutilised ITC for the quarter under rule 89(4), the ledger limit and the order of debit.</w:t>
      </w:r>
    </w:p>
    <w:p>
      <w:pPr>
        <w:pStyle w:val="ListParagraph"/>
        <w:numPr>
          <w:ilvl w:val="0"/>
          <w:numId w:val="2"/>
        </w:numPr>
        <w:spacing w:after="60" w:line="264"/>
      </w:pPr>
      <w:r>
        <w:rPr>
          <w:rFonts w:ascii="Verdana" w:cs="Verdana" w:eastAsia="Verdana" w:hAnsi="Verdana"/>
        </w:rPr>
        <w:t xml:space="preserve">Matching of invoices with foreign inward remittance.</w:t>
      </w:r>
    </w:p>
    <w:p>
      <w:pPr>
        <w:pStyle w:val="Heading2"/>
        <w:keepNext/>
        <w:spacing w:after="120" w:before="240"/>
      </w:pPr>
      <w:r>
        <w:rPr>
          <w:rFonts w:ascii="Verdana" w:cs="Verdana" w:eastAsia="Verdana" w:hAnsi="Verdana"/>
        </w:rPr>
        <w:t xml:space="preserve">47.3 Analysis and computation</w:t>
      </w:r>
    </w:p>
    <w:p>
      <w:pPr>
        <w:spacing w:after="120" w:line="276"/>
        <w:jc w:val="both"/>
      </w:pPr>
      <w:r>
        <w:rPr>
          <w:rFonts w:ascii="Verdana" w:cs="Verdana" w:eastAsia="Verdana" w:hAnsi="Verdana"/>
        </w:rPr>
        <w:t xml:space="preserve">An export of services needs: supplier in India, recipient outside India, place of supply outside India, payment in convertible foreign exchange (or in Indian rupees where RBI permits), and supplier and recipient not merely establishments of a distinct person under Explanation 1 to section 8. The three foreign clients are independent companies and all five conditions are met. A CBIC circular of 2021 also clarified that an Indian subsidiary serving its foreign parent is not a mere establishment of the parent, so group companies can export to each other.</w:t>
      </w:r>
    </w:p>
    <w:p>
      <w:pPr>
        <w:spacing w:after="120" w:line="276"/>
        <w:jc w:val="both"/>
      </w:pPr>
      <w:r>
        <w:rPr>
          <w:rFonts w:ascii="Verdana" w:cs="Verdana" w:eastAsia="Verdana" w:hAnsi="Verdana"/>
        </w:rPr>
        <w:t xml:space="preserve">The London branch fails the fifth condition. It is part of the same company. The supply is still an inter-State supply under section 7(5)(a) because the supplier is in India and the place of supply is outside India, so IGST is payable. Because the parties are establishments of the same company, the invoice value is tested under the valuation rules; the London branch cannot take Indian credit, so the second proviso to rule 28 does not help. With no comparable price, rule 30 gives cost plus 10%, which is Rs. 11,55,000. The invoice value of Rs. 12,00,000 is higher and is adopted.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IGST on London branch supply: 12,00,000 x 18%</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2,16,000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CGST on Bengaluru client: 8,00,000 x 9%</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72,000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SGST on Bengaluru client: 8,00,000 x 9%</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72,000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Output tax, paid from the credit ledger</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Rs. 3,60,000</w:t>
            </w:r>
          </w:p>
        </w:tc>
      </w:tr>
    </w:tbl>
    <w:p>
      <w:pPr>
        <w:spacing w:after="60"/>
      </w:pPr>
    </w:p>
    <w:p>
      <w:pPr>
        <w:spacing w:after="120" w:line="276"/>
        <w:jc w:val="both"/>
      </w:pPr>
      <w:r>
        <w:rPr>
          <w:rFonts w:ascii="Verdana" w:cs="Verdana" w:eastAsia="Verdana" w:hAnsi="Verdana"/>
          <w:b/>
          <w:bCs/>
        </w:rPr>
        <w:t xml:space="preserve">Turnover of zero-rated services</w:t>
      </w:r>
      <w:r>
        <w:rPr>
          <w:rFonts w:ascii="Verdana" w:cs="Verdana" w:eastAsia="Verdana" w:hAnsi="Verdana"/>
        </w:rPr>
        <w:t xml:space="preserve"> under rule 89(4) is receipts based: payments received in the period for services supplied, plus services completed in the period against earlier advances, less advances for services not yet completed. The Rs. 50 lakh from Harbor Retail realised in July goes to the next quarter's claim. </w:t>
      </w:r>
      <w:r>
        <w:rPr>
          <w:rFonts w:ascii="Verdana" w:cs="Verdana" w:eastAsia="Verdana" w:hAnsi="Verdana"/>
          <w:b/>
          <w:bCs/>
        </w:rPr>
        <w:t xml:space="preserve">Adjusted total turnover</w:t>
      </w:r>
      <w:r>
        <w:rPr>
          <w:rFonts w:ascii="Verdana" w:cs="Verdana" w:eastAsia="Verdana" w:hAnsi="Verdana"/>
        </w:rPr>
        <w:t xml:space="preserve"> adds the non-zero-rated services at invoice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Turnover of zero-rated supply of services (receipts)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3,80,00,000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Non-zero-rated services: London branch 12,00,000 + domestic 8,00,000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20,00,000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Adjusted total turnover</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4,00,00,000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Net ITC on inputs and input services (laptops excluded)</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30,00,000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Refund = 3,80,00,000 x 30,00,000 / 4,00,00,000</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Rs. 28,50,000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210: Ledger limit and order of debit</w:t>
            </w:r>
          </w:p>
          <w:p>
            <w:pPr>
              <w:spacing w:after="60" w:line="260"/>
            </w:pPr>
            <w:r>
              <w:rPr>
                <w:rFonts w:ascii="Verdana" w:cs="Verdana" w:eastAsia="Verdana" w:hAnsi="Verdana"/>
                <w:sz w:val="20"/>
                <w:szCs w:val="20"/>
              </w:rPr>
              <w:t xml:space="preserve">Step 1: Closing IGST = 12,00,000 + 3,00,000 less 2,16,000 = Rs. 12,84,000. Closing CGST = 9,00,000 less 72,000 = Rs. 8,28,000; SGST the same. Total Rs. 29,40,000.</w:t>
            </w:r>
          </w:p>
          <w:p>
            <w:pPr>
              <w:spacing w:after="60" w:line="260"/>
            </w:pPr>
            <w:r>
              <w:rPr>
                <w:rFonts w:ascii="Verdana" w:cs="Verdana" w:eastAsia="Verdana" w:hAnsi="Verdana"/>
                <w:sz w:val="20"/>
                <w:szCs w:val="20"/>
              </w:rPr>
              <w:t xml:space="preserve">Step 2: The refund is the lowest of the formula amount (Rs. 28,50,000), the balance at the end of the quarter and the balance when the claim is filed. Here it is Rs. 28,50,000.</w:t>
            </w:r>
          </w:p>
          <w:p>
            <w:pPr>
              <w:spacing w:after="60" w:line="260"/>
            </w:pPr>
            <w:r>
              <w:rPr>
                <w:rFonts w:ascii="Verdana" w:cs="Verdana" w:eastAsia="Verdana" w:hAnsi="Verdana"/>
                <w:sz w:val="20"/>
                <w:szCs w:val="20"/>
              </w:rPr>
              <w:t xml:space="preserve">Step 3: The ledger is debited first from IGST (Rs. 12,84,000) and the rest equally from CGST and SGST (Rs. 7,83,000 each).</w:t>
            </w:r>
          </w:p>
          <w:p>
            <w:pPr>
              <w:spacing w:after="60" w:line="260"/>
            </w:pPr>
            <w:r>
              <w:rPr>
                <w:rFonts w:ascii="Verdana" w:cs="Verdana" w:eastAsia="Verdana" w:hAnsi="Verdana"/>
                <w:sz w:val="20"/>
                <w:szCs w:val="20"/>
              </w:rPr>
              <w:t xml:space="preserve">Step 4: Balance left: CGST Rs. 45,000 and SGST Rs. 45,000, total Rs. 90,000.</w:t>
            </w:r>
          </w:p>
          <w:p>
            <w:pPr>
              <w:spacing w:after="60" w:line="260"/>
            </w:pPr>
            <w:r>
              <w:rPr>
                <w:rFonts w:ascii="Verdana" w:cs="Verdana" w:eastAsia="Verdana" w:hAnsi="Verdana"/>
                <w:sz w:val="20"/>
                <w:szCs w:val="20"/>
              </w:rPr>
              <w:t xml:space="preserve">Step 5: Provisional refund under rule 91 at 90% = Rs. 25,65,000; the balance Rs. 2,85,000 after scrutiny.</w:t>
            </w:r>
          </w:p>
        </w:tc>
      </w:tr>
    </w:tbl>
    <w:p>
      <w:pPr>
        <w:spacing w:after="60"/>
      </w:pPr>
    </w:p>
    <w:p>
      <w:pPr>
        <w:pStyle w:val="Heading2"/>
        <w:keepNext/>
        <w:spacing w:after="120" w:before="240"/>
      </w:pPr>
      <w:r>
        <w:rPr>
          <w:rFonts w:ascii="Verdana" w:cs="Verdana" w:eastAsia="Verdana" w:hAnsi="Verdana"/>
        </w:rPr>
        <w:t xml:space="preserve">47.4 Compliance and documentation</w:t>
      </w:r>
    </w:p>
    <w:p>
      <w:pPr>
        <w:pStyle w:val="ListParagraph"/>
        <w:numPr>
          <w:ilvl w:val="0"/>
          <w:numId w:val="2"/>
        </w:numPr>
        <w:spacing w:after="60" w:line="264"/>
      </w:pPr>
      <w:r>
        <w:rPr>
          <w:rFonts w:ascii="Verdana" w:cs="Verdana" w:eastAsia="Verdana" w:hAnsi="Verdana"/>
        </w:rPr>
        <w:t xml:space="preserve">Export invoices endorsed "Supply meant for export under LUT without payment of IGST", reported in Table 6A of GSTR-1 as exports without payment.</w:t>
      </w:r>
    </w:p>
    <w:p>
      <w:pPr>
        <w:pStyle w:val="ListParagraph"/>
        <w:numPr>
          <w:ilvl w:val="0"/>
          <w:numId w:val="2"/>
        </w:numPr>
        <w:spacing w:after="60" w:line="264"/>
      </w:pPr>
      <w:r>
        <w:rPr>
          <w:rFonts w:ascii="Verdana" w:cs="Verdana" w:eastAsia="Verdana" w:hAnsi="Verdana"/>
        </w:rPr>
        <w:t xml:space="preserve">RFD-01 for the quarter within two years of the relevant date, which for services is the date of receipt of payment. Statement 3 lists each invoice with the e-BRC or FIRC number, date and amount.</w:t>
      </w:r>
    </w:p>
    <w:p>
      <w:pPr>
        <w:pStyle w:val="ListParagraph"/>
        <w:numPr>
          <w:ilvl w:val="0"/>
          <w:numId w:val="2"/>
        </w:numPr>
        <w:spacing w:after="60" w:line="264"/>
      </w:pPr>
      <w:r>
        <w:rPr>
          <w:rFonts w:ascii="Verdana" w:cs="Verdana" w:eastAsia="Verdana" w:hAnsi="Verdana"/>
        </w:rPr>
        <w:t xml:space="preserve">Where the realised rupee amount differs from the invoice value because of exchange rates or bank charges, use the realised amount and keep the working.</w:t>
      </w:r>
    </w:p>
    <w:p>
      <w:pPr>
        <w:pStyle w:val="ListParagraph"/>
        <w:numPr>
          <w:ilvl w:val="0"/>
          <w:numId w:val="2"/>
        </w:numPr>
        <w:spacing w:after="60" w:line="264"/>
      </w:pPr>
      <w:r>
        <w:rPr>
          <w:rFonts w:ascii="Verdana" w:cs="Verdana" w:eastAsia="Verdana" w:hAnsi="Verdana"/>
        </w:rPr>
        <w:t xml:space="preserve">LUT for FY 2027-28 to be filed before the first export of that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b/>
                <w:bCs/>
                <w:sz w:val="20"/>
                <w:szCs w:val="20"/>
              </w:rPr>
              <w:t xml:space="preserve">Lessons</w:t>
            </w:r>
          </w:p>
          <w:p>
            <w:pPr>
              <w:spacing w:after="60" w:line="260"/>
            </w:pPr>
            <w:r>
              <w:rPr>
                <w:rFonts w:ascii="Verdana" w:cs="Verdana" w:eastAsia="Verdana" w:hAnsi="Verdana"/>
                <w:sz w:val="20"/>
                <w:szCs w:val="20"/>
              </w:rPr>
              <w:t xml:space="preserve">Test the "mere establishment" condition client by client. A foreign branch is not an export customer; a foreign subsidiary can be.</w:t>
            </w:r>
          </w:p>
          <w:p>
            <w:pPr>
              <w:spacing w:after="60" w:line="260"/>
            </w:pPr>
            <w:r>
              <w:rPr>
                <w:rFonts w:ascii="Verdana" w:cs="Verdana" w:eastAsia="Verdana" w:hAnsi="Verdana"/>
                <w:sz w:val="20"/>
                <w:szCs w:val="20"/>
              </w:rPr>
              <w:t xml:space="preserve">Rule 89(4) is receipts based for services. Chase realisation before the quarter ends, or the claim moves to a later quarter.</w:t>
            </w:r>
          </w:p>
          <w:p>
            <w:pPr>
              <w:spacing w:after="60" w:line="260"/>
            </w:pPr>
            <w:r>
              <w:rPr>
                <w:rFonts w:ascii="Verdana" w:cs="Verdana" w:eastAsia="Verdana" w:hAnsi="Verdana"/>
                <w:sz w:val="20"/>
                <w:szCs w:val="20"/>
              </w:rPr>
              <w:t xml:space="preserve">Tax paid on domestic supplies from the ledger reduces the balance available for refund.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Three clients qualify as exports; the London branch does not and bears IGST at 18%.</w:t>
            </w:r>
          </w:p>
          <w:p>
            <w:pPr>
              <w:spacing w:after="60" w:line="260"/>
            </w:pPr>
            <w:r>
              <w:rPr>
                <w:rFonts w:ascii="Verdana" w:cs="Verdana" w:eastAsia="Verdana" w:hAnsi="Verdana"/>
                <w:sz w:val="20"/>
                <w:szCs w:val="20"/>
              </w:rPr>
              <w:t xml:space="preserve">•  Refund for the quarter works out to Rs. 28,50,000 on receipts of Rs. 3,80,00,000.</w:t>
            </w:r>
          </w:p>
          <w:p>
            <w:pPr>
              <w:spacing w:after="60" w:line="260"/>
            </w:pPr>
            <w:r>
              <w:rPr>
                <w:rFonts w:ascii="Verdana" w:cs="Verdana" w:eastAsia="Verdana" w:hAnsi="Verdana"/>
                <w:sz w:val="20"/>
                <w:szCs w:val="20"/>
              </w:rPr>
              <w:t xml:space="preserve">•  The ledger is debited IGST first, then CGST and SGST equally.</w:t>
            </w:r>
          </w:p>
          <w:p>
            <w:pPr>
              <w:spacing w:after="60" w:line="260"/>
            </w:pPr>
            <w:r>
              <w:rPr>
                <w:rFonts w:ascii="Verdana" w:cs="Verdana" w:eastAsia="Verdana" w:hAnsi="Verdana"/>
                <w:sz w:val="20"/>
                <w:szCs w:val="20"/>
              </w:rPr>
              <w:t xml:space="preserve">•  e-BRC matching invoice by invoice is the backbone of the claim.</w:t>
            </w:r>
          </w:p>
        </w:tc>
      </w:tr>
    </w:tbl>
    <w:p>
      <w:pPr>
        <w:pStyle w:val="Heading1"/>
        <w:pageBreakBefore/>
        <w:spacing w:after="200" w:before="0"/>
      </w:pPr>
      <w:r>
        <w:rPr>
          <w:rFonts w:ascii="Verdana" w:cs="Verdana" w:eastAsia="Verdana" w:hAnsi="Verdana"/>
        </w:rPr>
        <w:t xml:space="preserve">48. Case Study 4: Textile Unit with Inverted Duty Structure after GST 2.0</w:t>
      </w:r>
    </w:p>
    <w:p>
      <w:pPr>
        <w:pStyle w:val="Heading2"/>
        <w:keepNext/>
        <w:spacing w:after="120" w:before="240"/>
      </w:pPr>
      <w:r>
        <w:rPr>
          <w:rFonts w:ascii="Verdana" w:cs="Verdana" w:eastAsia="Verdana" w:hAnsi="Verdana"/>
        </w:rPr>
        <w:t xml:space="preserve">48.1 Facts</w:t>
      </w:r>
    </w:p>
    <w:p>
      <w:pPr>
        <w:spacing w:after="120" w:line="276"/>
        <w:jc w:val="both"/>
      </w:pPr>
      <w:r>
        <w:rPr>
          <w:rFonts w:ascii="Verdana" w:cs="Verdana" w:eastAsia="Verdana" w:hAnsi="Verdana"/>
        </w:rPr>
        <w:t xml:space="preserve">Sanskriti Garments Pvt. Ltd., Surat, Gujarat, makes readymade garments with a sale value of up to Rs. 2,500 per piece, taxed at 5%. After GST 2.0 its man-made fibre fabric is also bought at 5%. Dyes, chemicals, polybags and some trims are bought at 18% (rates as charged by suppliers; the classification has been checked). The figures for </w:t>
      </w:r>
      <w:r>
        <w:rPr>
          <w:rFonts w:ascii="Verdana" w:cs="Verdana" w:eastAsia="Verdana" w:hAnsi="Verdana"/>
          <w:b/>
          <w:bCs/>
        </w:rPr>
        <w:t xml:space="preserve">April to June 2026</w:t>
      </w:r>
      <w:r>
        <w:rPr>
          <w:rFonts w:ascii="Verdana" w:cs="Verdana" w:eastAsia="Verdana" w:hAnsi="Verdana"/>
        </w:rPr>
        <w:t xml:space="preserve">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18"/>
        <w:gridCol w:w="2509"/>
        <w:gridCol w:w="2511"/>
      </w:tblGrid>
      <w:tr>
        <w:trPr>
          <w:cantSplit/>
          <w:tblHeader/>
        </w:trPr>
        <w:tc>
          <w:tcPr>
            <w:tcW w:type="dxa" w:w="461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Item</w:t>
            </w:r>
          </w:p>
        </w:tc>
        <w:tc>
          <w:tcPr>
            <w:tcW w:type="dxa" w:w="250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Value (Rs.)</w:t>
            </w:r>
          </w:p>
        </w:tc>
        <w:tc>
          <w:tcPr>
            <w:tcW w:type="dxa" w:w="251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GST (Rs.)</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Garments sold (5%)</w:t>
            </w:r>
          </w:p>
        </w:tc>
        <w:tc>
          <w:tcPr>
            <w:tcW w:type="dxa" w:w="25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2,00,00,000</w:t>
            </w:r>
          </w:p>
        </w:tc>
        <w:tc>
          <w:tcPr>
            <w:tcW w:type="dxa" w:w="25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10,00,000</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Fabric bought (5%)</w:t>
            </w:r>
          </w:p>
        </w:tc>
        <w:tc>
          <w:tcPr>
            <w:tcW w:type="dxa" w:w="25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96,00,000</w:t>
            </w:r>
          </w:p>
        </w:tc>
        <w:tc>
          <w:tcPr>
            <w:tcW w:type="dxa" w:w="25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4,80,000</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Dyes, chemicals, trims, polybags (18%)</w:t>
            </w:r>
          </w:p>
        </w:tc>
        <w:tc>
          <w:tcPr>
            <w:tcW w:type="dxa" w:w="25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40,00,000</w:t>
            </w:r>
          </w:p>
        </w:tc>
        <w:tc>
          <w:tcPr>
            <w:tcW w:type="dxa" w:w="25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7,20,000</w:t>
            </w:r>
          </w:p>
        </w:tc>
      </w:tr>
      <w:tr>
        <w:trPr>
          <w:cantSplit/>
        </w:trPr>
        <w:tc>
          <w:tcPr>
            <w:tcW w:type="dxa" w:w="461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ITC on inputs (Net ITC)</w:t>
            </w:r>
          </w:p>
        </w:tc>
        <w:tc>
          <w:tcPr>
            <w:tcW w:type="dxa" w:w="2509"/>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p>
        </w:tc>
        <w:tc>
          <w:tcPr>
            <w:tcW w:type="dxa" w:w="2511"/>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12,00,000</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Job work for stitching (5%)</w:t>
            </w:r>
          </w:p>
        </w:tc>
        <w:tc>
          <w:tcPr>
            <w:tcW w:type="dxa" w:w="25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24,00,000</w:t>
            </w:r>
          </w:p>
        </w:tc>
        <w:tc>
          <w:tcPr>
            <w:tcW w:type="dxa" w:w="25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Rent, security, testing (18%)</w:t>
            </w:r>
          </w:p>
        </w:tc>
        <w:tc>
          <w:tcPr>
            <w:tcW w:type="dxa" w:w="25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10,00,000</w:t>
            </w:r>
          </w:p>
        </w:tc>
        <w:tc>
          <w:tcPr>
            <w:tcW w:type="dxa" w:w="25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1,80,000</w:t>
            </w:r>
          </w:p>
        </w:tc>
      </w:tr>
      <w:tr>
        <w:trPr>
          <w:cantSplit/>
        </w:trPr>
        <w:tc>
          <w:tcPr>
            <w:tcW w:type="dxa" w:w="461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ITC on input services</w:t>
            </w:r>
          </w:p>
        </w:tc>
        <w:tc>
          <w:tcPr>
            <w:tcW w:type="dxa" w:w="2509"/>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p>
        </w:tc>
        <w:tc>
          <w:tcPr>
            <w:tcW w:type="dxa" w:w="2511"/>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3,00,000</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Sewing machines (capital goods, 18%)</w:t>
            </w:r>
          </w:p>
        </w:tc>
        <w:tc>
          <w:tcPr>
            <w:tcW w:type="dxa" w:w="25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10,00,000</w:t>
            </w:r>
          </w:p>
        </w:tc>
        <w:tc>
          <w:tcPr>
            <w:tcW w:type="dxa" w:w="25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1,80,000</w:t>
            </w:r>
          </w:p>
        </w:tc>
      </w:tr>
    </w:tbl>
    <w:p>
      <w:pPr>
        <w:spacing w:after="60"/>
      </w:pPr>
    </w:p>
    <w:p>
      <w:pPr>
        <w:pStyle w:val="Heading2"/>
        <w:keepNext/>
        <w:spacing w:after="120" w:before="240"/>
      </w:pPr>
      <w:r>
        <w:rPr>
          <w:rFonts w:ascii="Verdana" w:cs="Verdana" w:eastAsia="Verdana" w:hAnsi="Verdana"/>
        </w:rPr>
        <w:t xml:space="preserve">48.2 Issues</w:t>
      </w:r>
    </w:p>
    <w:p>
      <w:pPr>
        <w:pStyle w:val="ListParagraph"/>
        <w:numPr>
          <w:ilvl w:val="0"/>
          <w:numId w:val="2"/>
        </w:numPr>
        <w:spacing w:after="60" w:line="264"/>
      </w:pPr>
      <w:r>
        <w:rPr>
          <w:rFonts w:ascii="Verdana" w:cs="Verdana" w:eastAsia="Verdana" w:hAnsi="Verdana"/>
        </w:rPr>
        <w:t xml:space="preserve">Whether the unit has an inverted duty structure under section 54(3)(ii).</w:t>
      </w:r>
    </w:p>
    <w:p>
      <w:pPr>
        <w:pStyle w:val="ListParagraph"/>
        <w:numPr>
          <w:ilvl w:val="0"/>
          <w:numId w:val="2"/>
        </w:numPr>
        <w:spacing w:after="60" w:line="264"/>
      </w:pPr>
      <w:r>
        <w:rPr>
          <w:rFonts w:ascii="Verdana" w:cs="Verdana" w:eastAsia="Verdana" w:hAnsi="Verdana"/>
        </w:rPr>
        <w:t xml:space="preserve">Refund under rule 89(5) as amended in 2022, and why input services are excluded.</w:t>
      </w:r>
    </w:p>
    <w:p>
      <w:pPr>
        <w:pStyle w:val="ListParagraph"/>
        <w:numPr>
          <w:ilvl w:val="0"/>
          <w:numId w:val="2"/>
        </w:numPr>
        <w:spacing w:after="60" w:line="264"/>
      </w:pPr>
      <w:r>
        <w:rPr>
          <w:rFonts w:ascii="Verdana" w:cs="Verdana" w:eastAsia="Verdana" w:hAnsi="Verdana"/>
        </w:rPr>
        <w:t xml:space="preserve">Provisional refund of 90%.</w:t>
      </w:r>
    </w:p>
    <w:p>
      <w:pPr>
        <w:pStyle w:val="Heading2"/>
        <w:keepNext/>
        <w:spacing w:after="120" w:before="240"/>
      </w:pPr>
      <w:r>
        <w:rPr>
          <w:rFonts w:ascii="Verdana" w:cs="Verdana" w:eastAsia="Verdana" w:hAnsi="Verdana"/>
        </w:rPr>
        <w:t xml:space="preserve">48.3 Analysis and computation</w:t>
      </w:r>
    </w:p>
    <w:p>
      <w:pPr>
        <w:spacing w:after="120" w:line="276"/>
        <w:jc w:val="both"/>
      </w:pPr>
      <w:r>
        <w:rPr>
          <w:rFonts w:ascii="Verdana" w:cs="Verdana" w:eastAsia="Verdana" w:hAnsi="Verdana"/>
        </w:rPr>
        <w:t xml:space="preserve">Section 54(3)(ii) allows refund of unutilised credit where it accumulates because the rate on inputs is higher than the rate on output supplies. Before GST 2.0, man-made fibre yarn at 12% and fabric at 5% created large inversion in the chain. After 22 September 2025, fibre and yarn are at 5%, so much of that inversion has gone. It remains for units like this one that buy chemicals and trims at 18% and sell at 5%. The goods must not be ones notified as ineligible for this refund, and inversion caused only by a rate change on the same goods does not qualify.</w:t>
      </w:r>
    </w:p>
    <w:p>
      <w:pPr>
        <w:spacing w:after="120" w:line="276"/>
        <w:jc w:val="both"/>
      </w:pPr>
      <w:r>
        <w:rPr>
          <w:rFonts w:ascii="Verdana" w:cs="Verdana" w:eastAsia="Verdana" w:hAnsi="Verdana"/>
        </w:rPr>
        <w:t xml:space="preserve">Rule 89(5), as amended from 5 July 2022, gives:</w:t>
      </w:r>
    </w:p>
    <w:p>
      <w:pPr>
        <w:spacing w:after="120" w:line="276"/>
        <w:jc w:val="both"/>
      </w:pPr>
      <w:r>
        <w:rPr>
          <w:rFonts w:ascii="Verdana" w:cs="Verdana" w:eastAsia="Verdana" w:hAnsi="Verdana"/>
          <w:b/>
          <w:bCs/>
        </w:rPr>
        <w:t xml:space="preserve">Maximum refund = (Turnover of inverted rated supply x Net ITC / Adjusted total turnover) less (Tax payable on inverted rated supply x Net ITC / ITC on inputs and input services).</w:t>
      </w:r>
      <w:r>
        <w:rPr>
          <w:rFonts w:ascii="Verdana" w:cs="Verdana" w:eastAsia="Verdana" w:hAnsi="Verdana"/>
        </w:rPr>
        <w:t xml:space="preserve"> Net ITC means credit on inputs only. Capital goods are excluded and input services are excluded.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Turnover of inverted rated supply</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2,00,00,000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Adjusted total turnover</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2,00,00,000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Net ITC (inputs only)</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12,00,000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on inputs and input services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15,00,000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Part 1: 2,00,00,000 x 12,00,000 / 2,00,00,000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12,00,000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Part 2: 10,00,000 x 12,00,000 / 15,00,000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8,00,000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Maximum refund</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Rs. 4,00,000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211: Effect of the 2022 amendment and of excluding input services</w:t>
            </w:r>
          </w:p>
          <w:p>
            <w:pPr>
              <w:spacing w:after="60" w:line="260"/>
            </w:pPr>
            <w:r>
              <w:rPr>
                <w:rFonts w:ascii="Verdana" w:cs="Verdana" w:eastAsia="Verdana" w:hAnsi="Verdana"/>
                <w:sz w:val="20"/>
                <w:szCs w:val="20"/>
              </w:rPr>
              <w:t xml:space="preserve">Step 1: Under the formula before July 2022, the whole tax payable was deducted: 12,00,000 less 10,00,000 = Rs. 2,00,000.</w:t>
            </w:r>
          </w:p>
          <w:p>
            <w:pPr>
              <w:spacing w:after="60" w:line="260"/>
            </w:pPr>
            <w:r>
              <w:rPr>
                <w:rFonts w:ascii="Verdana" w:cs="Verdana" w:eastAsia="Verdana" w:hAnsi="Verdana"/>
                <w:sz w:val="20"/>
                <w:szCs w:val="20"/>
              </w:rPr>
              <w:t xml:space="preserve">Step 2: The amended formula deducts only the part of output tax that is treated as paid out of input credit: Rs. 4,00,000. The gain is Rs. 2,00,000.</w:t>
            </w:r>
          </w:p>
          <w:p>
            <w:pPr>
              <w:spacing w:after="60" w:line="260"/>
            </w:pPr>
            <w:r>
              <w:rPr>
                <w:rFonts w:ascii="Verdana" w:cs="Verdana" w:eastAsia="Verdana" w:hAnsi="Verdana"/>
                <w:sz w:val="20"/>
                <w:szCs w:val="20"/>
              </w:rPr>
              <w:t xml:space="preserve">Step 3: If input services were counted in Net ITC, the claim would be 15,00,000 less 10,00,000 = Rs. 5,00,000. The difference of Rs. 1,00,000 is not refundable and stays in the ledger.</w:t>
            </w:r>
          </w:p>
          <w:p>
            <w:pPr>
              <w:spacing w:after="60" w:line="260"/>
            </w:pPr>
            <w:r>
              <w:rPr>
                <w:rFonts w:ascii="Verdana" w:cs="Verdana" w:eastAsia="Verdana" w:hAnsi="Verdana"/>
                <w:sz w:val="20"/>
                <w:szCs w:val="20"/>
              </w:rPr>
              <w:t xml:space="preserve">Step 4: Ledger check: 15,00,000 + 1,80,000 (capital goods) less 10,00,000 output tax = Rs. 6,80,000. The refund of Rs. 4,00,000 is within the balance, leaving Rs. 2,80,000 for later use.</w:t>
            </w:r>
          </w:p>
          <w:p>
            <w:pPr>
              <w:spacing w:after="60" w:line="260"/>
            </w:pPr>
            <w:r>
              <w:rPr>
                <w:rFonts w:ascii="Verdana" w:cs="Verdana" w:eastAsia="Verdana" w:hAnsi="Verdana"/>
                <w:sz w:val="20"/>
                <w:szCs w:val="20"/>
              </w:rPr>
              <w:t xml:space="preserve">Step 5: Provisional refund at 90% = Rs. 3,60,000.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Refund of accumulated ITC on input services</w:t>
            </w:r>
          </w:p>
          <w:p>
            <w:pPr>
              <w:spacing w:after="60" w:line="260"/>
            </w:pPr>
            <w:r>
              <w:rPr>
                <w:rFonts w:ascii="Verdana" w:cs="Verdana" w:eastAsia="Verdana" w:hAnsi="Verdana"/>
                <w:b/>
                <w:bCs/>
                <w:sz w:val="20"/>
                <w:szCs w:val="20"/>
              </w:rPr>
              <w:t xml:space="preserve">Union of India v. VKC Footsteps India (P) Ltd. (Supreme Court, 2021):</w:t>
            </w:r>
            <w:r>
              <w:rPr>
                <w:rFonts w:ascii="Verdana" w:cs="Verdana" w:eastAsia="Verdana" w:hAnsi="Verdana"/>
                <w:sz w:val="20"/>
                <w:szCs w:val="20"/>
              </w:rPr>
              <w:t xml:space="preserve"> The Court upheld rule 89(5) and held that section 54(3)(ii) allows refund only of credit accumulated on inputs, not on input services. It noted the anomalies in the formula but left the remedy to the GST Council. In practice, a unit with large job work or service costs will always carry some credit that cannot be refunded; plan for it by using the credit on any domestic supplies taxed at 18%.</w:t>
            </w:r>
          </w:p>
        </w:tc>
      </w:tr>
    </w:tbl>
    <w:p>
      <w:pPr>
        <w:spacing w:after="60"/>
      </w:pPr>
    </w:p>
    <w:p>
      <w:pPr>
        <w:spacing w:after="120" w:line="276"/>
        <w:jc w:val="both"/>
      </w:pPr>
      <w:r>
        <w:rPr>
          <w:rFonts w:ascii="Verdana" w:cs="Verdana" w:eastAsia="Verdana" w:hAnsi="Verdana"/>
          <w:b/>
          <w:bCs/>
        </w:rPr>
        <w:t xml:space="preserve">Provisional refund.</w:t>
      </w:r>
      <w:r>
        <w:rPr>
          <w:rFonts w:ascii="Verdana" w:cs="Verdana" w:eastAsia="Verdana" w:hAnsi="Verdana"/>
        </w:rPr>
        <w:t xml:space="preserve"> The Finance Act, 2026 amended section 54 to allow 90% provisional refund for inverted duty claims as well, but that change awaits notification. In the meantime CBIC grants 90% provisionally on inverted duty claims after risk-based evaluation. The unit should keep its records ready for scrutiny of the balance 10%.</w:t>
      </w:r>
    </w:p>
    <w:p>
      <w:pPr>
        <w:pStyle w:val="Heading2"/>
        <w:keepNext/>
        <w:spacing w:after="120" w:before="240"/>
      </w:pPr>
      <w:r>
        <w:rPr>
          <w:rFonts w:ascii="Verdana" w:cs="Verdana" w:eastAsia="Verdana" w:hAnsi="Verdana"/>
        </w:rPr>
        <w:t xml:space="preserve">48.4 Compliance and documentation</w:t>
      </w:r>
    </w:p>
    <w:p>
      <w:pPr>
        <w:pStyle w:val="ListParagraph"/>
        <w:numPr>
          <w:ilvl w:val="0"/>
          <w:numId w:val="2"/>
        </w:numPr>
        <w:spacing w:after="60" w:line="264"/>
      </w:pPr>
      <w:r>
        <w:rPr>
          <w:rFonts w:ascii="Verdana" w:cs="Verdana" w:eastAsia="Verdana" w:hAnsi="Verdana"/>
        </w:rPr>
        <w:t xml:space="preserve">RFD-01 under "refund on account of ITC accumulated due to inverted tax structure", for a tax period or a group of tax periods within one financial year.</w:t>
      </w:r>
    </w:p>
    <w:p>
      <w:pPr>
        <w:pStyle w:val="ListParagraph"/>
        <w:numPr>
          <w:ilvl w:val="0"/>
          <w:numId w:val="2"/>
        </w:numPr>
        <w:spacing w:after="60" w:line="264"/>
      </w:pPr>
      <w:r>
        <w:rPr>
          <w:rFonts w:ascii="Verdana" w:cs="Verdana" w:eastAsia="Verdana" w:hAnsi="Verdana"/>
        </w:rPr>
        <w:t xml:space="preserve">Time limit: two years from the due date of the GSTR-3B for the period in which the claim arises.</w:t>
      </w:r>
    </w:p>
    <w:p>
      <w:pPr>
        <w:pStyle w:val="ListParagraph"/>
        <w:numPr>
          <w:ilvl w:val="0"/>
          <w:numId w:val="2"/>
        </w:numPr>
        <w:spacing w:after="60" w:line="264"/>
      </w:pPr>
      <w:r>
        <w:rPr>
          <w:rFonts w:ascii="Verdana" w:cs="Verdana" w:eastAsia="Verdana" w:hAnsi="Verdana"/>
        </w:rPr>
        <w:t xml:space="preserve">Statement 1A with invoice-wise details of inward and outward supplies; declaration that the goods are not notified as barred. No unjust enrichment certificate is needed, because a refund of unutilised credit falls under section 54(8)(b).</w:t>
      </w:r>
    </w:p>
    <w:p>
      <w:pPr>
        <w:pStyle w:val="ListParagraph"/>
        <w:numPr>
          <w:ilvl w:val="0"/>
          <w:numId w:val="2"/>
        </w:numPr>
        <w:spacing w:after="60" w:line="264"/>
      </w:pPr>
      <w:r>
        <w:rPr>
          <w:rFonts w:ascii="Verdana" w:cs="Verdana" w:eastAsia="Verdana" w:hAnsi="Verdana"/>
        </w:rPr>
        <w:t xml:space="preserve">GSTR-2B for each month should support every input invoice claimed.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b/>
                <w:bCs/>
                <w:sz w:val="20"/>
                <w:szCs w:val="20"/>
              </w:rPr>
              <w:t xml:space="preserve">Lessons</w:t>
            </w:r>
          </w:p>
          <w:p>
            <w:pPr>
              <w:spacing w:after="60" w:line="260"/>
            </w:pPr>
            <w:r>
              <w:rPr>
                <w:rFonts w:ascii="Verdana" w:cs="Verdana" w:eastAsia="Verdana" w:hAnsi="Verdana"/>
                <w:sz w:val="20"/>
                <w:szCs w:val="20"/>
              </w:rPr>
              <w:t xml:space="preserve">Classify each input as input, input service or capital good before the claim. Job work is an input service and never enters Net ITC.</w:t>
            </w:r>
          </w:p>
          <w:p>
            <w:pPr>
              <w:spacing w:after="60" w:line="260"/>
            </w:pPr>
            <w:r>
              <w:rPr>
                <w:rFonts w:ascii="Verdana" w:cs="Verdana" w:eastAsia="Verdana" w:hAnsi="Verdana"/>
                <w:sz w:val="20"/>
                <w:szCs w:val="20"/>
              </w:rPr>
              <w:t xml:space="preserve">GST 2.0 reduced inversion on yarn and fibre; recheck whether a claim is still worth filing each quarter.</w:t>
            </w:r>
          </w:p>
          <w:p>
            <w:pPr>
              <w:spacing w:after="60" w:line="260"/>
            </w:pPr>
            <w:r>
              <w:rPr>
                <w:rFonts w:ascii="Verdana" w:cs="Verdana" w:eastAsia="Verdana" w:hAnsi="Verdana"/>
                <w:sz w:val="20"/>
                <w:szCs w:val="20"/>
              </w:rPr>
              <w:t xml:space="preserve">Credit on input services that cannot be refunded should be planned into pricing.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Inversion continues where chemicals and trims at 18% feed garments at 5%.</w:t>
            </w:r>
          </w:p>
          <w:p>
            <w:pPr>
              <w:spacing w:after="60" w:line="260"/>
            </w:pPr>
            <w:r>
              <w:rPr>
                <w:rFonts w:ascii="Verdana" w:cs="Verdana" w:eastAsia="Verdana" w:hAnsi="Verdana"/>
                <w:sz w:val="20"/>
                <w:szCs w:val="20"/>
              </w:rPr>
              <w:t xml:space="preserve">•  The amended rule 89(5) formula gives a refund of Rs. 4,00,000, against Rs. 2,00,000 under the old formula.</w:t>
            </w:r>
          </w:p>
          <w:p>
            <w:pPr>
              <w:spacing w:after="60" w:line="260"/>
            </w:pPr>
            <w:r>
              <w:rPr>
                <w:rFonts w:ascii="Verdana" w:cs="Verdana" w:eastAsia="Verdana" w:hAnsi="Verdana"/>
                <w:sz w:val="20"/>
                <w:szCs w:val="20"/>
              </w:rPr>
              <w:t xml:space="preserve">•  Credit of Rs. 3,00,000 on input services is outside the formula, as upheld in VKC Footsteps.</w:t>
            </w:r>
          </w:p>
          <w:p>
            <w:pPr>
              <w:spacing w:after="60" w:line="260"/>
            </w:pPr>
            <w:r>
              <w:rPr>
                <w:rFonts w:ascii="Verdana" w:cs="Verdana" w:eastAsia="Verdana" w:hAnsi="Verdana"/>
                <w:sz w:val="20"/>
                <w:szCs w:val="20"/>
              </w:rPr>
              <w:t xml:space="preserve">•  Provisional refund of Rs. 3,60,000 is available on risk-based evaluation.</w:t>
            </w:r>
          </w:p>
        </w:tc>
      </w:tr>
    </w:tbl>
    <w:p>
      <w:pPr>
        <w:pStyle w:val="Heading1"/>
        <w:pageBreakBefore/>
        <w:spacing w:after="200" w:before="0"/>
      </w:pPr>
      <w:r>
        <w:rPr>
          <w:rFonts w:ascii="Verdana" w:cs="Verdana" w:eastAsia="Verdana" w:hAnsi="Verdana"/>
        </w:rPr>
        <w:t xml:space="preserve">49. Case Study 5: Residential Real Estate Project</w:t>
      </w:r>
    </w:p>
    <w:p>
      <w:pPr>
        <w:pStyle w:val="Heading2"/>
        <w:keepNext/>
        <w:spacing w:after="120" w:before="240"/>
      </w:pPr>
      <w:r>
        <w:rPr>
          <w:rFonts w:ascii="Verdana" w:cs="Verdana" w:eastAsia="Verdana" w:hAnsi="Verdana"/>
        </w:rPr>
        <w:t xml:space="preserve">49.1 Facts</w:t>
      </w:r>
    </w:p>
    <w:p>
      <w:pPr>
        <w:spacing w:after="120" w:line="276"/>
        <w:jc w:val="both"/>
      </w:pPr>
      <w:r>
        <w:rPr>
          <w:rFonts w:ascii="Verdana" w:cs="Verdana" w:eastAsia="Verdana" w:hAnsi="Verdana"/>
        </w:rPr>
        <w:t xml:space="preserve">Sabarmati Heights is a residential project in Ahmedabad by Umiya Developers LLP. It has 100 flats of 95 square metres carpet area each, so they are not affordable residential apartments. The land belongs to Mr. Harshad Patel, who signed a joint development agreement (JDA) on 1 April 2024. He transfers development rights and gets 20 flats; the promoter sells the other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22"/>
        <w:gridCol w:w="4016"/>
      </w:tblGrid>
      <w:tr>
        <w:trPr>
          <w:cantSplit/>
          <w:tblHeader/>
        </w:trPr>
        <w:tc>
          <w:tcPr>
            <w:tcW w:type="dxa" w:w="562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Particulars</w:t>
            </w:r>
          </w:p>
        </w:tc>
        <w:tc>
          <w:tcPr>
            <w:tcW w:type="dxa" w:w="401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Details</w:t>
            </w:r>
          </w:p>
        </w:tc>
      </w:tr>
      <w:tr>
        <w:trPr>
          <w:cantSplit/>
        </w:trPr>
        <w:tc>
          <w:tcPr>
            <w:tcW w:type="dxa" w:w="56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Price of similar flats at JDA date</w:t>
            </w:r>
          </w:p>
        </w:tc>
        <w:tc>
          <w:tcPr>
            <w:tcW w:type="dxa" w:w="40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60,00,000 each</w:t>
            </w:r>
          </w:p>
        </w:tc>
      </w:tr>
      <w:tr>
        <w:trPr>
          <w:cantSplit/>
        </w:trPr>
        <w:tc>
          <w:tcPr>
            <w:tcW w:type="dxa" w:w="56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Price at completion certificate (CC) date</w:t>
            </w:r>
          </w:p>
        </w:tc>
        <w:tc>
          <w:tcPr>
            <w:tcW w:type="dxa" w:w="40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75,00,000 each</w:t>
            </w:r>
          </w:p>
        </w:tc>
      </w:tr>
      <w:tr>
        <w:trPr>
          <w:cantSplit/>
        </w:trPr>
        <w:tc>
          <w:tcPr>
            <w:tcW w:type="dxa" w:w="56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Completion certificate issued</w:t>
            </w:r>
          </w:p>
        </w:tc>
        <w:tc>
          <w:tcPr>
            <w:tcW w:type="dxa" w:w="40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December 2025</w:t>
            </w:r>
          </w:p>
        </w:tc>
      </w:tr>
      <w:tr>
        <w:trPr>
          <w:cantSplit/>
        </w:trPr>
        <w:tc>
          <w:tcPr>
            <w:tcW w:type="dxa" w:w="56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Flats booked by buyers before CC</w:t>
            </w:r>
          </w:p>
        </w:tc>
        <w:tc>
          <w:tcPr>
            <w:tcW w:type="dxa" w:w="40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60</w:t>
            </w:r>
          </w:p>
        </w:tc>
      </w:tr>
      <w:tr>
        <w:trPr>
          <w:cantSplit/>
        </w:trPr>
        <w:tc>
          <w:tcPr>
            <w:tcW w:type="dxa" w:w="56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Promoter flats unsold on CC date</w:t>
            </w:r>
          </w:p>
        </w:tc>
        <w:tc>
          <w:tcPr>
            <w:tcW w:type="dxa" w:w="40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w:t>
            </w:r>
          </w:p>
        </w:tc>
      </w:tr>
      <w:tr>
        <w:trPr>
          <w:cantSplit/>
        </w:trPr>
        <w:tc>
          <w:tcPr>
            <w:tcW w:type="dxa" w:w="56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Unsold flats sold in 2026 after CC</w:t>
            </w:r>
          </w:p>
        </w:tc>
        <w:tc>
          <w:tcPr>
            <w:tcW w:type="dxa" w:w="40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 at Rs. 80,00,000 each</w:t>
            </w:r>
          </w:p>
        </w:tc>
      </w:tr>
      <w:tr>
        <w:trPr>
          <w:cantSplit/>
        </w:trPr>
        <w:tc>
          <w:tcPr>
            <w:tcW w:type="dxa" w:w="56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Inputs and input services, FY 2025-26 up to CC</w:t>
            </w:r>
          </w:p>
        </w:tc>
        <w:tc>
          <w:tcPr>
            <w:tcW w:type="dxa" w:w="40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20,00,00,000</w:t>
            </w:r>
          </w:p>
        </w:tc>
      </w:tr>
      <w:tr>
        <w:trPr>
          <w:cantSplit/>
        </w:trPr>
        <w:tc>
          <w:tcPr>
            <w:tcW w:type="dxa" w:w="56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Of which from registered suppliers</w:t>
            </w:r>
          </w:p>
        </w:tc>
        <w:tc>
          <w:tcPr>
            <w:tcW w:type="dxa" w:w="40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15,40,00,000</w:t>
            </w:r>
          </w:p>
        </w:tc>
      </w:tr>
    </w:tbl>
    <w:p>
      <w:pPr>
        <w:spacing w:after="60"/>
      </w:pPr>
    </w:p>
    <w:p>
      <w:pPr>
        <w:pStyle w:val="Heading2"/>
        <w:keepNext/>
        <w:spacing w:after="120" w:before="240"/>
      </w:pPr>
      <w:r>
        <w:rPr>
          <w:rFonts w:ascii="Verdana" w:cs="Verdana" w:eastAsia="Verdana" w:hAnsi="Verdana"/>
        </w:rPr>
        <w:t xml:space="preserve">49.2 Issues</w:t>
      </w:r>
    </w:p>
    <w:p>
      <w:pPr>
        <w:pStyle w:val="ListParagraph"/>
        <w:numPr>
          <w:ilvl w:val="0"/>
          <w:numId w:val="2"/>
        </w:numPr>
        <w:spacing w:after="60" w:line="264"/>
      </w:pPr>
      <w:r>
        <w:rPr>
          <w:rFonts w:ascii="Verdana" w:cs="Verdana" w:eastAsia="Verdana" w:hAnsi="Verdana"/>
        </w:rPr>
        <w:t xml:space="preserve">Rate on flats sold before CC and the deemed land deduction.</w:t>
      </w:r>
    </w:p>
    <w:p>
      <w:pPr>
        <w:pStyle w:val="ListParagraph"/>
        <w:numPr>
          <w:ilvl w:val="0"/>
          <w:numId w:val="2"/>
        </w:numPr>
        <w:spacing w:after="60" w:line="264"/>
      </w:pPr>
      <w:r>
        <w:rPr>
          <w:rFonts w:ascii="Verdana" w:cs="Verdana" w:eastAsia="Verdana" w:hAnsi="Verdana"/>
        </w:rPr>
        <w:t xml:space="preserve">The 80% procurement test and reverse charge on the shortfall.</w:t>
      </w:r>
    </w:p>
    <w:p>
      <w:pPr>
        <w:pStyle w:val="ListParagraph"/>
        <w:numPr>
          <w:ilvl w:val="0"/>
          <w:numId w:val="2"/>
        </w:numPr>
        <w:spacing w:after="60" w:line="264"/>
      </w:pPr>
      <w:r>
        <w:rPr>
          <w:rFonts w:ascii="Verdana" w:cs="Verdana" w:eastAsia="Verdana" w:hAnsi="Verdana"/>
        </w:rPr>
        <w:t xml:space="preserve">Tax on flats given to the landowner and on development rights for unsold flats.</w:t>
      </w:r>
    </w:p>
    <w:p>
      <w:pPr>
        <w:pStyle w:val="ListParagraph"/>
        <w:numPr>
          <w:ilvl w:val="0"/>
          <w:numId w:val="2"/>
        </w:numPr>
        <w:spacing w:after="60" w:line="264"/>
      </w:pPr>
      <w:r>
        <w:rPr>
          <w:rFonts w:ascii="Verdana" w:cs="Verdana" w:eastAsia="Verdana" w:hAnsi="Verdana"/>
        </w:rPr>
        <w:t xml:space="preserve">Sale of flats after CC.</w:t>
      </w:r>
    </w:p>
    <w:p>
      <w:pPr>
        <w:pStyle w:val="Heading2"/>
        <w:keepNext/>
        <w:spacing w:after="120" w:before="240"/>
      </w:pPr>
      <w:r>
        <w:rPr>
          <w:rFonts w:ascii="Verdana" w:cs="Verdana" w:eastAsia="Verdana" w:hAnsi="Verdana"/>
        </w:rPr>
        <w:t xml:space="preserve">49.3 Analysis and computation</w:t>
      </w:r>
    </w:p>
    <w:p>
      <w:pPr>
        <w:spacing w:after="120" w:line="276"/>
        <w:jc w:val="both"/>
      </w:pPr>
      <w:r>
        <w:rPr>
          <w:rFonts w:ascii="Verdana" w:cs="Verdana" w:eastAsia="Verdana" w:hAnsi="Verdana"/>
        </w:rPr>
        <w:t xml:space="preserve">From 1 April 2019, residential apartments in a real estate project are taxed at an effective 5% (1% for affordable flats) without ITC. The notification rate is 7.5% on the value after deducting land, and land is deemed to be one-third of the total amount. The result is 5% of the flat price.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Flat price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75,00,000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deemed value of land, one-third</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25,00,000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Value of construction service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50,00,000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 at 7.5% (CGST 3.75% + SGST 3.75%)</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3,75,000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Effective rate on flat price</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5%</w:t>
            </w:r>
          </w:p>
        </w:tc>
      </w:tr>
    </w:tbl>
    <w:p>
      <w:pPr>
        <w:spacing w:after="60"/>
      </w:pPr>
    </w:p>
    <w:p>
      <w:pPr>
        <w:spacing w:after="120" w:line="276"/>
        <w:jc w:val="both"/>
      </w:pPr>
      <w:r>
        <w:rPr>
          <w:rFonts w:ascii="Verdana" w:cs="Verdana" w:eastAsia="Verdana" w:hAnsi="Verdana"/>
        </w:rPr>
        <w:t xml:space="preserve">Tax arises on each instalment as it is demanded or received, whichever is earlier. An instalment of Rs. 15,00,000 carries GST of Rs. 75,000.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212: The 80% test for FY 2025-26</w:t>
            </w:r>
          </w:p>
          <w:p>
            <w:pPr>
              <w:spacing w:after="60" w:line="260"/>
            </w:pPr>
            <w:r>
              <w:rPr>
                <w:rFonts w:ascii="Verdana" w:cs="Verdana" w:eastAsia="Verdana" w:hAnsi="Verdana"/>
                <w:sz w:val="20"/>
                <w:szCs w:val="20"/>
              </w:rPr>
              <w:t xml:space="preserve">Step 1: At least 80% of inputs and input services (excluding development rights, long-term lease premium, electricity, high speed diesel, motor spirit and natural gas) must come from registered persons. Capital goods are outside the test but must be bought from registered persons or taxed under reverse charge. No cement or capital goods were bought from unregistered persons.</w:t>
            </w:r>
          </w:p>
          <w:p>
            <w:pPr>
              <w:spacing w:after="60" w:line="260"/>
            </w:pPr>
            <w:r>
              <w:rPr>
                <w:rFonts w:ascii="Verdana" w:cs="Verdana" w:eastAsia="Verdana" w:hAnsi="Verdana"/>
                <w:sz w:val="20"/>
                <w:szCs w:val="20"/>
              </w:rPr>
              <w:t xml:space="preserve">Step 2: Required from registered suppliers = 80% of 20,00,00,000 = Rs. 16,00,00,000. Actual = Rs. 15,40,00,000, that is 77%.</w:t>
            </w:r>
          </w:p>
          <w:p>
            <w:pPr>
              <w:spacing w:after="60" w:line="260"/>
            </w:pPr>
            <w:r>
              <w:rPr>
                <w:rFonts w:ascii="Verdana" w:cs="Verdana" w:eastAsia="Verdana" w:hAnsi="Verdana"/>
                <w:sz w:val="20"/>
                <w:szCs w:val="20"/>
              </w:rPr>
              <w:t xml:space="preserve">Step 3: Shortfall = Rs. 60,00,000. Tax at 18% under reverse charge = Rs. 10,80,000 (CGST Rs. 5,40,000, SGST Rs. 5,40,000).</w:t>
            </w:r>
          </w:p>
          <w:p>
            <w:pPr>
              <w:spacing w:after="60" w:line="260"/>
            </w:pPr>
            <w:r>
              <w:rPr>
                <w:rFonts w:ascii="Verdana" w:cs="Verdana" w:eastAsia="Verdana" w:hAnsi="Verdana"/>
                <w:sz w:val="20"/>
                <w:szCs w:val="20"/>
              </w:rPr>
              <w:t xml:space="preserve">Step 4: Paid in cash through DRC-03 by 30 June 2026. There is no credit of this tax because the project is under the no-ITC scheme.</w:t>
            </w:r>
          </w:p>
        </w:tc>
      </w:tr>
    </w:tbl>
    <w:p>
      <w:pPr>
        <w:spacing w:after="60"/>
      </w:pPr>
    </w:p>
    <w:p>
      <w:pPr>
        <w:spacing w:after="120" w:line="276"/>
        <w:jc w:val="both"/>
      </w:pPr>
      <w:r>
        <w:rPr>
          <w:rFonts w:ascii="Verdana" w:cs="Verdana" w:eastAsia="Verdana" w:hAnsi="Verdana"/>
          <w:b/>
          <w:bCs/>
        </w:rPr>
        <w:t xml:space="preserve">Flats to the landowner.</w:t>
      </w:r>
      <w:r>
        <w:rPr>
          <w:rFonts w:ascii="Verdana" w:cs="Verdana" w:eastAsia="Verdana" w:hAnsi="Verdana"/>
        </w:rPr>
        <w:t xml:space="preserve"> The promoter supplies construction service to Mr. Patel in exchange for development rights. The value is the price of similar flats charged to independent buyers nearest to the date of the JDA, that is Rs. 60,00,000 per flat. Tax is due on the CC 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Value of 20 flats to landowner: 20 x 60,00,000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12,00,00,000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deemed land, one-third</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4,00,00,000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 value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8,00,00,000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GST at 7.5%, payable for December 2025</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Rs. 60,00,000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213: Development rights relating to unsold flats</w:t>
            </w:r>
          </w:p>
          <w:p>
            <w:pPr>
              <w:spacing w:after="60" w:line="260"/>
            </w:pPr>
            <w:r>
              <w:rPr>
                <w:rFonts w:ascii="Verdana" w:cs="Verdana" w:eastAsia="Verdana" w:hAnsi="Verdana"/>
                <w:sz w:val="20"/>
                <w:szCs w:val="20"/>
              </w:rPr>
              <w:t xml:space="preserve">Step 1: The value of development rights is taken at the value of the flats given for them, Rs. 12,00,00,000.</w:t>
            </w:r>
          </w:p>
          <w:p>
            <w:pPr>
              <w:spacing w:after="60" w:line="260"/>
            </w:pPr>
            <w:r>
              <w:rPr>
                <w:rFonts w:ascii="Verdana" w:cs="Verdana" w:eastAsia="Verdana" w:hAnsi="Verdana"/>
                <w:sz w:val="20"/>
                <w:szCs w:val="20"/>
              </w:rPr>
              <w:t xml:space="preserve">Step 2: Development rights are exempt to the extent of flats booked before CC. Treating the landowner's 20 flats and the 60 booked flats as sold, 80% is exempt and 20% relates to unsold flats.</w:t>
            </w:r>
          </w:p>
          <w:p>
            <w:pPr>
              <w:spacing w:after="60" w:line="260"/>
            </w:pPr>
            <w:r>
              <w:rPr>
                <w:rFonts w:ascii="Verdana" w:cs="Verdana" w:eastAsia="Verdana" w:hAnsi="Verdana"/>
                <w:sz w:val="20"/>
                <w:szCs w:val="20"/>
              </w:rPr>
              <w:t xml:space="preserve">Step 3: Tax on 20% under reverse charge at 18%: 2,40,00,000 x 18% = Rs. 43,20,000.</w:t>
            </w:r>
          </w:p>
          <w:p>
            <w:pPr>
              <w:spacing w:after="60" w:line="260"/>
            </w:pPr>
            <w:r>
              <w:rPr>
                <w:rFonts w:ascii="Verdana" w:cs="Verdana" w:eastAsia="Verdana" w:hAnsi="Verdana"/>
                <w:sz w:val="20"/>
                <w:szCs w:val="20"/>
              </w:rPr>
              <w:t xml:space="preserve">Step 4: Cap: 5% of the value of unsold flats at CC = 20 x 75,00,000 x 5% = Rs. 75,00,000.</w:t>
            </w:r>
          </w:p>
          <w:p>
            <w:pPr>
              <w:spacing w:after="60" w:line="260"/>
            </w:pPr>
            <w:r>
              <w:rPr>
                <w:rFonts w:ascii="Verdana" w:cs="Verdana" w:eastAsia="Verdana" w:hAnsi="Verdana"/>
                <w:sz w:val="20"/>
                <w:szCs w:val="20"/>
              </w:rPr>
              <w:t xml:space="preserve">Step 5: Tax payable by the promoter on the CC date is the lower, Rs. 43,20,000 (CGST Rs. 21,60,000, SGST Rs. 21,60,000).</w:t>
            </w:r>
          </w:p>
        </w:tc>
      </w:tr>
    </w:tbl>
    <w:p>
      <w:pPr>
        <w:spacing w:after="60"/>
      </w:pPr>
    </w:p>
    <w:p>
      <w:pPr>
        <w:spacing w:after="120" w:line="276"/>
        <w:jc w:val="both"/>
      </w:pPr>
      <w:r>
        <w:rPr>
          <w:rFonts w:ascii="Verdana" w:cs="Verdana" w:eastAsia="Verdana" w:hAnsi="Verdana"/>
          <w:b/>
          <w:bCs/>
        </w:rPr>
        <w:t xml:space="preserve">Sale after CC.</w:t>
      </w:r>
      <w:r>
        <w:rPr>
          <w:rFonts w:ascii="Verdana" w:cs="Verdana" w:eastAsia="Verdana" w:hAnsi="Verdana"/>
        </w:rPr>
        <w:t xml:space="preserve"> Under paragraph 5 of Schedule III, sale of a building is neither a supply of goods nor of services where the entire consideration is received after the CC. The 20 flats sold in 2026 for Rs. 16 crore bear no GST, only stamp duty. The tax cost of that exclusion was, in effect, paid through the development rights tax above.</w:t>
      </w:r>
    </w:p>
    <w:p>
      <w:pPr>
        <w:pStyle w:val="Heading2"/>
        <w:keepNext/>
        <w:spacing w:after="120" w:before="240"/>
      </w:pPr>
      <w:r>
        <w:rPr>
          <w:rFonts w:ascii="Verdana" w:cs="Verdana" w:eastAsia="Verdana" w:hAnsi="Verdana"/>
        </w:rPr>
        <w:t xml:space="preserve">49.4 Compliance and documentation</w:t>
      </w:r>
    </w:p>
    <w:p>
      <w:pPr>
        <w:pStyle w:val="ListParagraph"/>
        <w:numPr>
          <w:ilvl w:val="0"/>
          <w:numId w:val="2"/>
        </w:numPr>
        <w:spacing w:after="60" w:line="264"/>
      </w:pPr>
      <w:r>
        <w:rPr>
          <w:rFonts w:ascii="Verdana" w:cs="Verdana" w:eastAsia="Verdana" w:hAnsi="Verdana"/>
        </w:rPr>
        <w:t xml:space="preserve">GSTR-1 and GSTR-3B monthly; project-wise accounts are compulsory.</w:t>
      </w:r>
    </w:p>
    <w:p>
      <w:pPr>
        <w:pStyle w:val="ListParagraph"/>
        <w:numPr>
          <w:ilvl w:val="0"/>
          <w:numId w:val="2"/>
        </w:numPr>
        <w:spacing w:after="60" w:line="264"/>
      </w:pPr>
      <w:r>
        <w:rPr>
          <w:rFonts w:ascii="Verdana" w:cs="Verdana" w:eastAsia="Verdana" w:hAnsi="Verdana"/>
        </w:rPr>
        <w:t xml:space="preserve">December 2025 GSTR-3B: output tax on landowner flats and reverse charge on development rights, both in cash.</w:t>
      </w:r>
    </w:p>
    <w:p>
      <w:pPr>
        <w:pStyle w:val="ListParagraph"/>
        <w:numPr>
          <w:ilvl w:val="0"/>
          <w:numId w:val="2"/>
        </w:numPr>
        <w:spacing w:after="60" w:line="264"/>
      </w:pPr>
      <w:r>
        <w:rPr>
          <w:rFonts w:ascii="Verdana" w:cs="Verdana" w:eastAsia="Verdana" w:hAnsi="Verdana"/>
        </w:rPr>
        <w:t xml:space="preserve">DRC-03 for the 80% shortfall by 30 June 2026; a supplier-wise register of registered and unregistered purchases supports the working.</w:t>
      </w:r>
    </w:p>
    <w:p>
      <w:pPr>
        <w:pStyle w:val="ListParagraph"/>
        <w:numPr>
          <w:ilvl w:val="0"/>
          <w:numId w:val="2"/>
        </w:numPr>
        <w:spacing w:after="60" w:line="264"/>
      </w:pPr>
      <w:r>
        <w:rPr>
          <w:rFonts w:ascii="Verdana" w:cs="Verdana" w:eastAsia="Verdana" w:hAnsi="Verdana"/>
        </w:rPr>
        <w:t xml:space="preserve">Mr. Patel, if he sells his flats before CC, charges GST and can take credit of the tax charged by the promoter on his flats.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b/>
                <w:bCs/>
                <w:sz w:val="20"/>
                <w:szCs w:val="20"/>
              </w:rPr>
              <w:t xml:space="preserve">Lessons</w:t>
            </w:r>
          </w:p>
          <w:p>
            <w:pPr>
              <w:spacing w:after="60" w:line="260"/>
            </w:pPr>
            <w:r>
              <w:rPr>
                <w:rFonts w:ascii="Verdana" w:cs="Verdana" w:eastAsia="Verdana" w:hAnsi="Verdana"/>
                <w:sz w:val="20"/>
                <w:szCs w:val="20"/>
              </w:rPr>
              <w:t xml:space="preserve">Track the 80% test monthly. A shortfall found at the year end carries 18% tax that cannot be passed on.</w:t>
            </w:r>
          </w:p>
          <w:p>
            <w:pPr>
              <w:spacing w:after="60" w:line="260"/>
            </w:pPr>
            <w:r>
              <w:rPr>
                <w:rFonts w:ascii="Verdana" w:cs="Verdana" w:eastAsia="Verdana" w:hAnsi="Verdana"/>
                <w:sz w:val="20"/>
                <w:szCs w:val="20"/>
              </w:rPr>
              <w:t xml:space="preserve">The JDA date fixes the value of landowner flats; keep evidence of sale prices around that date.</w:t>
            </w:r>
          </w:p>
          <w:p>
            <w:pPr>
              <w:spacing w:after="60" w:line="260"/>
            </w:pPr>
            <w:r>
              <w:rPr>
                <w:rFonts w:ascii="Verdana" w:cs="Verdana" w:eastAsia="Verdana" w:hAnsi="Verdana"/>
                <w:sz w:val="20"/>
                <w:szCs w:val="20"/>
              </w:rPr>
              <w:t xml:space="preserve">Every unsold flat on the CC date costs development rights tax. Sales before CC reduce it.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Flats are taxed at an effective 5% after deducting one-third for land, without ITC.</w:t>
            </w:r>
          </w:p>
          <w:p>
            <w:pPr>
              <w:spacing w:after="60" w:line="260"/>
            </w:pPr>
            <w:r>
              <w:rPr>
                <w:rFonts w:ascii="Verdana" w:cs="Verdana" w:eastAsia="Verdana" w:hAnsi="Verdana"/>
                <w:sz w:val="20"/>
                <w:szCs w:val="20"/>
              </w:rPr>
              <w:t xml:space="preserve">•  A 77% procurement ratio led to reverse charge of Rs. 10,80,000 on the shortfall.</w:t>
            </w:r>
          </w:p>
          <w:p>
            <w:pPr>
              <w:spacing w:after="60" w:line="260"/>
            </w:pPr>
            <w:r>
              <w:rPr>
                <w:rFonts w:ascii="Verdana" w:cs="Verdana" w:eastAsia="Verdana" w:hAnsi="Verdana"/>
                <w:sz w:val="20"/>
                <w:szCs w:val="20"/>
              </w:rPr>
              <w:t xml:space="preserve">•  Landowner flats bore Rs. 60,00,000 and development rights for unsold flats Rs. 43,20,000, both on the CC date.</w:t>
            </w:r>
          </w:p>
          <w:p>
            <w:pPr>
              <w:spacing w:after="60" w:line="260"/>
            </w:pPr>
            <w:r>
              <w:rPr>
                <w:rFonts w:ascii="Verdana" w:cs="Verdana" w:eastAsia="Verdana" w:hAnsi="Verdana"/>
                <w:sz w:val="20"/>
                <w:szCs w:val="20"/>
              </w:rPr>
              <w:t xml:space="preserve">•  Flats sold wholly after CC are outside GST.</w:t>
            </w:r>
          </w:p>
        </w:tc>
      </w:tr>
    </w:tbl>
    <w:p>
      <w:pPr>
        <w:pStyle w:val="Heading1"/>
        <w:pageBreakBefore/>
        <w:spacing w:after="200" w:before="0"/>
      </w:pPr>
      <w:r>
        <w:rPr>
          <w:rFonts w:ascii="Verdana" w:cs="Verdana" w:eastAsia="Verdana" w:hAnsi="Verdana"/>
        </w:rPr>
        <w:t xml:space="preserve">50. Case Study 6: Hotel with Restaurant, Banquet and Catering</w:t>
      </w:r>
    </w:p>
    <w:p>
      <w:pPr>
        <w:pStyle w:val="Heading2"/>
        <w:keepNext/>
        <w:spacing w:after="120" w:before="240"/>
      </w:pPr>
      <w:r>
        <w:rPr>
          <w:rFonts w:ascii="Verdana" w:cs="Verdana" w:eastAsia="Verdana" w:hAnsi="Verdana"/>
        </w:rPr>
        <w:t xml:space="preserve">50.1 Facts</w:t>
      </w:r>
    </w:p>
    <w:p>
      <w:pPr>
        <w:spacing w:after="120" w:line="276"/>
        <w:jc w:val="both"/>
      </w:pPr>
      <w:r>
        <w:rPr>
          <w:rFonts w:ascii="Verdana" w:cs="Verdana" w:eastAsia="Verdana" w:hAnsi="Verdana"/>
        </w:rPr>
        <w:t xml:space="preserve">Hotel Girnar Residency, Rajkot, Gujarat, has 60 rooms, a restaurant and a banquet hall. In FY 2025-26 it sold its suites at Rs. 9,500 a night. It filed no declaration about specified premises. Supplies for </w:t>
      </w:r>
      <w:r>
        <w:rPr>
          <w:rFonts w:ascii="Verdana" w:cs="Verdana" w:eastAsia="Verdana" w:hAnsi="Verdana"/>
          <w:b/>
          <w:bCs/>
        </w:rPr>
        <w:t xml:space="preserve">June 2026</w:t>
      </w:r>
      <w:r>
        <w:rPr>
          <w:rFonts w:ascii="Verdana" w:cs="Verdana" w:eastAsia="Verdana" w:hAnsi="Verdana"/>
        </w:rPr>
        <w:t xml:space="preserve"> were: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17"/>
        <w:gridCol w:w="1907"/>
        <w:gridCol w:w="1204"/>
        <w:gridCol w:w="2110"/>
      </w:tblGrid>
      <w:tr>
        <w:trPr>
          <w:cantSplit/>
          <w:tblHeader/>
        </w:trPr>
        <w:tc>
          <w:tcPr>
            <w:tcW w:type="dxa" w:w="441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Supply</w:t>
            </w:r>
          </w:p>
        </w:tc>
        <w:tc>
          <w:tcPr>
            <w:tcW w:type="dxa" w:w="190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Value (Rs.)</w:t>
            </w:r>
          </w:p>
        </w:tc>
        <w:tc>
          <w:tcPr>
            <w:tcW w:type="dxa" w:w="1204"/>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Rate</w:t>
            </w:r>
          </w:p>
        </w:tc>
        <w:tc>
          <w:tcPr>
            <w:tcW w:type="dxa" w:w="211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GST (Rs.)</w:t>
            </w:r>
          </w:p>
        </w:tc>
      </w:tr>
      <w:tr>
        <w:trPr>
          <w:cantSplit/>
        </w:trPr>
        <w:tc>
          <w:tcPr>
            <w:tcW w:type="dxa" w:w="44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Standard rooms: 600 nights x 4,500</w:t>
            </w:r>
          </w:p>
        </w:tc>
        <w:tc>
          <w:tcPr>
            <w:tcW w:type="dxa" w:w="19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27,00,000</w:t>
            </w:r>
          </w:p>
        </w:tc>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w:t>
            </w:r>
          </w:p>
        </w:tc>
        <w:tc>
          <w:tcPr>
            <w:tcW w:type="dxa" w:w="21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1,35,000</w:t>
            </w:r>
          </w:p>
        </w:tc>
      </w:tr>
      <w:tr>
        <w:trPr>
          <w:cantSplit/>
        </w:trPr>
        <w:tc>
          <w:tcPr>
            <w:tcW w:type="dxa" w:w="44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Deluxe rooms: 300 nights x 6,800</w:t>
            </w:r>
          </w:p>
        </w:tc>
        <w:tc>
          <w:tcPr>
            <w:tcW w:type="dxa" w:w="19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20,40,000</w:t>
            </w:r>
          </w:p>
        </w:tc>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w:t>
            </w:r>
          </w:p>
        </w:tc>
        <w:tc>
          <w:tcPr>
            <w:tcW w:type="dxa" w:w="21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1,02,000</w:t>
            </w:r>
          </w:p>
        </w:tc>
      </w:tr>
      <w:tr>
        <w:trPr>
          <w:cantSplit/>
        </w:trPr>
        <w:tc>
          <w:tcPr>
            <w:tcW w:type="dxa" w:w="44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Suites: 60 nights x 9,500</w:t>
            </w:r>
          </w:p>
        </w:tc>
        <w:tc>
          <w:tcPr>
            <w:tcW w:type="dxa" w:w="19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5,70,000</w:t>
            </w:r>
          </w:p>
        </w:tc>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18%</w:t>
            </w:r>
          </w:p>
        </w:tc>
        <w:tc>
          <w:tcPr>
            <w:tcW w:type="dxa" w:w="21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1,02,600</w:t>
            </w:r>
          </w:p>
        </w:tc>
      </w:tr>
      <w:tr>
        <w:trPr>
          <w:cantSplit/>
        </w:trPr>
        <w:tc>
          <w:tcPr>
            <w:tcW w:type="dxa" w:w="44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Restaurant</w:t>
            </w:r>
          </w:p>
        </w:tc>
        <w:tc>
          <w:tcPr>
            <w:tcW w:type="dxa" w:w="19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30,00,000</w:t>
            </w:r>
          </w:p>
        </w:tc>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18%</w:t>
            </w:r>
          </w:p>
        </w:tc>
        <w:tc>
          <w:tcPr>
            <w:tcW w:type="dxa" w:w="21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5,40,000</w:t>
            </w:r>
          </w:p>
        </w:tc>
      </w:tr>
      <w:tr>
        <w:trPr>
          <w:cantSplit/>
        </w:trPr>
        <w:tc>
          <w:tcPr>
            <w:tcW w:type="dxa" w:w="44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Banquet with food, in the hotel</w:t>
            </w:r>
          </w:p>
        </w:tc>
        <w:tc>
          <w:tcPr>
            <w:tcW w:type="dxa" w:w="19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12,00,000</w:t>
            </w:r>
          </w:p>
        </w:tc>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18%</w:t>
            </w:r>
          </w:p>
        </w:tc>
        <w:tc>
          <w:tcPr>
            <w:tcW w:type="dxa" w:w="21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2,16,000</w:t>
            </w:r>
          </w:p>
        </w:tc>
      </w:tr>
      <w:tr>
        <w:trPr>
          <w:cantSplit/>
        </w:trPr>
        <w:tc>
          <w:tcPr>
            <w:tcW w:type="dxa" w:w="44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Outdoor catering at a client's farmhouse</w:t>
            </w:r>
          </w:p>
        </w:tc>
        <w:tc>
          <w:tcPr>
            <w:tcW w:type="dxa" w:w="19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4,90,000</w:t>
            </w:r>
          </w:p>
        </w:tc>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18%</w:t>
            </w:r>
          </w:p>
        </w:tc>
        <w:tc>
          <w:tcPr>
            <w:tcW w:type="dxa" w:w="21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88,200</w:t>
            </w:r>
          </w:p>
        </w:tc>
      </w:tr>
      <w:tr>
        <w:trPr>
          <w:cantSplit/>
        </w:trPr>
        <w:tc>
          <w:tcPr>
            <w:tcW w:type="dxa" w:w="4417"/>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w:t>
            </w:r>
          </w:p>
        </w:tc>
        <w:tc>
          <w:tcPr>
            <w:tcW w:type="dxa" w:w="1907"/>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1,00,00,000</w:t>
            </w:r>
          </w:p>
        </w:tc>
        <w:tc>
          <w:tcPr>
            <w:tcW w:type="dxa" w:w="1204"/>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p>
        </w:tc>
        <w:tc>
          <w:tcPr>
            <w:tcW w:type="dxa" w:w="211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11,83,800</w:t>
            </w:r>
          </w:p>
        </w:tc>
      </w:tr>
    </w:tbl>
    <w:p>
      <w:pPr>
        <w:spacing w:after="60"/>
      </w:pPr>
    </w:p>
    <w:p>
      <w:pPr>
        <w:spacing w:after="120" w:line="276"/>
        <w:jc w:val="both"/>
      </w:pPr>
      <w:r>
        <w:rPr>
          <w:rFonts w:ascii="Verdana" w:cs="Verdana" w:eastAsia="Verdana" w:hAnsi="Verdana"/>
        </w:rPr>
        <w:t xml:space="preserve">ITC for the month: kitchen equipment, crockery and commercial gas Rs. 2,40,000; room linen and amenities Rs. 1,06,200; common items (housekeeping, security, software, marketing, repairs) Rs. 3,20,000.</w:t>
      </w:r>
    </w:p>
    <w:p>
      <w:pPr>
        <w:pStyle w:val="Heading2"/>
        <w:keepNext/>
        <w:spacing w:after="120" w:before="240"/>
      </w:pPr>
      <w:r>
        <w:rPr>
          <w:rFonts w:ascii="Verdana" w:cs="Verdana" w:eastAsia="Verdana" w:hAnsi="Verdana"/>
        </w:rPr>
        <w:t xml:space="preserve">50.2 Issues</w:t>
      </w:r>
    </w:p>
    <w:p>
      <w:pPr>
        <w:pStyle w:val="ListParagraph"/>
        <w:numPr>
          <w:ilvl w:val="0"/>
          <w:numId w:val="2"/>
        </w:numPr>
        <w:spacing w:after="60" w:line="264"/>
      </w:pPr>
      <w:r>
        <w:rPr>
          <w:rFonts w:ascii="Verdana" w:cs="Verdana" w:eastAsia="Verdana" w:hAnsi="Verdana"/>
        </w:rPr>
        <w:t xml:space="preserve">Rate on each room around the Rs. 7,500 line.</w:t>
      </w:r>
    </w:p>
    <w:p>
      <w:pPr>
        <w:pStyle w:val="ListParagraph"/>
        <w:numPr>
          <w:ilvl w:val="0"/>
          <w:numId w:val="2"/>
        </w:numPr>
        <w:spacing w:after="60" w:line="264"/>
      </w:pPr>
      <w:r>
        <w:rPr>
          <w:rFonts w:ascii="Verdana" w:cs="Verdana" w:eastAsia="Verdana" w:hAnsi="Verdana"/>
        </w:rPr>
        <w:t xml:space="preserve">Whether the hotel is "specified premises" for FY 2026-27, and the effect on restaurant, banquet and catering.</w:t>
      </w:r>
    </w:p>
    <w:p>
      <w:pPr>
        <w:pStyle w:val="ListParagraph"/>
        <w:numPr>
          <w:ilvl w:val="0"/>
          <w:numId w:val="2"/>
        </w:numPr>
        <w:spacing w:after="60" w:line="264"/>
      </w:pPr>
      <w:r>
        <w:rPr>
          <w:rFonts w:ascii="Verdana" w:cs="Verdana" w:eastAsia="Verdana" w:hAnsi="Verdana"/>
        </w:rPr>
        <w:t xml:space="preserve">Credit eligibility and apportionment between supplies with and without ITC.</w:t>
      </w:r>
    </w:p>
    <w:p>
      <w:pPr>
        <w:pStyle w:val="Heading2"/>
        <w:keepNext/>
        <w:spacing w:after="120" w:before="240"/>
      </w:pPr>
      <w:r>
        <w:rPr>
          <w:rFonts w:ascii="Verdana" w:cs="Verdana" w:eastAsia="Verdana" w:hAnsi="Verdana"/>
        </w:rPr>
        <w:t xml:space="preserve">50.3 Analysis and computation</w:t>
      </w:r>
    </w:p>
    <w:p>
      <w:pPr>
        <w:spacing w:after="120" w:line="276"/>
        <w:jc w:val="both"/>
      </w:pPr>
      <w:r>
        <w:rPr>
          <w:rFonts w:ascii="Verdana" w:cs="Verdana" w:eastAsia="Verdana" w:hAnsi="Verdana"/>
          <w:b/>
          <w:bCs/>
        </w:rPr>
        <w:t xml:space="preserve">Rooms.</w:t>
      </w:r>
      <w:r>
        <w:rPr>
          <w:rFonts w:ascii="Verdana" w:cs="Verdana" w:eastAsia="Verdana" w:hAnsi="Verdana"/>
        </w:rPr>
        <w:t xml:space="preserve"> The test is the value of supply per unit per day, not a published tariff. A room at Rs. 7,500 or less is taxed at 5% without ITC; above Rs. 7,500 at 18% with ITC. The test runs room night by room night. A suite with a list price of Rs. 9,500 sold at Rs. 7,200 after a corporate discount is taxed at 5% on Rs. 7,200. Extra bed charges are part of the value of that unit. The place of supply is the hotel's location, so every guest, from any State, pays CGST and SGST.</w:t>
      </w:r>
    </w:p>
    <w:p>
      <w:pPr>
        <w:spacing w:after="120" w:line="276"/>
        <w:jc w:val="both"/>
      </w:pPr>
      <w:r>
        <w:rPr>
          <w:rFonts w:ascii="Verdana" w:cs="Verdana" w:eastAsia="Verdana" w:hAnsi="Verdana"/>
          <w:b/>
          <w:bCs/>
        </w:rPr>
        <w:t xml:space="preserve">Specified premises.</w:t>
      </w:r>
      <w:r>
        <w:rPr>
          <w:rFonts w:ascii="Verdana" w:cs="Verdana" w:eastAsia="Verdana" w:hAnsi="Verdana"/>
        </w:rPr>
        <w:t xml:space="preserve"> From 1 April 2025, premises are specified premises for a financial year if the hotel supplied any unit of accommodation at a value above Rs. 7,500 per day in the preceding financial year, or if it opts in by a declaration filed between 1 January and 31 March of the preceding year. Girnar sold suites at Rs. 9,500 in FY 2025-26, so it is specified premises for the whole of FY 2026-27.</w:t>
      </w:r>
    </w:p>
    <w:p>
      <w:pPr>
        <w:spacing w:after="120" w:line="276"/>
        <w:jc w:val="both"/>
      </w:pPr>
      <w:r>
        <w:rPr>
          <w:rFonts w:ascii="Verdana" w:cs="Verdana" w:eastAsia="Verdana" w:hAnsi="Verdana"/>
        </w:rPr>
        <w:t xml:space="preserve">The consequences are wide. Restaurant service moves to 18% with ITC. The 5% entries for outdoor catering and for catering with renting of premises exclude suppliers providing hotel accommodation at specified premises, so the banquet and even catering at a client's farmhouse go to 18%. Readers should check the current wording of the rate notification for these entries.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214: Apportionment of credit for June 2026</w:t>
            </w:r>
          </w:p>
          <w:p>
            <w:pPr>
              <w:spacing w:after="60" w:line="260"/>
            </w:pPr>
            <w:r>
              <w:rPr>
                <w:rFonts w:ascii="Verdana" w:cs="Verdana" w:eastAsia="Verdana" w:hAnsi="Verdana"/>
                <w:sz w:val="20"/>
                <w:szCs w:val="20"/>
              </w:rPr>
              <w:t xml:space="preserve">Step 1: Kitchen credit is used only for restaurant, banquet and catering, all at 18% with ITC. Eligible in full: Rs. 2,40,000.</w:t>
            </w:r>
          </w:p>
          <w:p>
            <w:pPr>
              <w:spacing w:after="60" w:line="260"/>
            </w:pPr>
            <w:r>
              <w:rPr>
                <w:rFonts w:ascii="Verdana" w:cs="Verdana" w:eastAsia="Verdana" w:hAnsi="Verdana"/>
                <w:sz w:val="20"/>
                <w:szCs w:val="20"/>
              </w:rPr>
              <w:t xml:space="preserve">Step 2: Room linen serves all rooms. Split on room revenue: suites 5,70,000 out of 53,10,000. Eligible = 1,06,200 x 5,70,000 / 53,10,000 = Rs. 11,400; not eligible Rs. 94,800.</w:t>
            </w:r>
          </w:p>
          <w:p>
            <w:pPr>
              <w:spacing w:after="60" w:line="260"/>
            </w:pPr>
            <w:r>
              <w:rPr>
                <w:rFonts w:ascii="Verdana" w:cs="Verdana" w:eastAsia="Verdana" w:hAnsi="Verdana"/>
                <w:sz w:val="20"/>
                <w:szCs w:val="20"/>
              </w:rPr>
              <w:t xml:space="preserve">Step 3: Common credit split on total turnover. Supplies without ITC (rooms at 5%) = Rs. 47,40,000; total = Rs. 1,00,00,000. Not eligible = 3,20,000 x 47,40,000 / 1,00,00,000 = Rs. 1,51,680. Eligible Rs. 1,68,320.</w:t>
            </w:r>
          </w:p>
          <w:p>
            <w:pPr>
              <w:spacing w:after="60" w:line="260"/>
            </w:pPr>
            <w:r>
              <w:rPr>
                <w:rFonts w:ascii="Verdana" w:cs="Verdana" w:eastAsia="Verdana" w:hAnsi="Verdana"/>
                <w:sz w:val="20"/>
                <w:szCs w:val="20"/>
              </w:rPr>
              <w:t xml:space="preserve">Step 4: Eligible ITC = 2,40,000 + 11,400 + 1,68,320 = Rs. 4,19,720. Not eligible = Rs. 2,46,480.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Output tax for June 2026</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11,83,800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eligible ITC (may be used against 5% room tax too)</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4,19,720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Cash payable (CGST and SGST in equal halves)</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Rs. 7,64,080</w:t>
            </w:r>
          </w:p>
        </w:tc>
      </w:tr>
    </w:tbl>
    <w:p>
      <w:pPr>
        <w:spacing w:after="60"/>
      </w:pPr>
    </w:p>
    <w:p>
      <w:pPr>
        <w:spacing w:after="120" w:line="276"/>
        <w:jc w:val="both"/>
      </w:pPr>
      <w:r>
        <w:rPr>
          <w:rFonts w:ascii="Verdana" w:cs="Verdana" w:eastAsia="Verdana" w:hAnsi="Verdana"/>
        </w:rPr>
        <w:t xml:space="preserve">The alternative the hotel should consider for FY 2027-28 is to cap every room at Rs. 7,500 during FY 2026-27. It would then not be specified premises in FY 2027-28 (unless it opts in), and the table below shows what walk-in guests would pay.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5"/>
        <w:gridCol w:w="2811"/>
        <w:gridCol w:w="2812"/>
      </w:tblGrid>
      <w:tr>
        <w:trPr>
          <w:cantSplit/>
          <w:tblHeader/>
        </w:trPr>
        <w:tc>
          <w:tcPr>
            <w:tcW w:type="dxa" w:w="401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Guest bill before tax</w:t>
            </w:r>
          </w:p>
        </w:tc>
        <w:tc>
          <w:tcPr>
            <w:tcW w:type="dxa" w:w="281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Specified premises (18%)</w:t>
            </w:r>
          </w:p>
        </w:tc>
        <w:tc>
          <w:tcPr>
            <w:tcW w:type="dxa" w:w="281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Not specified (5%)</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Dinner for four, Rs. 10,000</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11,800</w:t>
            </w:r>
          </w:p>
        </w:tc>
        <w:tc>
          <w:tcPr>
            <w:tcW w:type="dxa" w:w="28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10,500</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Banquet for a family function, Rs. 2,00,000</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2,36,000</w:t>
            </w:r>
          </w:p>
        </w:tc>
        <w:tc>
          <w:tcPr>
            <w:tcW w:type="dxa" w:w="28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2,10,000</w:t>
            </w:r>
          </w:p>
        </w:tc>
      </w:tr>
      <w:tr>
        <w:trPr>
          <w:cantSplit/>
        </w:trPr>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Corporate conference (client takes ITC), Rs. 2,00,000</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Net cost Rs. 2,00,000</w:t>
            </w:r>
          </w:p>
        </w:tc>
        <w:tc>
          <w:tcPr>
            <w:tcW w:type="dxa" w:w="28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Net cost Rs. 2,10,000</w:t>
            </w:r>
          </w:p>
        </w:tc>
      </w:tr>
    </w:tbl>
    <w:p>
      <w:pPr>
        <w:spacing w:after="60"/>
      </w:pPr>
    </w:p>
    <w:p>
      <w:pPr>
        <w:spacing w:after="120" w:line="276"/>
        <w:jc w:val="both"/>
      </w:pPr>
      <w:r>
        <w:rPr>
          <w:rFonts w:ascii="Verdana" w:cs="Verdana" w:eastAsia="Verdana" w:hAnsi="Verdana"/>
        </w:rPr>
        <w:t xml:space="preserve">The hotel would lose the Rs. 2,40,000 kitchen credit and part of the common credit each month, and the income on suites. The choice depends on the mix of walk-in diners and corporate clients.</w:t>
      </w:r>
    </w:p>
    <w:p>
      <w:pPr>
        <w:pStyle w:val="Heading2"/>
        <w:keepNext/>
        <w:spacing w:after="120" w:before="240"/>
      </w:pPr>
      <w:r>
        <w:rPr>
          <w:rFonts w:ascii="Verdana" w:cs="Verdana" w:eastAsia="Verdana" w:hAnsi="Verdana"/>
        </w:rPr>
        <w:t xml:space="preserve">50.4 Compliance and documentation</w:t>
      </w:r>
    </w:p>
    <w:p>
      <w:pPr>
        <w:pStyle w:val="ListParagraph"/>
        <w:numPr>
          <w:ilvl w:val="0"/>
          <w:numId w:val="2"/>
        </w:numPr>
        <w:spacing w:after="60" w:line="264"/>
      </w:pPr>
      <w:r>
        <w:rPr>
          <w:rFonts w:ascii="Verdana" w:cs="Verdana" w:eastAsia="Verdana" w:hAnsi="Verdana"/>
        </w:rPr>
        <w:t xml:space="preserve">Separate tax invoices, or separate lines, for room, food and banquet, with the room rate per night visible.</w:t>
      </w:r>
    </w:p>
    <w:p>
      <w:pPr>
        <w:pStyle w:val="ListParagraph"/>
        <w:numPr>
          <w:ilvl w:val="0"/>
          <w:numId w:val="2"/>
        </w:numPr>
        <w:spacing w:after="60" w:line="264"/>
      </w:pPr>
      <w:r>
        <w:rPr>
          <w:rFonts w:ascii="Verdana" w:cs="Verdana" w:eastAsia="Verdana" w:hAnsi="Verdana"/>
        </w:rPr>
        <w:t xml:space="preserve">Rule 42 working each month for common credit, with the annual true-up.</w:t>
      </w:r>
    </w:p>
    <w:p>
      <w:pPr>
        <w:pStyle w:val="ListParagraph"/>
        <w:numPr>
          <w:ilvl w:val="0"/>
          <w:numId w:val="2"/>
        </w:numPr>
        <w:spacing w:after="60" w:line="264"/>
      </w:pPr>
      <w:r>
        <w:rPr>
          <w:rFonts w:ascii="Verdana" w:cs="Verdana" w:eastAsia="Verdana" w:hAnsi="Verdana"/>
        </w:rPr>
        <w:t xml:space="preserve">A note in the file for each year on specified premises status and the evidence (highest room value in the preceding year, or the declaration).</w:t>
      </w:r>
    </w:p>
    <w:p>
      <w:pPr>
        <w:pStyle w:val="ListParagraph"/>
        <w:numPr>
          <w:ilvl w:val="0"/>
          <w:numId w:val="2"/>
        </w:numPr>
        <w:spacing w:after="60" w:line="264"/>
      </w:pPr>
      <w:r>
        <w:rPr>
          <w:rFonts w:ascii="Verdana" w:cs="Verdana" w:eastAsia="Verdana" w:hAnsi="Verdana"/>
        </w:rPr>
        <w:t xml:space="preserve">Room bookings through an online platform: where the hotel is registered, it pays tax itself; the platform does not pay under section 9(5).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b/>
                <w:bCs/>
                <w:sz w:val="20"/>
                <w:szCs w:val="20"/>
              </w:rPr>
              <w:t xml:space="preserve">Lessons</w:t>
            </w:r>
          </w:p>
          <w:p>
            <w:pPr>
              <w:spacing w:after="60" w:line="260"/>
            </w:pPr>
            <w:r>
              <w:rPr>
                <w:rFonts w:ascii="Verdana" w:cs="Verdana" w:eastAsia="Verdana" w:hAnsi="Verdana"/>
                <w:sz w:val="20"/>
                <w:szCs w:val="20"/>
              </w:rPr>
              <w:t xml:space="preserve">A single suite sold above Rs. 7,500 in one year changes the restaurant rate for the whole of the next year.</w:t>
            </w:r>
          </w:p>
          <w:p>
            <w:pPr>
              <w:spacing w:after="60" w:line="260"/>
            </w:pPr>
            <w:r>
              <w:rPr>
                <w:rFonts w:ascii="Verdana" w:cs="Verdana" w:eastAsia="Verdana" w:hAnsi="Verdana"/>
                <w:sz w:val="20"/>
                <w:szCs w:val="20"/>
              </w:rPr>
              <w:t xml:space="preserve">Room credit is split between 5% and 18% rooms; kitchen credit follows the restaurant status.</w:t>
            </w:r>
          </w:p>
          <w:p>
            <w:pPr>
              <w:spacing w:after="60" w:line="260"/>
            </w:pPr>
            <w:r>
              <w:rPr>
                <w:rFonts w:ascii="Verdana" w:cs="Verdana" w:eastAsia="Verdana" w:hAnsi="Verdana"/>
                <w:sz w:val="20"/>
                <w:szCs w:val="20"/>
              </w:rPr>
              <w:t xml:space="preserve">Credit validly taken can be used to pay the 5% room tax; the ledger is not ring-fenced by supply.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Rooms are taxed night by night at 5% up to Rs. 7,500 and 18% above.</w:t>
            </w:r>
          </w:p>
          <w:p>
            <w:pPr>
              <w:spacing w:after="60" w:line="260"/>
            </w:pPr>
            <w:r>
              <w:rPr>
                <w:rFonts w:ascii="Verdana" w:cs="Verdana" w:eastAsia="Verdana" w:hAnsi="Verdana"/>
                <w:sz w:val="20"/>
                <w:szCs w:val="20"/>
              </w:rPr>
              <w:t xml:space="preserve">•  Suites sold at Rs. 9,500 in FY 2025-26 made the hotel specified premises for FY 2026-27.</w:t>
            </w:r>
          </w:p>
          <w:p>
            <w:pPr>
              <w:spacing w:after="60" w:line="260"/>
            </w:pPr>
            <w:r>
              <w:rPr>
                <w:rFonts w:ascii="Verdana" w:cs="Verdana" w:eastAsia="Verdana" w:hAnsi="Verdana"/>
                <w:sz w:val="20"/>
                <w:szCs w:val="20"/>
              </w:rPr>
              <w:t xml:space="preserve">•  Restaurant, banquet and catering then go to 18% with ITC.</w:t>
            </w:r>
          </w:p>
          <w:p>
            <w:pPr>
              <w:spacing w:after="60" w:line="260"/>
            </w:pPr>
            <w:r>
              <w:rPr>
                <w:rFonts w:ascii="Verdana" w:cs="Verdana" w:eastAsia="Verdana" w:hAnsi="Verdana"/>
                <w:sz w:val="20"/>
                <w:szCs w:val="20"/>
              </w:rPr>
              <w:t xml:space="preserve">•  Eligible credit for June 2026 is Rs. 4,19,720 and cash payable Rs. 7,64,080.</w:t>
            </w:r>
          </w:p>
        </w:tc>
      </w:tr>
    </w:tbl>
    <w:p>
      <w:pPr>
        <w:pStyle w:val="Heading1"/>
        <w:pageBreakBefore/>
        <w:spacing w:after="200" w:before="0"/>
      </w:pPr>
      <w:r>
        <w:rPr>
          <w:rFonts w:ascii="Verdana" w:cs="Verdana" w:eastAsia="Verdana" w:hAnsi="Verdana"/>
        </w:rPr>
        <w:t xml:space="preserve">51. Case Study 7: E-commerce Seller on a Marketplace</w:t>
      </w:r>
    </w:p>
    <w:p>
      <w:pPr>
        <w:pStyle w:val="Heading2"/>
        <w:keepNext/>
        <w:spacing w:after="120" w:before="240"/>
      </w:pPr>
      <w:r>
        <w:rPr>
          <w:rFonts w:ascii="Verdana" w:cs="Verdana" w:eastAsia="Verdana" w:hAnsi="Verdana"/>
        </w:rPr>
        <w:t xml:space="preserve">51.1 Facts</w:t>
      </w:r>
    </w:p>
    <w:p>
      <w:pPr>
        <w:spacing w:after="120" w:line="276"/>
        <w:jc w:val="both"/>
      </w:pPr>
      <w:r>
        <w:rPr>
          <w:rFonts w:ascii="Verdana" w:cs="Verdana" w:eastAsia="Verdana" w:hAnsi="Verdana"/>
        </w:rPr>
        <w:t xml:space="preserve">Rangoli Home Decor LLP, Jaipur, Rajasthan, sells home decor goods taxed at 18% through a marketplace, ShopKart. It keeps stock in the marketplace's fulfilment centre at Bhiwandi, Maharashtra, and is registered in Rajasthan and Maharashtra. Its aggregate turnover for the previous year was Rs. 6.2 crore. In August 2026 it sent stock costing Rs. 10,00,000 from Jaipur to Bhiwandi. Sales from the Maharashtra GSTIN for </w:t>
      </w:r>
      <w:r>
        <w:rPr>
          <w:rFonts w:ascii="Verdana" w:cs="Verdana" w:eastAsia="Verdana" w:hAnsi="Verdana"/>
          <w:b/>
          <w:bCs/>
        </w:rPr>
        <w:t xml:space="preserve">August 2026</w:t>
      </w:r>
      <w:r>
        <w:rPr>
          <w:rFonts w:ascii="Verdana" w:cs="Verdana" w:eastAsia="Verdana" w:hAnsi="Verdana"/>
        </w:rPr>
        <w:t xml:space="preserve"> were: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17"/>
        <w:gridCol w:w="2610"/>
        <w:gridCol w:w="2611"/>
      </w:tblGrid>
      <w:tr>
        <w:trPr>
          <w:cantSplit/>
          <w:tblHeader/>
        </w:trPr>
        <w:tc>
          <w:tcPr>
            <w:tcW w:type="dxa" w:w="441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Maharashtra GSTIN, August 2026</w:t>
            </w:r>
          </w:p>
        </w:tc>
        <w:tc>
          <w:tcPr>
            <w:tcW w:type="dxa" w:w="261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Seller books (Rs.)</w:t>
            </w:r>
          </w:p>
        </w:tc>
        <w:tc>
          <w:tcPr>
            <w:tcW w:type="dxa" w:w="261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ShopKart report (Rs.)</w:t>
            </w:r>
          </w:p>
        </w:tc>
      </w:tr>
      <w:tr>
        <w:trPr>
          <w:cantSplit/>
        </w:trPr>
        <w:tc>
          <w:tcPr>
            <w:tcW w:type="dxa" w:w="44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Intra-State sales (gross)</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12,00,000</w:t>
            </w:r>
          </w:p>
        </w:tc>
        <w:tc>
          <w:tcPr>
            <w:tcW w:type="dxa" w:w="26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12,00,000</w:t>
            </w:r>
          </w:p>
        </w:tc>
      </w:tr>
      <w:tr>
        <w:trPr>
          <w:cantSplit/>
        </w:trPr>
        <w:tc>
          <w:tcPr>
            <w:tcW w:type="dxa" w:w="44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Intra-State returns</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w:t>
            </w:r>
          </w:p>
        </w:tc>
        <w:tc>
          <w:tcPr>
            <w:tcW w:type="dxa" w:w="26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w:t>
            </w:r>
          </w:p>
        </w:tc>
      </w:tr>
      <w:tr>
        <w:trPr>
          <w:cantSplit/>
        </w:trPr>
        <w:tc>
          <w:tcPr>
            <w:tcW w:type="dxa" w:w="44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Inter-State sales (gross)</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18,00,000</w:t>
            </w:r>
          </w:p>
        </w:tc>
        <w:tc>
          <w:tcPr>
            <w:tcW w:type="dxa" w:w="26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18,00,000</w:t>
            </w:r>
          </w:p>
        </w:tc>
      </w:tr>
      <w:tr>
        <w:trPr>
          <w:cantSplit/>
        </w:trPr>
        <w:tc>
          <w:tcPr>
            <w:tcW w:type="dxa" w:w="44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Inter-State returns</w:t>
            </w:r>
          </w:p>
        </w:tc>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2,00,000</w:t>
            </w:r>
          </w:p>
        </w:tc>
        <w:tc>
          <w:tcPr>
            <w:tcW w:type="dxa" w:w="26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1,50,000</w:t>
            </w:r>
          </w:p>
        </w:tc>
      </w:tr>
      <w:tr>
        <w:trPr>
          <w:cantSplit/>
        </w:trPr>
        <w:tc>
          <w:tcPr>
            <w:tcW w:type="dxa" w:w="4417"/>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Net taxable value</w:t>
            </w:r>
          </w:p>
        </w:tc>
        <w:tc>
          <w:tcPr>
            <w:tcW w:type="dxa" w:w="261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27,00,000</w:t>
            </w:r>
          </w:p>
        </w:tc>
        <w:tc>
          <w:tcPr>
            <w:tcW w:type="dxa" w:w="2611"/>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27,50,000</w:t>
            </w:r>
          </w:p>
        </w:tc>
      </w:tr>
    </w:tbl>
    <w:p>
      <w:pPr>
        <w:spacing w:after="60"/>
      </w:pPr>
    </w:p>
    <w:p>
      <w:pPr>
        <w:spacing w:after="120" w:line="276"/>
        <w:jc w:val="both"/>
      </w:pPr>
      <w:r>
        <w:rPr>
          <w:rFonts w:ascii="Verdana" w:cs="Verdana" w:eastAsia="Verdana" w:hAnsi="Verdana"/>
        </w:rPr>
        <w:t xml:space="preserve">A return of Rs. 50,000 received on 31 August was credited by ShopKart to the customer on 2 September. ShopKart charged commission of Rs. 3,00,000 plus GST of Rs. 54,000 on its Maharashtra invoice. Other credits for the month were Rs. 40,000 (CGST and SGST in equal halves).</w:t>
      </w:r>
    </w:p>
    <w:p>
      <w:pPr>
        <w:pStyle w:val="Heading2"/>
        <w:keepNext/>
        <w:spacing w:after="120" w:before="240"/>
      </w:pPr>
      <w:r>
        <w:rPr>
          <w:rFonts w:ascii="Verdana" w:cs="Verdana" w:eastAsia="Verdana" w:hAnsi="Verdana"/>
        </w:rPr>
        <w:t xml:space="preserve">51.2 Issues</w:t>
      </w:r>
    </w:p>
    <w:p>
      <w:pPr>
        <w:pStyle w:val="ListParagraph"/>
        <w:numPr>
          <w:ilvl w:val="0"/>
          <w:numId w:val="2"/>
        </w:numPr>
        <w:spacing w:after="60" w:line="264"/>
      </w:pPr>
      <w:r>
        <w:rPr>
          <w:rFonts w:ascii="Verdana" w:cs="Verdana" w:eastAsia="Verdana" w:hAnsi="Verdana"/>
        </w:rPr>
        <w:t xml:space="preserve">Registration and the status of the two GSTINs as distinct persons.</w:t>
      </w:r>
    </w:p>
    <w:p>
      <w:pPr>
        <w:pStyle w:val="ListParagraph"/>
        <w:numPr>
          <w:ilvl w:val="0"/>
          <w:numId w:val="2"/>
        </w:numPr>
        <w:spacing w:after="60" w:line="264"/>
      </w:pPr>
      <w:r>
        <w:rPr>
          <w:rFonts w:ascii="Verdana" w:cs="Verdana" w:eastAsia="Verdana" w:hAnsi="Verdana"/>
        </w:rPr>
        <w:t xml:space="preserve">Value of the stock transfer.</w:t>
      </w:r>
    </w:p>
    <w:p>
      <w:pPr>
        <w:pStyle w:val="ListParagraph"/>
        <w:numPr>
          <w:ilvl w:val="0"/>
          <w:numId w:val="2"/>
        </w:numPr>
        <w:spacing w:after="60" w:line="264"/>
      </w:pPr>
      <w:r>
        <w:rPr>
          <w:rFonts w:ascii="Verdana" w:cs="Verdana" w:eastAsia="Verdana" w:hAnsi="Verdana"/>
        </w:rPr>
        <w:t xml:space="preserve">TCS under section 52, credit notes on returns and reconciliation with GSTR-8 and the settlement report.</w:t>
      </w:r>
    </w:p>
    <w:p>
      <w:pPr>
        <w:pStyle w:val="ListParagraph"/>
        <w:numPr>
          <w:ilvl w:val="0"/>
          <w:numId w:val="2"/>
        </w:numPr>
        <w:spacing w:after="60" w:line="264"/>
      </w:pPr>
      <w:r>
        <w:rPr>
          <w:rFonts w:ascii="Verdana" w:cs="Verdana" w:eastAsia="Verdana" w:hAnsi="Verdana"/>
        </w:rPr>
        <w:t xml:space="preserve">E-invoice and e-way bill.</w:t>
      </w:r>
    </w:p>
    <w:p>
      <w:pPr>
        <w:pStyle w:val="Heading2"/>
        <w:keepNext/>
        <w:spacing w:after="120" w:before="240"/>
      </w:pPr>
      <w:r>
        <w:rPr>
          <w:rFonts w:ascii="Verdana" w:cs="Verdana" w:eastAsia="Verdana" w:hAnsi="Verdana"/>
        </w:rPr>
        <w:t xml:space="preserve">51.3 Analysis and computation</w:t>
      </w:r>
    </w:p>
    <w:p>
      <w:pPr>
        <w:spacing w:after="120" w:line="276"/>
        <w:jc w:val="both"/>
      </w:pPr>
      <w:r>
        <w:rPr>
          <w:rFonts w:ascii="Verdana" w:cs="Verdana" w:eastAsia="Verdana" w:hAnsi="Verdana"/>
        </w:rPr>
        <w:t xml:space="preserve">A person supplying goods through an operator who collects TCS must register regardless of turnover (section 24), subject only to the limited exemption for small sellers making intra-State supplies of goods, which does not help a seller with inter-State sales. Stock kept in Maharashtra makes that place a place of business, so a Maharashtra registration is needed. The two registrations are distinct persons under section 25(4), and the stock transfer is a supply under Schedule 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215: Value of the stock transfer</w:t>
            </w:r>
          </w:p>
          <w:p>
            <w:pPr>
              <w:spacing w:after="60" w:line="260"/>
            </w:pPr>
            <w:r>
              <w:rPr>
                <w:rFonts w:ascii="Verdana" w:cs="Verdana" w:eastAsia="Verdana" w:hAnsi="Verdana"/>
                <w:sz w:val="20"/>
                <w:szCs w:val="20"/>
              </w:rPr>
              <w:t xml:space="preserve">Step 1: Under rule 28, where the receiving unit is eligible for full credit, the value declared in the invoice is deemed to be the open market value (second proviso).</w:t>
            </w:r>
          </w:p>
          <w:p>
            <w:pPr>
              <w:spacing w:after="60" w:line="260"/>
            </w:pPr>
            <w:r>
              <w:rPr>
                <w:rFonts w:ascii="Verdana" w:cs="Verdana" w:eastAsia="Verdana" w:hAnsi="Verdana"/>
                <w:sz w:val="20"/>
                <w:szCs w:val="20"/>
              </w:rPr>
              <w:t xml:space="preserve">Step 2: The alternative for goods meant for resale is 90% of the price charged to unrelated customers. ShopKart price of the same stock is Rs. 15,00,000, so 90% would be Rs. 13,50,000.</w:t>
            </w:r>
          </w:p>
          <w:p>
            <w:pPr>
              <w:spacing w:after="60" w:line="260"/>
            </w:pPr>
            <w:r>
              <w:rPr>
                <w:rFonts w:ascii="Verdana" w:cs="Verdana" w:eastAsia="Verdana" w:hAnsi="Verdana"/>
                <w:sz w:val="20"/>
                <w:szCs w:val="20"/>
              </w:rPr>
              <w:t xml:space="preserve">Step 3: The Maharashtra GSTIN makes only taxable supplies and gets full credit. Rangoli declares Rs. 10,00,000 and charges IGST of Rs. 1,80,000. The Rajasthan GSTIN pays it and the Maharashtra GSTIN takes the credit.</w:t>
            </w:r>
          </w:p>
        </w:tc>
      </w:tr>
    </w:tbl>
    <w:p>
      <w:pPr>
        <w:spacing w:after="60"/>
      </w:pPr>
    </w:p>
    <w:p>
      <w:pPr>
        <w:spacing w:after="120" w:line="276"/>
        <w:jc w:val="both"/>
      </w:pPr>
      <w:r>
        <w:rPr>
          <w:rFonts w:ascii="Verdana" w:cs="Verdana" w:eastAsia="Verdana" w:hAnsi="Verdana"/>
          <w:b/>
          <w:bCs/>
        </w:rPr>
        <w:t xml:space="preserve">Returns.</w:t>
      </w:r>
      <w:r>
        <w:rPr>
          <w:rFonts w:ascii="Verdana" w:cs="Verdana" w:eastAsia="Verdana" w:hAnsi="Verdana"/>
        </w:rPr>
        <w:t xml:space="preserve"> Each return is a credit note under section 34 issued through the platform. For consumers there is no ITC to reverse, so the section 34(2) condition does not arise. For the few business buyers on the platform, the credit note reduces Rangoli's tax only when the buyer reverses the credit through IMS.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TCS on intra-State: 11,00,000 x 0.5% (CGST 0.25% + SGST 0.25%)</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5,500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TCS on inter-State as per ShopKart: 16,50,000 x 0.5% IGST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8,250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TCS collected by ShopKart for August</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Rs. 13,750</w:t>
            </w:r>
          </w:p>
        </w:tc>
      </w:tr>
    </w:tbl>
    <w:p>
      <w:pPr>
        <w:spacing w:after="60"/>
      </w:pPr>
    </w:p>
    <w:p>
      <w:pPr>
        <w:spacing w:after="120" w:line="276"/>
        <w:jc w:val="both"/>
      </w:pPr>
      <w:r>
        <w:rPr>
          <w:rFonts w:ascii="Verdana" w:cs="Verdana" w:eastAsia="Verdana" w:hAnsi="Verdana"/>
        </w:rPr>
        <w:t xml:space="preserve">The settlement report is then reconciled to the payment received.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Collected from customers net of refunds: 27,50,000 x 118%</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32,45,000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commission</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3,00,000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GST on commission</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54,000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GST TCS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13,750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income-tax deducted (see the companion guide on the Income-tax Act, 2025)</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2,750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Net payout received in bank</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Rs. 28,74,500</w:t>
            </w:r>
          </w:p>
        </w:tc>
      </w:tr>
    </w:tbl>
    <w:p>
      <w:pPr>
        <w:spacing w:after="60"/>
      </w:pPr>
    </w:p>
    <w:p>
      <w:pPr>
        <w:spacing w:after="120" w:line="276"/>
        <w:jc w:val="both"/>
      </w:pPr>
      <w:r>
        <w:rPr>
          <w:rFonts w:ascii="Verdana" w:cs="Verdana" w:eastAsia="Verdana" w:hAnsi="Verdana"/>
        </w:rPr>
        <w:t xml:space="preserve">The only difference between GSTR-1 and ShopKart's GSTR-8 is the Rs. 50,000 return, a timing difference. ShopKart will reduce September's value, and TCS of Rs. 250 will be adjusted then.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216: GSTR-3B of the Maharashtra GSTIN for August 2026</w:t>
            </w:r>
          </w:p>
          <w:p>
            <w:pPr>
              <w:spacing w:after="60" w:line="260"/>
            </w:pPr>
            <w:r>
              <w:rPr>
                <w:rFonts w:ascii="Verdana" w:cs="Verdana" w:eastAsia="Verdana" w:hAnsi="Verdana"/>
                <w:sz w:val="20"/>
                <w:szCs w:val="20"/>
              </w:rPr>
              <w:t xml:space="preserve">Step 1: Output tax: IGST Rs. 2,88,000 on 16,00,000; CGST Rs. 99,000 and SGST Rs. 99,000 on 11,00,000.</w:t>
            </w:r>
          </w:p>
          <w:p>
            <w:pPr>
              <w:spacing w:after="60" w:line="260"/>
            </w:pPr>
            <w:r>
              <w:rPr>
                <w:rFonts w:ascii="Verdana" w:cs="Verdana" w:eastAsia="Verdana" w:hAnsi="Verdana"/>
                <w:sz w:val="20"/>
                <w:szCs w:val="20"/>
              </w:rPr>
              <w:t xml:space="preserve">Step 2: ITC: IGST Rs. 1,80,000 on the stock transfer; CGST Rs. 47,000 and SGST Rs. 47,000 (commission plus other credits).</w:t>
            </w:r>
          </w:p>
          <w:p>
            <w:pPr>
              <w:spacing w:after="60" w:line="260"/>
            </w:pPr>
            <w:r>
              <w:rPr>
                <w:rFonts w:ascii="Verdana" w:cs="Verdana" w:eastAsia="Verdana" w:hAnsi="Verdana"/>
                <w:sz w:val="20"/>
                <w:szCs w:val="20"/>
              </w:rPr>
              <w:t xml:space="preserve">Step 3: After ITC, balance: IGST Rs. 1,08,000, CGST Rs. 52,000, SGST Rs. 52,000.</w:t>
            </w:r>
          </w:p>
          <w:p>
            <w:pPr>
              <w:spacing w:after="60" w:line="260"/>
            </w:pPr>
            <w:r>
              <w:rPr>
                <w:rFonts w:ascii="Verdana" w:cs="Verdana" w:eastAsia="Verdana" w:hAnsi="Verdana"/>
                <w:sz w:val="20"/>
                <w:szCs w:val="20"/>
              </w:rPr>
              <w:t xml:space="preserve">Step 4: TCS of Rs. 13,750 appears once ShopKart files GSTR-8 by 10 September and Rangoli accepts it; it goes to the cash ledger (IGST 8,250, CGST 2,750, SGST 2,750).</w:t>
            </w:r>
          </w:p>
          <w:p>
            <w:pPr>
              <w:spacing w:after="60" w:line="260"/>
            </w:pPr>
            <w:r>
              <w:rPr>
                <w:rFonts w:ascii="Verdana" w:cs="Verdana" w:eastAsia="Verdana" w:hAnsi="Verdana"/>
                <w:sz w:val="20"/>
                <w:szCs w:val="20"/>
              </w:rPr>
              <w:t xml:space="preserve">Step 5: Fresh cash needed: IGST Rs. 99,750, CGST Rs. 49,250, SGST Rs. 49,250, total Rs. 1,98,250.</w:t>
            </w:r>
          </w:p>
        </w:tc>
      </w:tr>
    </w:tbl>
    <w:p>
      <w:pPr>
        <w:spacing w:after="60"/>
      </w:pPr>
    </w:p>
    <w:p>
      <w:pPr>
        <w:pStyle w:val="Heading2"/>
        <w:keepNext/>
        <w:spacing w:after="120" w:before="240"/>
      </w:pPr>
      <w:r>
        <w:rPr>
          <w:rFonts w:ascii="Verdana" w:cs="Verdana" w:eastAsia="Verdana" w:hAnsi="Verdana"/>
        </w:rPr>
        <w:t xml:space="preserve">51.4 Compliance and documentation</w:t>
      </w:r>
    </w:p>
    <w:p>
      <w:pPr>
        <w:pStyle w:val="ListParagraph"/>
        <w:numPr>
          <w:ilvl w:val="0"/>
          <w:numId w:val="2"/>
        </w:numPr>
        <w:spacing w:after="60" w:line="264"/>
      </w:pPr>
      <w:r>
        <w:rPr>
          <w:rFonts w:ascii="Verdana" w:cs="Verdana" w:eastAsia="Verdana" w:hAnsi="Verdana"/>
        </w:rPr>
        <w:t xml:space="preserve">GSTR-1 by 11 September 2026, with supplies made through the operator reported against ShopKart's GSTIN in the table meant for e-commerce supplies.</w:t>
      </w:r>
    </w:p>
    <w:p>
      <w:pPr>
        <w:pStyle w:val="ListParagraph"/>
        <w:numPr>
          <w:ilvl w:val="0"/>
          <w:numId w:val="2"/>
        </w:numPr>
        <w:spacing w:after="60" w:line="264"/>
      </w:pPr>
      <w:r>
        <w:rPr>
          <w:rFonts w:ascii="Verdana" w:cs="Verdana" w:eastAsia="Verdana" w:hAnsi="Verdana"/>
        </w:rPr>
        <w:t xml:space="preserve">E-invoice: aggregate turnover is above Rs. 5 crore, so B2B invoices, including the stock transfer to Maharashtra, need an IRN. B2C sales through the platform do not.</w:t>
      </w:r>
    </w:p>
    <w:p>
      <w:pPr>
        <w:pStyle w:val="ListParagraph"/>
        <w:numPr>
          <w:ilvl w:val="0"/>
          <w:numId w:val="2"/>
        </w:numPr>
        <w:spacing w:after="60" w:line="264"/>
      </w:pPr>
      <w:r>
        <w:rPr>
          <w:rFonts w:ascii="Verdana" w:cs="Verdana" w:eastAsia="Verdana" w:hAnsi="Verdana"/>
        </w:rPr>
        <w:t xml:space="preserve">E-way bill for the Jaipur to Bhiwandi stock transfer; customer consignments of lower value are covered by the courier's procedure.</w:t>
      </w:r>
    </w:p>
    <w:p>
      <w:pPr>
        <w:pStyle w:val="ListParagraph"/>
        <w:numPr>
          <w:ilvl w:val="0"/>
          <w:numId w:val="2"/>
        </w:numPr>
        <w:spacing w:after="60" w:line="264"/>
      </w:pPr>
      <w:r>
        <w:rPr>
          <w:rFonts w:ascii="Verdana" w:cs="Verdana" w:eastAsia="Verdana" w:hAnsi="Verdana"/>
        </w:rPr>
        <w:t xml:space="preserve">A monthly three-way reconciliation: books, GSTR-1 and GSTR-8 by value, plus bank receipts to settlement reports.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b/>
                <w:bCs/>
                <w:sz w:val="20"/>
                <w:szCs w:val="20"/>
              </w:rPr>
              <w:t xml:space="preserve">Lessons</w:t>
            </w:r>
          </w:p>
          <w:p>
            <w:pPr>
              <w:spacing w:after="60" w:line="260"/>
            </w:pPr>
            <w:r>
              <w:rPr>
                <w:rFonts w:ascii="Verdana" w:cs="Verdana" w:eastAsia="Verdana" w:hAnsi="Verdana"/>
                <w:sz w:val="20"/>
                <w:szCs w:val="20"/>
              </w:rPr>
              <w:t xml:space="preserve">Every fulfilment centre State needs a registration before stock reaches it.</w:t>
            </w:r>
          </w:p>
          <w:p>
            <w:pPr>
              <w:spacing w:after="60" w:line="260"/>
            </w:pPr>
            <w:r>
              <w:rPr>
                <w:rFonts w:ascii="Verdana" w:cs="Verdana" w:eastAsia="Verdana" w:hAnsi="Verdana"/>
                <w:sz w:val="20"/>
                <w:szCs w:val="20"/>
              </w:rPr>
              <w:t xml:space="preserve">Most GSTR-1 and GSTR-8 differences are timing of returns. List them and clear them in the next month.</w:t>
            </w:r>
          </w:p>
          <w:p>
            <w:pPr>
              <w:spacing w:after="60" w:line="260"/>
            </w:pPr>
            <w:r>
              <w:rPr>
                <w:rFonts w:ascii="Verdana" w:cs="Verdana" w:eastAsia="Verdana" w:hAnsi="Verdana"/>
                <w:sz w:val="20"/>
                <w:szCs w:val="20"/>
              </w:rPr>
              <w:t xml:space="preserve">TCS is a cash ledger credit only after acceptance; it can be used for tax, interest and penalty.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Each warehouse State is a distinct person; stock transfer at invoice value is accepted where the receiver gets full credit.</w:t>
            </w:r>
          </w:p>
          <w:p>
            <w:pPr>
              <w:spacing w:after="60" w:line="260"/>
            </w:pPr>
            <w:r>
              <w:rPr>
                <w:rFonts w:ascii="Verdana" w:cs="Verdana" w:eastAsia="Verdana" w:hAnsi="Verdana"/>
                <w:sz w:val="20"/>
                <w:szCs w:val="20"/>
              </w:rPr>
              <w:t xml:space="preserve">•  ShopKart collected TCS of Rs. 13,750 at 0.5% on net sales.</w:t>
            </w:r>
          </w:p>
          <w:p>
            <w:pPr>
              <w:spacing w:after="60" w:line="260"/>
            </w:pPr>
            <w:r>
              <w:rPr>
                <w:rFonts w:ascii="Verdana" w:cs="Verdana" w:eastAsia="Verdana" w:hAnsi="Verdana"/>
                <w:sz w:val="20"/>
                <w:szCs w:val="20"/>
              </w:rPr>
              <w:t xml:space="preserve">•  The bank payout of Rs. 28,74,500 reconciles to sales less commission, TCS and income-tax deduction.</w:t>
            </w:r>
          </w:p>
          <w:p>
            <w:pPr>
              <w:spacing w:after="60" w:line="260"/>
            </w:pPr>
            <w:r>
              <w:rPr>
                <w:rFonts w:ascii="Verdana" w:cs="Verdana" w:eastAsia="Verdana" w:hAnsi="Verdana"/>
                <w:sz w:val="20"/>
                <w:szCs w:val="20"/>
              </w:rPr>
              <w:t xml:space="preserve">•  Returns processed by the platform after the month end are the usual reconciling items.</w:t>
            </w:r>
          </w:p>
        </w:tc>
      </w:tr>
    </w:tbl>
    <w:p>
      <w:pPr>
        <w:pStyle w:val="Heading1"/>
        <w:pageBreakBefore/>
        <w:spacing w:after="200" w:before="0"/>
      </w:pPr>
      <w:r>
        <w:rPr>
          <w:rFonts w:ascii="Verdana" w:cs="Verdana" w:eastAsia="Verdana" w:hAnsi="Verdana"/>
        </w:rPr>
        <w:t xml:space="preserve">52. Case Study 8: Startup Incubator as a Section 8 Company</w:t>
      </w:r>
    </w:p>
    <w:p>
      <w:pPr>
        <w:pStyle w:val="Heading2"/>
        <w:keepNext/>
        <w:spacing w:after="120" w:before="240"/>
      </w:pPr>
      <w:r>
        <w:rPr>
          <w:rFonts w:ascii="Verdana" w:cs="Verdana" w:eastAsia="Verdana" w:hAnsi="Verdana"/>
        </w:rPr>
        <w:t xml:space="preserve">52.1 Facts</w:t>
      </w:r>
    </w:p>
    <w:p>
      <w:pPr>
        <w:spacing w:after="120" w:line="276"/>
        <w:jc w:val="both"/>
      </w:pPr>
      <w:r>
        <w:rPr>
          <w:rFonts w:ascii="Verdana" w:cs="Verdana" w:eastAsia="Verdana" w:hAnsi="Verdana"/>
        </w:rPr>
        <w:t xml:space="preserve">Pratham Innovation Foundation is a company registered under section 8 of the Companies Act, 2013, located on a university campus in Ahmedabad, Gujarat, with a small office in Bengaluru. It runs Government-funded incubation programmes, takes CSR money for a seed fund and earns fees. Receipts for </w:t>
      </w:r>
      <w:r>
        <w:rPr>
          <w:rFonts w:ascii="Verdana" w:cs="Verdana" w:eastAsia="Verdana" w:hAnsi="Verdana"/>
          <w:b/>
          <w:bCs/>
        </w:rPr>
        <w:t xml:space="preserve">FY 2026-27</w:t>
      </w:r>
      <w:r>
        <w:rPr>
          <w:rFonts w:ascii="Verdana" w:cs="Verdana" w:eastAsia="Verdana" w:hAnsi="Verdana"/>
        </w:rPr>
        <w:t xml:space="preserve"> (Gujarat office) are expected to 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18"/>
        <w:gridCol w:w="2007"/>
        <w:gridCol w:w="3013"/>
      </w:tblGrid>
      <w:tr>
        <w:trPr>
          <w:cantSplit/>
          <w:tblHeader/>
        </w:trPr>
        <w:tc>
          <w:tcPr>
            <w:tcW w:type="dxa" w:w="461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Receipt</w:t>
            </w:r>
          </w:p>
        </w:tc>
        <w:tc>
          <w:tcPr>
            <w:tcW w:type="dxa" w:w="200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Amount (Rs.)</w:t>
            </w:r>
          </w:p>
        </w:tc>
        <w:tc>
          <w:tcPr>
            <w:tcW w:type="dxa" w:w="301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GST position</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Grant from a Central Government scheme for incubation</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2,00,00,000</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a supply</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CSR contributions from companies</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80,00,000</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a supply</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Incubation fees from startups</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40,00,000</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 18%</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Co-working seat rent</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30,00,000</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 18%</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Sponsorship for demo day by a company</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10,00,000</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 reverse charge on sponsor</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fixed deposits</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6,00,000</w:t>
            </w:r>
          </w:p>
        </w:tc>
        <w:tc>
          <w:tcPr>
            <w:tcW w:type="dxa" w:w="30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outside the rule 42 ratio</w:t>
            </w:r>
          </w:p>
        </w:tc>
      </w:tr>
    </w:tbl>
    <w:p>
      <w:pPr>
        <w:spacing w:after="60"/>
      </w:pPr>
    </w:p>
    <w:p>
      <w:pPr>
        <w:pStyle w:val="Heading2"/>
        <w:keepNext/>
        <w:spacing w:after="120" w:before="240"/>
      </w:pPr>
      <w:r>
        <w:rPr>
          <w:rFonts w:ascii="Verdana" w:cs="Verdana" w:eastAsia="Verdana" w:hAnsi="Verdana"/>
        </w:rPr>
        <w:t xml:space="preserve">52.2 Issues</w:t>
      </w:r>
    </w:p>
    <w:p>
      <w:pPr>
        <w:pStyle w:val="ListParagraph"/>
        <w:numPr>
          <w:ilvl w:val="0"/>
          <w:numId w:val="2"/>
        </w:numPr>
        <w:spacing w:after="60" w:line="264"/>
      </w:pPr>
      <w:r>
        <w:rPr>
          <w:rFonts w:ascii="Verdana" w:cs="Verdana" w:eastAsia="Verdana" w:hAnsi="Verdana"/>
        </w:rPr>
        <w:t xml:space="preserve">Which receipts are consideration for a supply.</w:t>
      </w:r>
    </w:p>
    <w:p>
      <w:pPr>
        <w:pStyle w:val="ListParagraph"/>
        <w:numPr>
          <w:ilvl w:val="0"/>
          <w:numId w:val="2"/>
        </w:numPr>
        <w:spacing w:after="60" w:line="264"/>
      </w:pPr>
      <w:r>
        <w:rPr>
          <w:rFonts w:ascii="Verdana" w:cs="Verdana" w:eastAsia="Verdana" w:hAnsi="Verdana"/>
        </w:rPr>
        <w:t xml:space="preserve">Reverse charge on sponsorship and on legal fees.</w:t>
      </w:r>
    </w:p>
    <w:p>
      <w:pPr>
        <w:pStyle w:val="ListParagraph"/>
        <w:numPr>
          <w:ilvl w:val="0"/>
          <w:numId w:val="2"/>
        </w:numPr>
        <w:spacing w:after="60" w:line="264"/>
      </w:pPr>
      <w:r>
        <w:rPr>
          <w:rFonts w:ascii="Verdana" w:cs="Verdana" w:eastAsia="Verdana" w:hAnsi="Verdana"/>
        </w:rPr>
        <w:t xml:space="preserve">Credit apportionment where part of the work is grant-funded and not a supply.</w:t>
      </w:r>
    </w:p>
    <w:p>
      <w:pPr>
        <w:pStyle w:val="ListParagraph"/>
        <w:numPr>
          <w:ilvl w:val="0"/>
          <w:numId w:val="2"/>
        </w:numPr>
        <w:spacing w:after="60" w:line="264"/>
      </w:pPr>
      <w:r>
        <w:rPr>
          <w:rFonts w:ascii="Verdana" w:cs="Verdana" w:eastAsia="Verdana" w:hAnsi="Verdana"/>
        </w:rPr>
        <w:t xml:space="preserve">Registration in Karnataka and the Input Service Distributor.</w:t>
      </w:r>
    </w:p>
    <w:p>
      <w:pPr>
        <w:pStyle w:val="Heading2"/>
        <w:keepNext/>
        <w:spacing w:after="120" w:before="240"/>
      </w:pPr>
      <w:r>
        <w:rPr>
          <w:rFonts w:ascii="Verdana" w:cs="Verdana" w:eastAsia="Verdana" w:hAnsi="Verdana"/>
        </w:rPr>
        <w:t xml:space="preserve">52.3 Analysis and computation</w:t>
      </w:r>
    </w:p>
    <w:p>
      <w:pPr>
        <w:spacing w:after="120" w:line="276"/>
        <w:jc w:val="both"/>
      </w:pPr>
      <w:r>
        <w:rPr>
          <w:rFonts w:ascii="Verdana" w:cs="Verdana" w:eastAsia="Verdana" w:hAnsi="Verdana"/>
          <w:b/>
          <w:bCs/>
        </w:rPr>
        <w:t xml:space="preserve">Grants.</w:t>
      </w:r>
      <w:r>
        <w:rPr>
          <w:rFonts w:ascii="Verdana" w:cs="Verdana" w:eastAsia="Verdana" w:hAnsi="Verdana"/>
        </w:rPr>
        <w:t xml:space="preserve"> A grant is consideration only if the grantor gets a supply in return. Where the Government funds a programme for public benefit and receives no service for its own use, the grant is not consideration. Advance rulings have differed where the sanction lists deliverables for the Government's own use, so the sanction letter must be read clause by clause. The Government subsidy exclusion in section 15(2)(e) confirms that such grants are not added to the value of other supplies. Seed grants passed on to startups are not supplies by the incubator.</w:t>
      </w:r>
    </w:p>
    <w:p>
      <w:pPr>
        <w:spacing w:after="120" w:line="276"/>
        <w:jc w:val="both"/>
      </w:pPr>
      <w:r>
        <w:rPr>
          <w:rFonts w:ascii="Verdana" w:cs="Verdana" w:eastAsia="Verdana" w:hAnsi="Verdana"/>
          <w:b/>
          <w:bCs/>
        </w:rPr>
        <w:t xml:space="preserve">CSR funds.</w:t>
      </w:r>
      <w:r>
        <w:rPr>
          <w:rFonts w:ascii="Verdana" w:cs="Verdana" w:eastAsia="Verdana" w:hAnsi="Verdana"/>
        </w:rPr>
        <w:t xml:space="preserve"> A CBIC circular of 2019 clarified that a donation to a charitable body is not taxable where there is no quid pro quo, even if the donor's name is acknowledged. If the CSR agreement gives the donor advertising or naming rights, that part is a taxable service.</w:t>
      </w:r>
    </w:p>
    <w:p>
      <w:pPr>
        <w:spacing w:after="120" w:line="276"/>
        <w:jc w:val="both"/>
      </w:pPr>
      <w:r>
        <w:rPr>
          <w:rFonts w:ascii="Verdana" w:cs="Verdana" w:eastAsia="Verdana" w:hAnsi="Verdana"/>
          <w:b/>
          <w:bCs/>
        </w:rPr>
        <w:t xml:space="preserve">Fees and rent.</w:t>
      </w:r>
      <w:r>
        <w:rPr>
          <w:rFonts w:ascii="Verdana" w:cs="Verdana" w:eastAsia="Verdana" w:hAnsi="Verdana"/>
        </w:rPr>
        <w:t xml:space="preserve"> Incubation and co-working are business services at 18%. The charitable activities exemption covers listed activities such as health care and specified education; incubation is not on the list, so section 8 status does not help.</w:t>
      </w:r>
    </w:p>
    <w:p>
      <w:pPr>
        <w:spacing w:after="120" w:line="276"/>
        <w:jc w:val="both"/>
      </w:pPr>
      <w:r>
        <w:rPr>
          <w:rFonts w:ascii="Verdana" w:cs="Verdana" w:eastAsia="Verdana" w:hAnsi="Verdana"/>
          <w:b/>
          <w:bCs/>
        </w:rPr>
        <w:t xml:space="preserve">Sponsorship.</w:t>
      </w:r>
      <w:r>
        <w:rPr>
          <w:rFonts w:ascii="Verdana" w:cs="Verdana" w:eastAsia="Verdana" w:hAnsi="Verdana"/>
        </w:rPr>
        <w:t xml:space="preserve"> Sponsorship services to a body corporate or firm are taxed under reverse charge. The sponsor pays 18% on Rs. 10,00,000; Pratham charges no GST. But section 17(3) treats supplies on which the recipient pays tax under reverse charge as exempt supplies for credit reversal. Interest on deposits is excluded from exempt value by the explanation to rule 43; this working also leaves it out of total turnover, the safer course because it gives a slightly higher reversal.</w:t>
      </w:r>
    </w:p>
    <w:p>
      <w:pPr>
        <w:spacing w:after="120" w:line="276"/>
        <w:jc w:val="both"/>
      </w:pPr>
      <w:r>
        <w:rPr>
          <w:rFonts w:ascii="Verdana" w:cs="Verdana" w:eastAsia="Verdana" w:hAnsi="Verdana"/>
          <w:b/>
          <w:bCs/>
        </w:rPr>
        <w:t xml:space="preserve">Legal fees.</w:t>
      </w:r>
      <w:r>
        <w:rPr>
          <w:rFonts w:ascii="Verdana" w:cs="Verdana" w:eastAsia="Verdana" w:hAnsi="Verdana"/>
        </w:rPr>
        <w:t xml:space="preserve"> Rs. 3,00,000 paid to an advocate: Pratham's turnover is above the exemption limit, so it pays CGST Rs. 27,000 and SGST Rs. 27,000 under reverse charge and includes the credit in the common pool.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217: Credit apportionment for the year (annual figures)</w:t>
            </w:r>
          </w:p>
          <w:p>
            <w:pPr>
              <w:spacing w:after="60" w:line="260"/>
            </w:pPr>
            <w:r>
              <w:rPr>
                <w:rFonts w:ascii="Verdana" w:cs="Verdana" w:eastAsia="Verdana" w:hAnsi="Verdana"/>
                <w:sz w:val="20"/>
                <w:szCs w:val="20"/>
              </w:rPr>
              <w:t xml:space="preserve">Step 1: T1 (grant-funded programme costs where the GST is itself paid out of the grant): Rs. 2,00,000. Not claimed; claiming it would recover the same tax twice.</w:t>
            </w:r>
          </w:p>
          <w:p>
            <w:pPr>
              <w:spacing w:after="60" w:line="260"/>
            </w:pPr>
            <w:r>
              <w:rPr>
                <w:rFonts w:ascii="Verdana" w:cs="Verdana" w:eastAsia="Verdana" w:hAnsi="Verdana"/>
                <w:sz w:val="20"/>
                <w:szCs w:val="20"/>
              </w:rPr>
              <w:t xml:space="preserve">Step 2: T3 (food at events, blocked): Rs. 30,000. T4 (co-working fit-out repairs, internet): Rs. 3,00,000. C2 (rent, security, audit, software, legal RCM): Rs. 4,40,000.</w:t>
            </w:r>
          </w:p>
          <w:p>
            <w:pPr>
              <w:spacing w:after="60" w:line="260"/>
            </w:pPr>
            <w:r>
              <w:rPr>
                <w:rFonts w:ascii="Verdana" w:cs="Verdana" w:eastAsia="Verdana" w:hAnsi="Verdana"/>
                <w:sz w:val="20"/>
                <w:szCs w:val="20"/>
              </w:rPr>
              <w:t xml:space="preserve">Step 3: F = taxable 70,00,000 + sponsorship 10,00,000 = Rs. 80,00,000. E = sponsorship Rs. 10,00,000. Grants and CSR are not supplies and stay out of both.</w:t>
            </w:r>
          </w:p>
          <w:p>
            <w:pPr>
              <w:spacing w:after="60" w:line="260"/>
            </w:pPr>
            <w:r>
              <w:rPr>
                <w:rFonts w:ascii="Verdana" w:cs="Verdana" w:eastAsia="Verdana" w:hAnsi="Verdana"/>
                <w:sz w:val="20"/>
                <w:szCs w:val="20"/>
              </w:rPr>
              <w:t xml:space="preserve">Step 4: D1 = 4,40,000 x 10,00,000 / 80,00,000 = Rs. 55,000. D2 for non-business use (grant-funded free support) = 5% of C2 = Rs. 22,000.</w:t>
            </w:r>
          </w:p>
          <w:p>
            <w:pPr>
              <w:spacing w:after="60" w:line="260"/>
            </w:pPr>
            <w:r>
              <w:rPr>
                <w:rFonts w:ascii="Verdana" w:cs="Verdana" w:eastAsia="Verdana" w:hAnsi="Verdana"/>
                <w:sz w:val="20"/>
                <w:szCs w:val="20"/>
              </w:rPr>
              <w:t xml:space="preserve">Step 5: C3 = 4,40,000 less 55,000 less 22,000 = Rs. 3,63,000. Eligible ITC = T4 + C3 = Rs. 6,63,000. Not eligible = Rs. 3,07,000 out of Rs. 9,70,000.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Output tax on fees and rent: 70,00,000 x 18%</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12,60,000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eligible ITC</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6,63,000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Net output tax in cash</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5,97,000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Reverse charge on legal fees, in cash</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54,000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cash for the year</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Rs. 6,51,000</w:t>
            </w:r>
          </w:p>
        </w:tc>
      </w:tr>
    </w:tbl>
    <w:p>
      <w:pPr>
        <w:spacing w:after="60"/>
      </w:pPr>
    </w:p>
    <w:p>
      <w:pPr>
        <w:spacing w:after="120" w:line="276"/>
        <w:jc w:val="both"/>
      </w:pPr>
      <w:r>
        <w:rPr>
          <w:rFonts w:ascii="Verdana" w:cs="Verdana" w:eastAsia="Verdana" w:hAnsi="Verdana"/>
        </w:rPr>
        <w:t xml:space="preserve">Whether the flat 5% for non-business use is enough where the grant-funded work is large is a matter of judgment. A higher reversal based on actual cost share is the safer course where the programme is a large part of the activity.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218: Input Service Distributor for the two offices</w:t>
            </w:r>
          </w:p>
          <w:p>
            <w:pPr>
              <w:spacing w:after="60" w:line="260"/>
            </w:pPr>
            <w:r>
              <w:rPr>
                <w:rFonts w:ascii="Verdana" w:cs="Verdana" w:eastAsia="Verdana" w:hAnsi="Verdana"/>
                <w:sz w:val="20"/>
                <w:szCs w:val="20"/>
              </w:rPr>
              <w:t xml:space="preserve">Step 1: Pratham supplies co-working seats from Bengaluru, so it is registered in Karnataka. Audit and software are billed to Ahmedabad but used by both offices. From 1 April 2025, such common input services must be distributed through an ISD registration.</w:t>
            </w:r>
          </w:p>
          <w:p>
            <w:pPr>
              <w:spacing w:after="60" w:line="260"/>
            </w:pPr>
            <w:r>
              <w:rPr>
                <w:rFonts w:ascii="Verdana" w:cs="Verdana" w:eastAsia="Verdana" w:hAnsi="Verdana"/>
                <w:sz w:val="20"/>
                <w:szCs w:val="20"/>
              </w:rPr>
              <w:t xml:space="preserve">Step 2: Common ITC in a quarter: CGST 90,000 + SGST 90,000 = Rs. 1,80,000. Ratio of turnover in the preceding year: Gujarat 80%, Karnataka 20%.</w:t>
            </w:r>
          </w:p>
          <w:p>
            <w:pPr>
              <w:spacing w:after="60" w:line="260"/>
            </w:pPr>
            <w:r>
              <w:rPr>
                <w:rFonts w:ascii="Verdana" w:cs="Verdana" w:eastAsia="Verdana" w:hAnsi="Verdana"/>
                <w:sz w:val="20"/>
                <w:szCs w:val="20"/>
              </w:rPr>
              <w:t xml:space="preserve">Step 3: Gujarat receives Rs. 1,44,000 as CGST 72,000 and SGST 72,000. Karnataka receives Rs. 36,000 as IGST.</w:t>
            </w:r>
          </w:p>
          <w:p>
            <w:pPr>
              <w:spacing w:after="60" w:line="260"/>
            </w:pPr>
            <w:r>
              <w:rPr>
                <w:rFonts w:ascii="Verdana" w:cs="Verdana" w:eastAsia="Verdana" w:hAnsi="Verdana"/>
                <w:sz w:val="20"/>
                <w:szCs w:val="20"/>
              </w:rPr>
              <w:t xml:space="preserve">Step 4: The ISD files GSTR-6 by the 13th of the following month and issues ISD invoices.</w:t>
            </w:r>
          </w:p>
        </w:tc>
      </w:tr>
    </w:tbl>
    <w:p>
      <w:pPr>
        <w:spacing w:after="60"/>
      </w:pPr>
    </w:p>
    <w:p>
      <w:pPr>
        <w:pStyle w:val="Heading2"/>
        <w:keepNext/>
        <w:spacing w:after="120" w:before="240"/>
      </w:pPr>
      <w:r>
        <w:rPr>
          <w:rFonts w:ascii="Verdana" w:cs="Verdana" w:eastAsia="Verdana" w:hAnsi="Verdana"/>
        </w:rPr>
        <w:t xml:space="preserve">52.4 Compliance and documentation</w:t>
      </w:r>
    </w:p>
    <w:p>
      <w:pPr>
        <w:pStyle w:val="ListParagraph"/>
        <w:numPr>
          <w:ilvl w:val="0"/>
          <w:numId w:val="2"/>
        </w:numPr>
        <w:spacing w:after="60" w:line="264"/>
      </w:pPr>
      <w:r>
        <w:rPr>
          <w:rFonts w:ascii="Verdana" w:cs="Verdana" w:eastAsia="Verdana" w:hAnsi="Verdana"/>
        </w:rPr>
        <w:t xml:space="preserve">Monthly GSTR-1 and GSTR-3B for both States; ISD return GSTR-6 monthly.</w:t>
      </w:r>
    </w:p>
    <w:p>
      <w:pPr>
        <w:pStyle w:val="ListParagraph"/>
        <w:numPr>
          <w:ilvl w:val="0"/>
          <w:numId w:val="2"/>
        </w:numPr>
        <w:spacing w:after="60" w:line="264"/>
      </w:pPr>
      <w:r>
        <w:rPr>
          <w:rFonts w:ascii="Verdana" w:cs="Verdana" w:eastAsia="Verdana" w:hAnsi="Verdana"/>
        </w:rPr>
        <w:t xml:space="preserve">Sponsorship shown in GSTR-1 as a supply on which the recipient pays tax, and included in exempt value for rule 42.</w:t>
      </w:r>
    </w:p>
    <w:p>
      <w:pPr>
        <w:pStyle w:val="ListParagraph"/>
        <w:numPr>
          <w:ilvl w:val="0"/>
          <w:numId w:val="2"/>
        </w:numPr>
        <w:spacing w:after="60" w:line="264"/>
      </w:pPr>
      <w:r>
        <w:rPr>
          <w:rFonts w:ascii="Verdana" w:cs="Verdana" w:eastAsia="Verdana" w:hAnsi="Verdana"/>
        </w:rPr>
        <w:t xml:space="preserve">Grant and CSR agreements on file with a short note on why each is not a supply.</w:t>
      </w:r>
    </w:p>
    <w:p>
      <w:pPr>
        <w:pStyle w:val="ListParagraph"/>
        <w:numPr>
          <w:ilvl w:val="0"/>
          <w:numId w:val="2"/>
        </w:numPr>
        <w:spacing w:after="60" w:line="264"/>
      </w:pPr>
      <w:r>
        <w:rPr>
          <w:rFonts w:ascii="Verdana" w:cs="Verdana" w:eastAsia="Verdana" w:hAnsi="Verdana"/>
        </w:rPr>
        <w:t xml:space="preserve">Grant utilisation certificates should show GST either as a cost (credit not claimed) or net of credit, consistently with the GST returns.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b/>
                <w:bCs/>
                <w:sz w:val="20"/>
                <w:szCs w:val="20"/>
              </w:rPr>
              <w:t xml:space="preserve">Lessons</w:t>
            </w:r>
          </w:p>
          <w:p>
            <w:pPr>
              <w:spacing w:after="60" w:line="260"/>
            </w:pPr>
            <w:r>
              <w:rPr>
                <w:rFonts w:ascii="Verdana" w:cs="Verdana" w:eastAsia="Verdana" w:hAnsi="Verdana"/>
                <w:sz w:val="20"/>
                <w:szCs w:val="20"/>
              </w:rPr>
              <w:t xml:space="preserve">Read every grant and CSR agreement for deliverables to the funder. That clause decides the GST position.</w:t>
            </w:r>
          </w:p>
          <w:p>
            <w:pPr>
              <w:spacing w:after="60" w:line="260"/>
            </w:pPr>
            <w:r>
              <w:rPr>
                <w:rFonts w:ascii="Verdana" w:cs="Verdana" w:eastAsia="Verdana" w:hAnsi="Verdana"/>
                <w:sz w:val="20"/>
                <w:szCs w:val="20"/>
              </w:rPr>
              <w:t xml:space="preserve">Sponsorship under reverse charge still reduces the incubator's own credit through the rule 42 ratio.</w:t>
            </w:r>
          </w:p>
          <w:p>
            <w:pPr>
              <w:spacing w:after="60" w:line="260"/>
            </w:pPr>
            <w:r>
              <w:rPr>
                <w:rFonts w:ascii="Verdana" w:cs="Verdana" w:eastAsia="Verdana" w:hAnsi="Verdana"/>
                <w:sz w:val="20"/>
                <w:szCs w:val="20"/>
              </w:rPr>
              <w:t xml:space="preserve">Do not claim credit on costs already met by a grant that funds the GST component.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Government grants and pure CSR donations are generally not consideration for a supply.</w:t>
            </w:r>
          </w:p>
          <w:p>
            <w:pPr>
              <w:spacing w:after="60" w:line="260"/>
            </w:pPr>
            <w:r>
              <w:rPr>
                <w:rFonts w:ascii="Verdana" w:cs="Verdana" w:eastAsia="Verdana" w:hAnsi="Verdana"/>
                <w:sz w:val="20"/>
                <w:szCs w:val="20"/>
              </w:rPr>
              <w:t xml:space="preserve">•  Incubation fees and co-working rent are taxable at 18%; section 8 status gives no exemption.</w:t>
            </w:r>
          </w:p>
          <w:p>
            <w:pPr>
              <w:spacing w:after="60" w:line="260"/>
            </w:pPr>
            <w:r>
              <w:rPr>
                <w:rFonts w:ascii="Verdana" w:cs="Verdana" w:eastAsia="Verdana" w:hAnsi="Verdana"/>
                <w:sz w:val="20"/>
                <w:szCs w:val="20"/>
              </w:rPr>
              <w:t xml:space="preserve">•  Sponsorship is taxed on the sponsor but enters the exempt value; eligible credit is Rs. 6,63,000.</w:t>
            </w:r>
          </w:p>
          <w:p>
            <w:pPr>
              <w:spacing w:after="60" w:line="260"/>
            </w:pPr>
            <w:r>
              <w:rPr>
                <w:rFonts w:ascii="Verdana" w:cs="Verdana" w:eastAsia="Verdana" w:hAnsi="Verdana"/>
                <w:sz w:val="20"/>
                <w:szCs w:val="20"/>
              </w:rPr>
              <w:t xml:space="preserve">•  Common services used by both State offices go through an ISD registration.</w:t>
            </w:r>
          </w:p>
        </w:tc>
      </w:tr>
    </w:tbl>
    <w:p>
      <w:pPr>
        <w:pStyle w:val="Heading1"/>
        <w:pageBreakBefore/>
        <w:spacing w:after="200" w:before="0"/>
      </w:pPr>
      <w:r>
        <w:rPr>
          <w:rFonts w:ascii="Verdana" w:cs="Verdana" w:eastAsia="Verdana" w:hAnsi="Verdana"/>
        </w:rPr>
        <w:t xml:space="preserve">53. Case Study 9: Group Cross Charge, Corporate Guarantee, Secondment and Directors</w:t>
      </w:r>
    </w:p>
    <w:p>
      <w:pPr>
        <w:pStyle w:val="Heading2"/>
        <w:keepNext/>
        <w:spacing w:after="120" w:before="240"/>
      </w:pPr>
      <w:r>
        <w:rPr>
          <w:rFonts w:ascii="Verdana" w:cs="Verdana" w:eastAsia="Verdana" w:hAnsi="Verdana"/>
        </w:rPr>
        <w:t xml:space="preserve">53.1 Facts</w:t>
      </w:r>
    </w:p>
    <w:p>
      <w:pPr>
        <w:spacing w:after="120" w:line="276"/>
        <w:jc w:val="both"/>
      </w:pPr>
      <w:r>
        <w:rPr>
          <w:rFonts w:ascii="Verdana" w:cs="Verdana" w:eastAsia="Verdana" w:hAnsi="Verdana"/>
        </w:rPr>
        <w:t xml:space="preserve">Vardhan Industries Ltd. has its head office in Mumbai, Maharashtra, with plants in Gujarat and Tamil Nadu under the same PAN. All three make fully taxable supplies. Its subsidiary, Vardhan Auto Components Pvt. Ltd., is in Gujarat. Its own parent is Kessler Holding AG, Switzerland. Events in FY 2026-27: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Item</w:t>
            </w:r>
          </w:p>
        </w:tc>
        <w:tc>
          <w:tcPr>
            <w:tcW w:type="dxa" w:w="321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Amount (Rs.)</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Audit, ERP licence and legal services billed to head office</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30,00,000 + GST 5,40,000</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Head office staff salaries and costs supporting plants</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1,20,00,000</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Corporate guarantee to a bank for the subsidiary's loan, 3 years from 1 July 2026</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20,00,00,000</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Engineer seconded by Kessler, cost recharged yearly</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72,00,000</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Sitting fees and commission to four independent directors</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30,00,000</w:t>
            </w:r>
          </w:p>
        </w:tc>
      </w:tr>
    </w:tbl>
    <w:p>
      <w:pPr>
        <w:spacing w:after="60"/>
      </w:pPr>
    </w:p>
    <w:p>
      <w:pPr>
        <w:spacing w:after="120" w:line="276"/>
        <w:jc w:val="both"/>
      </w:pPr>
      <w:r>
        <w:rPr>
          <w:rFonts w:ascii="Verdana" w:cs="Verdana" w:eastAsia="Verdana" w:hAnsi="Verdana"/>
        </w:rPr>
        <w:t xml:space="preserve">Turnover in FY 2025-26: Maharashtra Rs. 40 crore, Gujarat Rs. 90 crore, Tamil Nadu Rs. 70 crore.</w:t>
      </w:r>
    </w:p>
    <w:p>
      <w:pPr>
        <w:pStyle w:val="Heading2"/>
        <w:keepNext/>
        <w:spacing w:after="120" w:before="240"/>
      </w:pPr>
      <w:r>
        <w:rPr>
          <w:rFonts w:ascii="Verdana" w:cs="Verdana" w:eastAsia="Verdana" w:hAnsi="Verdana"/>
        </w:rPr>
        <w:t xml:space="preserve">53.2 Issues</w:t>
      </w:r>
    </w:p>
    <w:p>
      <w:pPr>
        <w:pStyle w:val="ListParagraph"/>
        <w:numPr>
          <w:ilvl w:val="0"/>
          <w:numId w:val="2"/>
        </w:numPr>
        <w:spacing w:after="60" w:line="264"/>
      </w:pPr>
      <w:r>
        <w:rPr>
          <w:rFonts w:ascii="Verdana" w:cs="Verdana" w:eastAsia="Verdana" w:hAnsi="Verdana"/>
        </w:rPr>
        <w:t xml:space="preserve">ISD or cross charge for head office costs, and valuation.</w:t>
      </w:r>
    </w:p>
    <w:p>
      <w:pPr>
        <w:pStyle w:val="ListParagraph"/>
        <w:numPr>
          <w:ilvl w:val="0"/>
          <w:numId w:val="2"/>
        </w:numPr>
        <w:spacing w:after="60" w:line="264"/>
      </w:pPr>
      <w:r>
        <w:rPr>
          <w:rFonts w:ascii="Verdana" w:cs="Verdana" w:eastAsia="Verdana" w:hAnsi="Verdana"/>
        </w:rPr>
        <w:t xml:space="preserve">Valuation of the corporate guarantee under rule 28(2).</w:t>
      </w:r>
    </w:p>
    <w:p>
      <w:pPr>
        <w:pStyle w:val="ListParagraph"/>
        <w:numPr>
          <w:ilvl w:val="0"/>
          <w:numId w:val="2"/>
        </w:numPr>
        <w:spacing w:after="60" w:line="264"/>
      </w:pPr>
      <w:r>
        <w:rPr>
          <w:rFonts w:ascii="Verdana" w:cs="Verdana" w:eastAsia="Verdana" w:hAnsi="Verdana"/>
        </w:rPr>
        <w:t xml:space="preserve">Secondment from the foreign parent and Circular 210/4/2024.</w:t>
      </w:r>
    </w:p>
    <w:p>
      <w:pPr>
        <w:pStyle w:val="ListParagraph"/>
        <w:numPr>
          <w:ilvl w:val="0"/>
          <w:numId w:val="2"/>
        </w:numPr>
        <w:spacing w:after="60" w:line="264"/>
      </w:pPr>
      <w:r>
        <w:rPr>
          <w:rFonts w:ascii="Verdana" w:cs="Verdana" w:eastAsia="Verdana" w:hAnsi="Verdana"/>
        </w:rPr>
        <w:t xml:space="preserve">Directors' fees under reverse charge.</w:t>
      </w:r>
    </w:p>
    <w:p>
      <w:pPr>
        <w:pStyle w:val="Heading2"/>
        <w:keepNext/>
        <w:spacing w:after="120" w:before="240"/>
      </w:pPr>
      <w:r>
        <w:rPr>
          <w:rFonts w:ascii="Verdana" w:cs="Verdana" w:eastAsia="Verdana" w:hAnsi="Verdana"/>
        </w:rPr>
        <w:t xml:space="preserve">53.3 Analysis and computation</w:t>
      </w:r>
    </w:p>
    <w:p>
      <w:pPr>
        <w:spacing w:after="120" w:line="276"/>
        <w:jc w:val="both"/>
      </w:pPr>
      <w:r>
        <w:rPr>
          <w:rFonts w:ascii="Verdana" w:cs="Verdana" w:eastAsia="Verdana" w:hAnsi="Verdana"/>
          <w:b/>
          <w:bCs/>
        </w:rPr>
        <w:t xml:space="preserve">Third-party services.</w:t>
      </w:r>
      <w:r>
        <w:rPr>
          <w:rFonts w:ascii="Verdana" w:cs="Verdana" w:eastAsia="Verdana" w:hAnsi="Verdana"/>
        </w:rPr>
        <w:t xml:space="preserve"> The audit, ERP and legal services are common input services bought from outside. From 1 April 2025 they must be distributed through an ISD registration in proportion to the turnover of the units.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1204"/>
        <w:gridCol w:w="2007"/>
        <w:gridCol w:w="3215"/>
      </w:tblGrid>
      <w:tr>
        <w:trPr>
          <w:cantSplit/>
          <w:tblHeader/>
        </w:trPr>
        <w:tc>
          <w:tcPr>
            <w:tcW w:type="dxa" w:w="321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Unit</w:t>
            </w:r>
          </w:p>
        </w:tc>
        <w:tc>
          <w:tcPr>
            <w:tcW w:type="dxa" w:w="1204"/>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Share</w:t>
            </w:r>
          </w:p>
        </w:tc>
        <w:tc>
          <w:tcPr>
            <w:tcW w:type="dxa" w:w="200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ITC distributed</w:t>
            </w:r>
          </w:p>
        </w:tc>
        <w:tc>
          <w:tcPr>
            <w:tcW w:type="dxa" w:w="321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Form of credit</w:t>
            </w:r>
          </w:p>
        </w:tc>
      </w:tr>
      <w:tr>
        <w:trPr>
          <w:cantSplit/>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Maharashtra (head office GSTIN)</w:t>
            </w:r>
          </w:p>
        </w:tc>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1,08,000</w:t>
            </w:r>
          </w:p>
        </w:tc>
        <w:tc>
          <w:tcPr>
            <w:tcW w:type="dxa" w:w="32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CGST 54,000 + SGST 54,000</w:t>
            </w:r>
          </w:p>
        </w:tc>
      </w:tr>
      <w:tr>
        <w:trPr>
          <w:cantSplit/>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Gujarat plant</w:t>
            </w:r>
          </w:p>
        </w:tc>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45%</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2,43,000</w:t>
            </w:r>
          </w:p>
        </w:tc>
        <w:tc>
          <w:tcPr>
            <w:tcW w:type="dxa" w:w="32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IGST</w:t>
            </w:r>
          </w:p>
        </w:tc>
      </w:tr>
      <w:tr>
        <w:trPr>
          <w:cantSplit/>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Tamil Nadu plant</w:t>
            </w:r>
          </w:p>
        </w:tc>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35%</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1,89,000</w:t>
            </w:r>
          </w:p>
        </w:tc>
        <w:tc>
          <w:tcPr>
            <w:tcW w:type="dxa" w:w="32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IGST</w:t>
            </w:r>
          </w:p>
        </w:tc>
      </w:tr>
      <w:tr>
        <w:trPr>
          <w:cantSplit/>
        </w:trPr>
        <w:tc>
          <w:tcPr>
            <w:tcW w:type="dxa" w:w="3212"/>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w:t>
            </w:r>
          </w:p>
        </w:tc>
        <w:tc>
          <w:tcPr>
            <w:tcW w:type="dxa" w:w="1204"/>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100%</w:t>
            </w:r>
          </w:p>
        </w:tc>
        <w:tc>
          <w:tcPr>
            <w:tcW w:type="dxa" w:w="2007"/>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5,40,000</w:t>
            </w:r>
          </w:p>
        </w:tc>
        <w:tc>
          <w:tcPr>
            <w:tcW w:type="dxa" w:w="3215"/>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p>
        </w:tc>
      </w:tr>
    </w:tbl>
    <w:p>
      <w:pPr>
        <w:spacing w:after="60"/>
      </w:pPr>
    </w:p>
    <w:p>
      <w:pPr>
        <w:spacing w:after="120" w:line="276"/>
        <w:jc w:val="both"/>
      </w:pPr>
      <w:r>
        <w:rPr>
          <w:rFonts w:ascii="Verdana" w:cs="Verdana" w:eastAsia="Verdana" w:hAnsi="Verdana"/>
          <w:b/>
          <w:bCs/>
        </w:rPr>
        <w:t xml:space="preserve">Internal services.</w:t>
      </w:r>
      <w:r>
        <w:rPr>
          <w:rFonts w:ascii="Verdana" w:cs="Verdana" w:eastAsia="Verdana" w:hAnsi="Verdana"/>
        </w:rPr>
        <w:t xml:space="preserve"> Head office staff supporting the plants is a supply between distinct persons under Schedule I. Circular 199/11/2023 clarified that where the receiving unit is entitled to full credit, the value declared in the invoice is accepted as open market value, and where no invoice is issued the value may be treated as nil. Salary cost need not be included in such cases. Vardhan cross charges Rs. 50,00,000 to Gujarat, with IGST Rs. 9,00,000 that Gujarat takes as credit: revenue neutral. If a plant made exempt supplies, rule 28 and rule 30 (cost plus 10%) would apply in full.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219: Corporate guarantee for the subsidiary</w:t>
            </w:r>
          </w:p>
          <w:p>
            <w:pPr>
              <w:spacing w:after="60" w:line="260"/>
            </w:pPr>
            <w:r>
              <w:rPr>
                <w:rFonts w:ascii="Verdana" w:cs="Verdana" w:eastAsia="Verdana" w:hAnsi="Verdana"/>
                <w:sz w:val="20"/>
                <w:szCs w:val="20"/>
              </w:rPr>
              <w:t xml:space="preserve">Step 1: Rule 28(2) values a guarantee to a bank for a related person at 1% of the amount guaranteed per year, or the actual consideration, whichever is higher.</w:t>
            </w:r>
          </w:p>
          <w:p>
            <w:pPr>
              <w:spacing w:after="60" w:line="260"/>
            </w:pPr>
            <w:r>
              <w:rPr>
                <w:rFonts w:ascii="Verdana" w:cs="Verdana" w:eastAsia="Verdana" w:hAnsi="Verdana"/>
                <w:sz w:val="20"/>
                <w:szCs w:val="20"/>
              </w:rPr>
              <w:t xml:space="preserve">Step 2: For a three-year guarantee, Circular 225/19/2024 takes 1% for each year, taxed when the guarantee is given: 20,00,00,000 x 1% x 3 = Rs. 60,00,000.</w:t>
            </w:r>
          </w:p>
          <w:p>
            <w:pPr>
              <w:spacing w:after="60" w:line="260"/>
            </w:pPr>
            <w:r>
              <w:rPr>
                <w:rFonts w:ascii="Verdana" w:cs="Verdana" w:eastAsia="Verdana" w:hAnsi="Verdana"/>
                <w:sz w:val="20"/>
                <w:szCs w:val="20"/>
              </w:rPr>
              <w:t xml:space="preserve">Step 3: Mumbai to Gujarat is inter-State: IGST 18% = Rs. 10,80,000, paid by Vardhan, which may use its credit ledger.</w:t>
            </w:r>
          </w:p>
          <w:p>
            <w:pPr>
              <w:spacing w:after="60" w:line="260"/>
            </w:pPr>
            <w:r>
              <w:rPr>
                <w:rFonts w:ascii="Verdana" w:cs="Verdana" w:eastAsia="Verdana" w:hAnsi="Verdana"/>
                <w:sz w:val="20"/>
                <w:szCs w:val="20"/>
              </w:rPr>
              <w:t xml:space="preserve">Step 4: The subsidiary is eligible for full credit. The proviso to rule 28(2), inserted in 2024, accepts the invoice value in such a case, but Vardhan invoices at the rule 28(2) value so that the question never arises; the subsidiary takes the full credit.</w:t>
            </w:r>
          </w:p>
          <w:p>
            <w:pPr>
              <w:spacing w:after="60" w:line="260"/>
            </w:pPr>
            <w:r>
              <w:rPr>
                <w:rFonts w:ascii="Verdana" w:cs="Verdana" w:eastAsia="Verdana" w:hAnsi="Verdana"/>
                <w:sz w:val="20"/>
                <w:szCs w:val="20"/>
              </w:rPr>
              <w:t xml:space="preserve">Step 5: If the guarantee is renewed, a fresh supply arises on renewal.</w:t>
            </w:r>
          </w:p>
        </w:tc>
      </w:tr>
    </w:tbl>
    <w:p>
      <w:pPr>
        <w:spacing w:after="60"/>
      </w:pPr>
    </w:p>
    <w:p>
      <w:pPr>
        <w:spacing w:after="120" w:line="276"/>
        <w:jc w:val="both"/>
      </w:pPr>
      <w:r>
        <w:rPr>
          <w:rFonts w:ascii="Verdana" w:cs="Verdana" w:eastAsia="Verdana" w:hAnsi="Verdana"/>
          <w:b/>
          <w:bCs/>
        </w:rPr>
        <w:t xml:space="preserve">Secondment.</w:t>
      </w:r>
      <w:r>
        <w:rPr>
          <w:rFonts w:ascii="Verdana" w:cs="Verdana" w:eastAsia="Verdana" w:hAnsi="Verdana"/>
        </w:rPr>
        <w:t xml:space="preserve"> The engineer works in Mumbai under Vardhan's control but stays on Kessler's payroll. Kessler recharges his cost.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Secondment as manpower supply</w:t>
            </w:r>
          </w:p>
          <w:p>
            <w:pPr>
              <w:spacing w:after="60" w:line="260"/>
            </w:pPr>
            <w:r>
              <w:rPr>
                <w:rFonts w:ascii="Verdana" w:cs="Verdana" w:eastAsia="Verdana" w:hAnsi="Verdana"/>
                <w:b/>
                <w:bCs/>
                <w:sz w:val="20"/>
                <w:szCs w:val="20"/>
              </w:rPr>
              <w:t xml:space="preserve">Commissioner of Customs, Central Excise and Service Tax v. Northern Operating Systems (P) Ltd. (Supreme Court, 2022):</w:t>
            </w:r>
            <w:r>
              <w:rPr>
                <w:rFonts w:ascii="Verdana" w:cs="Verdana" w:eastAsia="Verdana" w:hAnsi="Verdana"/>
                <w:sz w:val="20"/>
                <w:szCs w:val="20"/>
              </w:rPr>
              <w:t xml:space="preserve"> In a service tax case, the Court held that an overseas group company seconding its employees to an Indian entity, which reimbursed their salary, was supplying manpower. The Court looked at the substance of the arrangement, not the label of employer. The principle carries to GST as an import of services taxed under reverse charge.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220: Reverse charge on the secondment recharge</w:t>
            </w:r>
          </w:p>
          <w:p>
            <w:pPr>
              <w:spacing w:after="60" w:line="260"/>
            </w:pPr>
            <w:r>
              <w:rPr>
                <w:rFonts w:ascii="Verdana" w:cs="Verdana" w:eastAsia="Verdana" w:hAnsi="Verdana"/>
                <w:sz w:val="20"/>
                <w:szCs w:val="20"/>
              </w:rPr>
              <w:t xml:space="preserve">Step 1: Kessler invoices quarterly: Rs. 18,00,000.</w:t>
            </w:r>
          </w:p>
          <w:p>
            <w:pPr>
              <w:spacing w:after="60" w:line="260"/>
            </w:pPr>
            <w:r>
              <w:rPr>
                <w:rFonts w:ascii="Verdana" w:cs="Verdana" w:eastAsia="Verdana" w:hAnsi="Verdana"/>
                <w:sz w:val="20"/>
                <w:szCs w:val="20"/>
              </w:rPr>
              <w:t xml:space="preserve">Step 2: Vardhan pays IGST under reverse charge each quarter: Rs. 3,24,000, in cash, and takes the credit in the same return. For the year, Rs. 12,96,000.</w:t>
            </w:r>
          </w:p>
          <w:p>
            <w:pPr>
              <w:spacing w:after="60" w:line="260"/>
            </w:pPr>
            <w:r>
              <w:rPr>
                <w:rFonts w:ascii="Verdana" w:cs="Verdana" w:eastAsia="Verdana" w:hAnsi="Verdana"/>
                <w:sz w:val="20"/>
                <w:szCs w:val="20"/>
              </w:rPr>
              <w:t xml:space="preserve">Step 3: Circular 210/4/2024: where the Indian recipient is eligible for full credit, the invoice value is the value, and where the foreign related party issues no invoice the value may be deemed nil. Since Kessler invoices, tax is paid on the invoice.</w:t>
            </w:r>
          </w:p>
          <w:p>
            <w:pPr>
              <w:spacing w:after="60" w:line="260"/>
            </w:pPr>
            <w:r>
              <w:rPr>
                <w:rFonts w:ascii="Verdana" w:cs="Verdana" w:eastAsia="Verdana" w:hAnsi="Verdana"/>
                <w:sz w:val="20"/>
                <w:szCs w:val="20"/>
              </w:rPr>
              <w:t xml:space="preserve">Step 4: The real cost is cash flow: the reverse charge must be paid in cash and the credit is used later.</w:t>
            </w:r>
          </w:p>
        </w:tc>
      </w:tr>
    </w:tbl>
    <w:p>
      <w:pPr>
        <w:spacing w:after="60"/>
      </w:pPr>
    </w:p>
    <w:p>
      <w:pPr>
        <w:spacing w:after="120" w:line="276"/>
        <w:jc w:val="both"/>
      </w:pPr>
      <w:r>
        <w:rPr>
          <w:rFonts w:ascii="Verdana" w:cs="Verdana" w:eastAsia="Verdana" w:hAnsi="Verdana"/>
          <w:b/>
          <w:bCs/>
        </w:rPr>
        <w:t xml:space="preserve">Directors.</w:t>
      </w:r>
      <w:r>
        <w:rPr>
          <w:rFonts w:ascii="Verdana" w:cs="Verdana" w:eastAsia="Verdana" w:hAnsi="Verdana"/>
        </w:rPr>
        <w:t xml:space="preserve"> Circular 140/10/2020 clarified that remuneration of a whole-time director treated as salary is outside GST. Fees and commission to independent directors are taxed under reverse charge in the company's hands. The place of supply is the company's location, Maharashtra.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Three directors in Maharashtra: 22,00,000 x 9% CGST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1,98,000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Same: 22,00,000 x 9% SGST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1,98,000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One director in Delhi: 8,00,000 x 18% IGST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1,44,000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Reverse charge on directors for the year</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Rs. 5,40,000</w:t>
            </w:r>
          </w:p>
        </w:tc>
      </w:tr>
    </w:tbl>
    <w:p>
      <w:pPr>
        <w:spacing w:after="60"/>
      </w:pPr>
    </w:p>
    <w:p>
      <w:pPr>
        <w:pStyle w:val="Heading2"/>
        <w:keepNext/>
        <w:spacing w:after="120" w:before="240"/>
      </w:pPr>
      <w:r>
        <w:rPr>
          <w:rFonts w:ascii="Verdana" w:cs="Verdana" w:eastAsia="Verdana" w:hAnsi="Verdana"/>
        </w:rPr>
        <w:t xml:space="preserve">53.4 Compliance and documentation</w:t>
      </w:r>
    </w:p>
    <w:p>
      <w:pPr>
        <w:pStyle w:val="ListParagraph"/>
        <w:numPr>
          <w:ilvl w:val="0"/>
          <w:numId w:val="2"/>
        </w:numPr>
        <w:spacing w:after="60" w:line="264"/>
      </w:pPr>
      <w:r>
        <w:rPr>
          <w:rFonts w:ascii="Verdana" w:cs="Verdana" w:eastAsia="Verdana" w:hAnsi="Verdana"/>
        </w:rPr>
        <w:t xml:space="preserve">ISD registration and GSTR-6 by the 13th; ISD invoices to each unit.</w:t>
      </w:r>
    </w:p>
    <w:p>
      <w:pPr>
        <w:pStyle w:val="ListParagraph"/>
        <w:numPr>
          <w:ilvl w:val="0"/>
          <w:numId w:val="2"/>
        </w:numPr>
        <w:spacing w:after="60" w:line="264"/>
      </w:pPr>
      <w:r>
        <w:rPr>
          <w:rFonts w:ascii="Verdana" w:cs="Verdana" w:eastAsia="Verdana" w:hAnsi="Verdana"/>
        </w:rPr>
        <w:t xml:space="preserve">Cross charge invoices from the Maharashtra GSTIN, e-invoiced if the turnover test is met.</w:t>
      </w:r>
    </w:p>
    <w:p>
      <w:pPr>
        <w:pStyle w:val="ListParagraph"/>
        <w:numPr>
          <w:ilvl w:val="0"/>
          <w:numId w:val="2"/>
        </w:numPr>
        <w:spacing w:after="60" w:line="264"/>
      </w:pPr>
      <w:r>
        <w:rPr>
          <w:rFonts w:ascii="Verdana" w:cs="Verdana" w:eastAsia="Verdana" w:hAnsi="Verdana"/>
        </w:rPr>
        <w:t xml:space="preserve">Guarantee: tax invoice to the subsidiary on 1 July 2026; board note on valuation.</w:t>
      </w:r>
    </w:p>
    <w:p>
      <w:pPr>
        <w:pStyle w:val="ListParagraph"/>
        <w:numPr>
          <w:ilvl w:val="0"/>
          <w:numId w:val="2"/>
        </w:numPr>
        <w:spacing w:after="60" w:line="264"/>
      </w:pPr>
      <w:r>
        <w:rPr>
          <w:rFonts w:ascii="Verdana" w:cs="Verdana" w:eastAsia="Verdana" w:hAnsi="Verdana"/>
        </w:rPr>
        <w:t xml:space="preserve">Self-invoices for secondment and directors' fees; reverse charge in Table 3.1(d) and credit in Table 4A(2) (imports) and 4A(3).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b/>
                <w:bCs/>
                <w:sz w:val="20"/>
                <w:szCs w:val="20"/>
              </w:rPr>
              <w:t xml:space="preserve">Lessons</w:t>
            </w:r>
          </w:p>
          <w:p>
            <w:pPr>
              <w:spacing w:after="60" w:line="260"/>
            </w:pPr>
            <w:r>
              <w:rPr>
                <w:rFonts w:ascii="Verdana" w:cs="Verdana" w:eastAsia="Verdana" w:hAnsi="Verdana"/>
                <w:sz w:val="20"/>
                <w:szCs w:val="20"/>
              </w:rPr>
              <w:t xml:space="preserve">Third-party common services go through ISD; internal services are cross charged. Keep the two apart.</w:t>
            </w:r>
          </w:p>
          <w:p>
            <w:pPr>
              <w:spacing w:after="60" w:line="260"/>
            </w:pPr>
            <w:r>
              <w:rPr>
                <w:rFonts w:ascii="Verdana" w:cs="Verdana" w:eastAsia="Verdana" w:hAnsi="Verdana"/>
                <w:sz w:val="20"/>
                <w:szCs w:val="20"/>
              </w:rPr>
              <w:t xml:space="preserve">Full credit at the receiving end makes most group valuation questions revenue neutral, but not cash neutral.</w:t>
            </w:r>
          </w:p>
          <w:p>
            <w:pPr>
              <w:spacing w:after="60" w:line="260"/>
            </w:pPr>
            <w:r>
              <w:rPr>
                <w:rFonts w:ascii="Verdana" w:cs="Verdana" w:eastAsia="Verdana" w:hAnsi="Verdana"/>
                <w:sz w:val="20"/>
                <w:szCs w:val="20"/>
              </w:rPr>
              <w:t xml:space="preserve">Check the substance of every secondment; payroll location alone does not decide it.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ISD distribution is mandatory for third-party common services from 1 April 2025.</w:t>
            </w:r>
          </w:p>
          <w:p>
            <w:pPr>
              <w:spacing w:after="60" w:line="260"/>
            </w:pPr>
            <w:r>
              <w:rPr>
                <w:rFonts w:ascii="Verdana" w:cs="Verdana" w:eastAsia="Verdana" w:hAnsi="Verdana"/>
                <w:sz w:val="20"/>
                <w:szCs w:val="20"/>
              </w:rPr>
              <w:t xml:space="preserve">•  A three-year guarantee of Rs. 20 crore is valued at Rs. 60,00,000, with IGST Rs. 10,80,000.</w:t>
            </w:r>
          </w:p>
          <w:p>
            <w:pPr>
              <w:spacing w:after="60" w:line="260"/>
            </w:pPr>
            <w:r>
              <w:rPr>
                <w:rFonts w:ascii="Verdana" w:cs="Verdana" w:eastAsia="Verdana" w:hAnsi="Verdana"/>
                <w:sz w:val="20"/>
                <w:szCs w:val="20"/>
              </w:rPr>
              <w:t xml:space="preserve">•  Secondment recharges bear reverse charge of Rs. 12,96,000 a year, creditable.</w:t>
            </w:r>
          </w:p>
          <w:p>
            <w:pPr>
              <w:spacing w:after="60" w:line="260"/>
            </w:pPr>
            <w:r>
              <w:rPr>
                <w:rFonts w:ascii="Verdana" w:cs="Verdana" w:eastAsia="Verdana" w:hAnsi="Verdana"/>
                <w:sz w:val="20"/>
                <w:szCs w:val="20"/>
              </w:rPr>
              <w:t xml:space="preserve">•  Independent directors' fees bear reverse charge of Rs. 5,40,000.</w:t>
            </w:r>
          </w:p>
        </w:tc>
      </w:tr>
    </w:tbl>
    <w:p>
      <w:pPr>
        <w:pStyle w:val="Heading1"/>
        <w:pageBreakBefore/>
        <w:spacing w:after="200" w:before="0"/>
      </w:pPr>
      <w:r>
        <w:rPr>
          <w:rFonts w:ascii="Verdana" w:cs="Verdana" w:eastAsia="Verdana" w:hAnsi="Verdana"/>
        </w:rPr>
        <w:t xml:space="preserve">54. Case Study 10: Importer and Distributor</w:t>
      </w:r>
    </w:p>
    <w:p>
      <w:pPr>
        <w:pStyle w:val="Heading2"/>
        <w:keepNext/>
        <w:spacing w:after="120" w:before="240"/>
      </w:pPr>
      <w:r>
        <w:rPr>
          <w:rFonts w:ascii="Verdana" w:cs="Verdana" w:eastAsia="Verdana" w:hAnsi="Verdana"/>
        </w:rPr>
        <w:t xml:space="preserve">54.1 Facts</w:t>
      </w:r>
    </w:p>
    <w:p>
      <w:pPr>
        <w:spacing w:after="120" w:line="276"/>
        <w:jc w:val="both"/>
      </w:pPr>
      <w:r>
        <w:rPr>
          <w:rFonts w:ascii="Verdana" w:cs="Verdana" w:eastAsia="Verdana" w:hAnsi="Verdana"/>
        </w:rPr>
        <w:t xml:space="preserve">Oceanic Instruments Pvt. Ltd., Chennai, Tamil Nadu, imports laboratory instruments and sells them in India. Transactions in </w:t>
      </w:r>
      <w:r>
        <w:rPr>
          <w:rFonts w:ascii="Verdana" w:cs="Verdana" w:eastAsia="Verdana" w:hAnsi="Verdana"/>
          <w:b/>
          <w:bCs/>
        </w:rPr>
        <w:t xml:space="preserve">July 2026</w:t>
      </w:r>
      <w:r>
        <w:rPr>
          <w:rFonts w:ascii="Verdana" w:cs="Verdana" w:eastAsia="Verdana" w:hAnsi="Verdana"/>
        </w:rPr>
        <w:t xml:space="preserve">:</w:t>
      </w:r>
    </w:p>
    <w:p>
      <w:pPr>
        <w:pStyle w:val="ListParagraph"/>
        <w:numPr>
          <w:ilvl w:val="0"/>
          <w:numId w:val="2"/>
        </w:numPr>
        <w:spacing w:after="60" w:line="264"/>
      </w:pPr>
      <w:r>
        <w:rPr>
          <w:rFonts w:ascii="Verdana" w:cs="Verdana" w:eastAsia="Verdana" w:hAnsi="Verdana"/>
        </w:rPr>
        <w:t xml:space="preserve">Direct import from Japan: FOB USD 46,500, freight USD 3,000, insurance USD 500. Customs exchange rate Rs. 85 per USD. Basic customs duty (BCD) 10% (tariff rate assumed for this case), Social Welfare Surcharge (SWS) 10% of BCD, IGST 18%.</w:t>
      </w:r>
    </w:p>
    <w:p>
      <w:pPr>
        <w:pStyle w:val="ListParagraph"/>
        <w:numPr>
          <w:ilvl w:val="0"/>
          <w:numId w:val="2"/>
        </w:numPr>
        <w:spacing w:after="60" w:line="264"/>
      </w:pPr>
      <w:r>
        <w:rPr>
          <w:rFonts w:ascii="Verdana" w:cs="Verdana" w:eastAsia="Verdana" w:hAnsi="Verdana"/>
        </w:rPr>
        <w:t xml:space="preserve">High sea purchase from Pacific Trade Links LLP, which imported goods of CIF USD 20,000 (Rs. 17,00,000) and sold them to Oceanic for Rs. 18,00,000 by endorsing the bill of lading before arrival.</w:t>
      </w:r>
    </w:p>
    <w:p>
      <w:pPr>
        <w:pStyle w:val="ListParagraph"/>
        <w:numPr>
          <w:ilvl w:val="0"/>
          <w:numId w:val="2"/>
        </w:numPr>
        <w:spacing w:after="60" w:line="264"/>
      </w:pPr>
      <w:r>
        <w:rPr>
          <w:rFonts w:ascii="Verdana" w:cs="Verdana" w:eastAsia="Verdana" w:hAnsi="Verdana"/>
        </w:rPr>
        <w:t xml:space="preserve">Annual subscription to a US laboratory data software, USD 12,000, used in the business.</w:t>
      </w:r>
    </w:p>
    <w:p>
      <w:pPr>
        <w:pStyle w:val="ListParagraph"/>
        <w:numPr>
          <w:ilvl w:val="0"/>
          <w:numId w:val="2"/>
        </w:numPr>
        <w:spacing w:after="60" w:line="264"/>
      </w:pPr>
      <w:r>
        <w:rPr>
          <w:rFonts w:ascii="Verdana" w:cs="Verdana" w:eastAsia="Verdana" w:hAnsi="Verdana"/>
        </w:rPr>
        <w:t xml:space="preserve">Sale of three analysers at Rs. 8,00,000 each to Deccan Diagnostics Pvt. Ltd., Bengaluru, shipped on Deccan's instruction directly to a hospital in Hyderabad, to which Deccan resold them for Rs. 27,00,000.</w:t>
      </w:r>
    </w:p>
    <w:p>
      <w:pPr>
        <w:pStyle w:val="ListParagraph"/>
        <w:numPr>
          <w:ilvl w:val="0"/>
          <w:numId w:val="2"/>
        </w:numPr>
        <w:spacing w:after="60" w:line="264"/>
      </w:pPr>
      <w:r>
        <w:rPr>
          <w:rFonts w:ascii="Verdana" w:cs="Verdana" w:eastAsia="Verdana" w:hAnsi="Verdana"/>
        </w:rPr>
        <w:t xml:space="preserve">Sales within Tamil Nadu: Rs. 40,00,000 at 18%.</w:t>
      </w:r>
    </w:p>
    <w:p>
      <w:pPr>
        <w:pStyle w:val="Heading2"/>
        <w:keepNext/>
        <w:spacing w:after="120" w:before="240"/>
      </w:pPr>
      <w:r>
        <w:rPr>
          <w:rFonts w:ascii="Verdana" w:cs="Verdana" w:eastAsia="Verdana" w:hAnsi="Verdana"/>
        </w:rPr>
        <w:t xml:space="preserve">54.2 Issues</w:t>
      </w:r>
    </w:p>
    <w:p>
      <w:pPr>
        <w:pStyle w:val="ListParagraph"/>
        <w:numPr>
          <w:ilvl w:val="0"/>
          <w:numId w:val="2"/>
        </w:numPr>
        <w:spacing w:after="60" w:line="264"/>
      </w:pPr>
      <w:r>
        <w:rPr>
          <w:rFonts w:ascii="Verdana" w:cs="Verdana" w:eastAsia="Verdana" w:hAnsi="Verdana"/>
        </w:rPr>
        <w:t xml:space="preserve">Customs value, duties and IGST on import, and credit of IGST.</w:t>
      </w:r>
    </w:p>
    <w:p>
      <w:pPr>
        <w:pStyle w:val="ListParagraph"/>
        <w:numPr>
          <w:ilvl w:val="0"/>
          <w:numId w:val="2"/>
        </w:numPr>
        <w:spacing w:after="60" w:line="264"/>
      </w:pPr>
      <w:r>
        <w:rPr>
          <w:rFonts w:ascii="Verdana" w:cs="Verdana" w:eastAsia="Verdana" w:hAnsi="Verdana"/>
        </w:rPr>
        <w:t xml:space="preserve">High sea sale: where IGST is paid and on what value.</w:t>
      </w:r>
    </w:p>
    <w:p>
      <w:pPr>
        <w:pStyle w:val="ListParagraph"/>
        <w:numPr>
          <w:ilvl w:val="0"/>
          <w:numId w:val="2"/>
        </w:numPr>
        <w:spacing w:after="60" w:line="264"/>
      </w:pPr>
      <w:r>
        <w:rPr>
          <w:rFonts w:ascii="Verdana" w:cs="Verdana" w:eastAsia="Verdana" w:hAnsi="Verdana"/>
        </w:rPr>
        <w:t xml:space="preserve">Import of software services under reverse charge.</w:t>
      </w:r>
    </w:p>
    <w:p>
      <w:pPr>
        <w:pStyle w:val="ListParagraph"/>
        <w:numPr>
          <w:ilvl w:val="0"/>
          <w:numId w:val="2"/>
        </w:numPr>
        <w:spacing w:after="60" w:line="264"/>
      </w:pPr>
      <w:r>
        <w:rPr>
          <w:rFonts w:ascii="Verdana" w:cs="Verdana" w:eastAsia="Verdana" w:hAnsi="Verdana"/>
        </w:rPr>
        <w:t xml:space="preserve">Place of supply and documents in a bill-to-ship-to sale.</w:t>
      </w:r>
    </w:p>
    <w:p>
      <w:pPr>
        <w:pStyle w:val="Heading2"/>
        <w:keepNext/>
        <w:spacing w:after="120" w:before="240"/>
      </w:pPr>
      <w:r>
        <w:rPr>
          <w:rFonts w:ascii="Verdana" w:cs="Verdana" w:eastAsia="Verdana" w:hAnsi="Verdana"/>
        </w:rPr>
        <w:t xml:space="preserve">54.3 Analysis and computation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CIF value: 46,500 + 3,000 + 500 = USD 50,000 x 85 (assessable value)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42,50,000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BCD at 10%</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4,25,000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SWS at 10% of BCD</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42,500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Value for IGST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47,17,500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IGST at 18%</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8,49,150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duty and tax on the bill of entry</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Rs. 13,16,650</w:t>
            </w:r>
          </w:p>
        </w:tc>
      </w:tr>
    </w:tbl>
    <w:p>
      <w:pPr>
        <w:spacing w:after="60"/>
      </w:pPr>
    </w:p>
    <w:p>
      <w:pPr>
        <w:spacing w:after="120" w:line="276"/>
        <w:jc w:val="both"/>
      </w:pPr>
      <w:r>
        <w:rPr>
          <w:rFonts w:ascii="Verdana" w:cs="Verdana" w:eastAsia="Verdana" w:hAnsi="Verdana"/>
        </w:rPr>
        <w:t xml:space="preserve">IGST of Rs. 8,49,150 is credit for Oceanic under section 16. It flows into GSTR-2B from the customs data, and the bill of entry is the document for credit. BCD and SWS are costs, so the landed cost for inventory is Rs. 47,17,500.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221: High sea purchase</w:t>
            </w:r>
          </w:p>
          <w:p>
            <w:pPr>
              <w:spacing w:after="60" w:line="260"/>
            </w:pPr>
            <w:r>
              <w:rPr>
                <w:rFonts w:ascii="Verdana" w:cs="Verdana" w:eastAsia="Verdana" w:hAnsi="Verdana"/>
                <w:sz w:val="20"/>
                <w:szCs w:val="20"/>
              </w:rPr>
              <w:t xml:space="preserve">Step 1: A sale by the consignee by endorsing documents of title after dispatch from the port of origin and before clearance for home consumption is neither a supply of goods nor services (paragraph 8(b) of Schedule III). Pacific charges no GST.</w:t>
            </w:r>
          </w:p>
          <w:p>
            <w:pPr>
              <w:spacing w:after="60" w:line="260"/>
            </w:pPr>
            <w:r>
              <w:rPr>
                <w:rFonts w:ascii="Verdana" w:cs="Verdana" w:eastAsia="Verdana" w:hAnsi="Verdana"/>
                <w:sz w:val="20"/>
                <w:szCs w:val="20"/>
              </w:rPr>
              <w:t xml:space="preserve">Step 2: Oceanic files the bill of entry. Customs takes the high sea sale price, which includes Pacific's margin, as the value: Rs. 18,00,000.</w:t>
            </w:r>
          </w:p>
          <w:p>
            <w:pPr>
              <w:spacing w:after="60" w:line="260"/>
            </w:pPr>
            <w:r>
              <w:rPr>
                <w:rFonts w:ascii="Verdana" w:cs="Verdana" w:eastAsia="Verdana" w:hAnsi="Verdana"/>
                <w:sz w:val="20"/>
                <w:szCs w:val="20"/>
              </w:rPr>
              <w:t xml:space="preserve">Step 3: BCD Rs. 1,80,000; SWS Rs. 18,000; value for IGST Rs. 19,98,000; IGST Rs. 3,59,640.</w:t>
            </w:r>
          </w:p>
          <w:p>
            <w:pPr>
              <w:spacing w:after="60" w:line="260"/>
            </w:pPr>
            <w:r>
              <w:rPr>
                <w:rFonts w:ascii="Verdana" w:cs="Verdana" w:eastAsia="Verdana" w:hAnsi="Verdana"/>
                <w:sz w:val="20"/>
                <w:szCs w:val="20"/>
              </w:rPr>
              <w:t xml:space="preserve">Step 4: IGST is paid once, at customs, by Oceanic, and Oceanic takes the credit. Keep the high sea sale agreement and endorsed bill of lading on file.</w:t>
            </w:r>
          </w:p>
        </w:tc>
      </w:tr>
    </w:tbl>
    <w:p>
      <w:pPr>
        <w:spacing w:after="60"/>
      </w:pPr>
    </w:p>
    <w:p>
      <w:pPr>
        <w:spacing w:after="120" w:line="276"/>
        <w:jc w:val="both"/>
      </w:pPr>
      <w:r>
        <w:rPr>
          <w:rFonts w:ascii="Verdana" w:cs="Verdana" w:eastAsia="Verdana" w:hAnsi="Verdana"/>
          <w:b/>
          <w:bCs/>
        </w:rPr>
        <w:t xml:space="preserve">Software.</w:t>
      </w:r>
      <w:r>
        <w:rPr>
          <w:rFonts w:ascii="Verdana" w:cs="Verdana" w:eastAsia="Verdana" w:hAnsi="Verdana"/>
        </w:rPr>
        <w:t xml:space="preserve"> An import of services by a business is taxed under reverse charge (section 5(3) of the IGST Act). Value at Rs. 85: Rs. 10,20,000; IGST Rs. 1,83,600, paid in cash and taken as credit in the same month. The time of supply is the earlier of the date of payment and the day after 60 days from the supplier's invoice (section 13(3) of the CGST 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222: Bill-to-ship-to sale</w:t>
            </w:r>
          </w:p>
          <w:p>
            <w:pPr>
              <w:spacing w:after="60" w:line="260"/>
            </w:pPr>
            <w:r>
              <w:rPr>
                <w:rFonts w:ascii="Verdana" w:cs="Verdana" w:eastAsia="Verdana" w:hAnsi="Verdana"/>
                <w:sz w:val="20"/>
                <w:szCs w:val="20"/>
              </w:rPr>
              <w:t xml:space="preserve">Step 1: Section 10(1)(b) of the IGST Act: where goods are delivered to another person on the direction of a third person, the third person is deemed to have received them, and the place of supply is its principal place of business.</w:t>
            </w:r>
          </w:p>
          <w:p>
            <w:pPr>
              <w:spacing w:after="60" w:line="260"/>
            </w:pPr>
            <w:r>
              <w:rPr>
                <w:rFonts w:ascii="Verdana" w:cs="Verdana" w:eastAsia="Verdana" w:hAnsi="Verdana"/>
                <w:sz w:val="20"/>
                <w:szCs w:val="20"/>
              </w:rPr>
              <w:t xml:space="preserve">Step 2: Oceanic to Deccan: place of supply Karnataka. Inter-State: IGST 24,00,000 x 18% = Rs. 4,32,000.</w:t>
            </w:r>
          </w:p>
          <w:p>
            <w:pPr>
              <w:spacing w:after="60" w:line="260"/>
            </w:pPr>
            <w:r>
              <w:rPr>
                <w:rFonts w:ascii="Verdana" w:cs="Verdana" w:eastAsia="Verdana" w:hAnsi="Verdana"/>
                <w:sz w:val="20"/>
                <w:szCs w:val="20"/>
              </w:rPr>
              <w:t xml:space="preserve">Step 3: Deccan to hospital: goods delivered in Telangana, inter-State from Karnataka: IGST 27,00,000 x 18% = Rs. 4,86,000.</w:t>
            </w:r>
          </w:p>
          <w:p>
            <w:pPr>
              <w:spacing w:after="60" w:line="260"/>
            </w:pPr>
            <w:r>
              <w:rPr>
                <w:rFonts w:ascii="Verdana" w:cs="Verdana" w:eastAsia="Verdana" w:hAnsi="Verdana"/>
                <w:sz w:val="20"/>
                <w:szCs w:val="20"/>
              </w:rPr>
              <w:t xml:space="preserve">Step 4: Deccan takes credit though the goods never reached Karnataka, because section 16(2)(b) treats goods delivered to another person on its direction as received by it.</w:t>
            </w:r>
          </w:p>
          <w:p>
            <w:pPr>
              <w:spacing w:after="60" w:line="260"/>
            </w:pPr>
            <w:r>
              <w:rPr>
                <w:rFonts w:ascii="Verdana" w:cs="Verdana" w:eastAsia="Verdana" w:hAnsi="Verdana"/>
                <w:sz w:val="20"/>
                <w:szCs w:val="20"/>
              </w:rPr>
              <w:t xml:space="preserve">Step 5: One e-way bill covers the movement: bill-to Deccan (Karnataka GSTIN), ship-to the hospital address. Oceanic's tax invoice shows both addresses.</w:t>
            </w:r>
          </w:p>
        </w:tc>
      </w:tr>
    </w:tbl>
    <w:p>
      <w:pPr>
        <w:spacing w:after="60"/>
      </w:pPr>
    </w:p>
    <w:p>
      <w:pPr>
        <w:spacing w:after="120" w:line="276"/>
        <w:jc w:val="both"/>
      </w:pPr>
      <w:r>
        <w:rPr>
          <w:rFonts w:ascii="Verdana" w:cs="Verdana" w:eastAsia="Verdana" w:hAnsi="Verdana"/>
        </w:rPr>
        <w:t xml:space="preserve">The month's set-off for Oceanic: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IGST credit: import + high sea + software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13,92,390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IGST on sale to Deccan</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4,32,000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CGST on Tamil Nadu sales, paid from IGST credit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3,60,000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SGST on Tamil Nadu sales, paid from IGST credit</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3,60,000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IGST credit carried forward</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Rs. 2,40,390</w:t>
            </w:r>
          </w:p>
        </w:tc>
      </w:tr>
    </w:tbl>
    <w:p>
      <w:pPr>
        <w:spacing w:after="60"/>
      </w:pPr>
    </w:p>
    <w:p>
      <w:pPr>
        <w:spacing w:after="120" w:line="276"/>
        <w:jc w:val="both"/>
      </w:pPr>
      <w:r>
        <w:rPr>
          <w:rFonts w:ascii="Verdana" w:cs="Verdana" w:eastAsia="Verdana" w:hAnsi="Verdana"/>
        </w:rPr>
        <w:t xml:space="preserve">Output tax is fully covered by credit. The only cash payment for the month is the reverse charge of Rs. 1,83,600 on software, which cannot be paid from the credit ledger.</w:t>
      </w:r>
    </w:p>
    <w:p>
      <w:pPr>
        <w:pStyle w:val="Heading2"/>
        <w:keepNext/>
        <w:spacing w:after="120" w:before="240"/>
      </w:pPr>
      <w:r>
        <w:rPr>
          <w:rFonts w:ascii="Verdana" w:cs="Verdana" w:eastAsia="Verdana" w:hAnsi="Verdana"/>
        </w:rPr>
        <w:t xml:space="preserve">54.4 Compliance and documentation</w:t>
      </w:r>
    </w:p>
    <w:p>
      <w:pPr>
        <w:pStyle w:val="ListParagraph"/>
        <w:numPr>
          <w:ilvl w:val="0"/>
          <w:numId w:val="2"/>
        </w:numPr>
        <w:spacing w:after="60" w:line="264"/>
      </w:pPr>
      <w:r>
        <w:rPr>
          <w:rFonts w:ascii="Verdana" w:cs="Verdana" w:eastAsia="Verdana" w:hAnsi="Verdana"/>
        </w:rPr>
        <w:t xml:space="preserve">Bill of entry and customs duty payment through ICEGATE; check that IGST reflects in GSTR-2B under imports before claiming.</w:t>
      </w:r>
    </w:p>
    <w:p>
      <w:pPr>
        <w:pStyle w:val="ListParagraph"/>
        <w:numPr>
          <w:ilvl w:val="0"/>
          <w:numId w:val="2"/>
        </w:numPr>
        <w:spacing w:after="60" w:line="264"/>
      </w:pPr>
      <w:r>
        <w:rPr>
          <w:rFonts w:ascii="Verdana" w:cs="Verdana" w:eastAsia="Verdana" w:hAnsi="Verdana"/>
        </w:rPr>
        <w:t xml:space="preserve">Reverse charge on software in Table 3.1(d); credit in Table 4A(2).</w:t>
      </w:r>
    </w:p>
    <w:p>
      <w:pPr>
        <w:pStyle w:val="ListParagraph"/>
        <w:numPr>
          <w:ilvl w:val="0"/>
          <w:numId w:val="2"/>
        </w:numPr>
        <w:spacing w:after="60" w:line="264"/>
      </w:pPr>
      <w:r>
        <w:rPr>
          <w:rFonts w:ascii="Verdana" w:cs="Verdana" w:eastAsia="Verdana" w:hAnsi="Verdana"/>
        </w:rPr>
        <w:t xml:space="preserve">GSTR-1 invoice to Deccan with place of supply Karnataka; e-invoice and e-way bill.</w:t>
      </w:r>
    </w:p>
    <w:p>
      <w:pPr>
        <w:pStyle w:val="ListParagraph"/>
        <w:numPr>
          <w:ilvl w:val="0"/>
          <w:numId w:val="2"/>
        </w:numPr>
        <w:spacing w:after="60" w:line="264"/>
      </w:pPr>
      <w:r>
        <w:rPr>
          <w:rFonts w:ascii="Verdana" w:cs="Verdana" w:eastAsia="Verdana" w:hAnsi="Verdana"/>
        </w:rPr>
        <w:t xml:space="preserve">Import records reconciled monthly: bill of entry IGST against GSTR-2B and books.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b/>
                <w:bCs/>
                <w:sz w:val="20"/>
                <w:szCs w:val="20"/>
              </w:rPr>
              <w:t xml:space="preserve">Lessons</w:t>
            </w:r>
          </w:p>
          <w:p>
            <w:pPr>
              <w:spacing w:after="60" w:line="260"/>
            </w:pPr>
            <w:r>
              <w:rPr>
                <w:rFonts w:ascii="Verdana" w:cs="Verdana" w:eastAsia="Verdana" w:hAnsi="Verdana"/>
                <w:sz w:val="20"/>
                <w:szCs w:val="20"/>
              </w:rPr>
              <w:t xml:space="preserve">IGST on imports is credit; BCD and SWS are costs. Price the goods on the right base.</w:t>
            </w:r>
          </w:p>
          <w:p>
            <w:pPr>
              <w:spacing w:after="60" w:line="260"/>
            </w:pPr>
            <w:r>
              <w:rPr>
                <w:rFonts w:ascii="Verdana" w:cs="Verdana" w:eastAsia="Verdana" w:hAnsi="Verdana"/>
                <w:sz w:val="20"/>
                <w:szCs w:val="20"/>
              </w:rPr>
              <w:t xml:space="preserve">In a high sea sale, the whole chain's margin is taxed once, at customs.</w:t>
            </w:r>
          </w:p>
          <w:p>
            <w:pPr>
              <w:spacing w:after="60" w:line="260"/>
            </w:pPr>
            <w:r>
              <w:rPr>
                <w:rFonts w:ascii="Verdana" w:cs="Verdana" w:eastAsia="Verdana" w:hAnsi="Verdana"/>
                <w:sz w:val="20"/>
                <w:szCs w:val="20"/>
              </w:rPr>
              <w:t xml:space="preserve">In bill-to-ship-to, the place of supply follows the person who gave the delivery instruction.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Direct import bore duty and IGST of Rs. 13,16,650, of which IGST Rs. 8,49,150 is credit.</w:t>
            </w:r>
          </w:p>
          <w:p>
            <w:pPr>
              <w:spacing w:after="60" w:line="260"/>
            </w:pPr>
            <w:r>
              <w:rPr>
                <w:rFonts w:ascii="Verdana" w:cs="Verdana" w:eastAsia="Verdana" w:hAnsi="Verdana"/>
                <w:sz w:val="20"/>
                <w:szCs w:val="20"/>
              </w:rPr>
              <w:t xml:space="preserve">•  High sea sales are outside GST; IGST is paid at customs on the high sea price.</w:t>
            </w:r>
          </w:p>
          <w:p>
            <w:pPr>
              <w:spacing w:after="60" w:line="260"/>
            </w:pPr>
            <w:r>
              <w:rPr>
                <w:rFonts w:ascii="Verdana" w:cs="Verdana" w:eastAsia="Verdana" w:hAnsi="Verdana"/>
                <w:sz w:val="20"/>
                <w:szCs w:val="20"/>
              </w:rPr>
              <w:t xml:space="preserve">•  Software imported bears reverse charge IGST of Rs. 1,83,600, paid in cash.</w:t>
            </w:r>
          </w:p>
          <w:p>
            <w:pPr>
              <w:spacing w:after="60" w:line="260"/>
            </w:pPr>
            <w:r>
              <w:rPr>
                <w:rFonts w:ascii="Verdana" w:cs="Verdana" w:eastAsia="Verdana" w:hAnsi="Verdana"/>
                <w:sz w:val="20"/>
                <w:szCs w:val="20"/>
              </w:rPr>
              <w:t xml:space="preserve">•  Bill-to-ship-to supply to Deccan is inter-State with place of supply Karnataka.</w:t>
            </w:r>
          </w:p>
        </w:tc>
      </w:tr>
    </w:tbl>
    <w:p>
      <w:pPr>
        <w:pStyle w:val="Heading1"/>
        <w:pageBreakBefore/>
        <w:spacing w:after="200" w:before="0"/>
      </w:pPr>
      <w:r>
        <w:rPr>
          <w:rFonts w:ascii="Verdana" w:cs="Verdana" w:eastAsia="Verdana" w:hAnsi="Verdana"/>
        </w:rPr>
        <w:t xml:space="preserve">55. Case Study 11: Transport Operator Choosing the GTA Option</w:t>
      </w:r>
    </w:p>
    <w:p>
      <w:pPr>
        <w:pStyle w:val="Heading2"/>
        <w:keepNext/>
        <w:spacing w:after="120" w:before="240"/>
      </w:pPr>
      <w:r>
        <w:rPr>
          <w:rFonts w:ascii="Verdana" w:cs="Verdana" w:eastAsia="Verdana" w:hAnsi="Verdana"/>
        </w:rPr>
        <w:t xml:space="preserve">55.1 Facts</w:t>
      </w:r>
    </w:p>
    <w:p>
      <w:pPr>
        <w:spacing w:after="120" w:line="276"/>
        <w:jc w:val="both"/>
      </w:pPr>
      <w:r>
        <w:rPr>
          <w:rFonts w:ascii="Verdana" w:cs="Verdana" w:eastAsia="Verdana" w:hAnsi="Verdana"/>
        </w:rPr>
        <w:t xml:space="preserve">Shivam Roadlines, Morbi, Gujarat, is a goods transport agency issuing consignment notes. For FY 2027-28 it must decide, by 31 March 2027, whether to stay at 5% without ITC or opt for 18% with ITC. Its expected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18"/>
        <w:gridCol w:w="2509"/>
        <w:gridCol w:w="2511"/>
      </w:tblGrid>
      <w:tr>
        <w:trPr>
          <w:cantSplit/>
          <w:tblHeader/>
        </w:trPr>
        <w:tc>
          <w:tcPr>
            <w:tcW w:type="dxa" w:w="461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Item</w:t>
            </w:r>
          </w:p>
        </w:tc>
        <w:tc>
          <w:tcPr>
            <w:tcW w:type="dxa" w:w="250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Amount (Rs.)</w:t>
            </w:r>
          </w:p>
        </w:tc>
        <w:tc>
          <w:tcPr>
            <w:tcW w:type="dxa" w:w="251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GST on it (Rs.)</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Freight from large manufacturers (profile A)</w:t>
            </w:r>
          </w:p>
        </w:tc>
        <w:tc>
          <w:tcPr>
            <w:tcW w:type="dxa" w:w="25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2,10,00,000</w:t>
            </w:r>
          </w:p>
        </w:tc>
        <w:tc>
          <w:tcPr>
            <w:tcW w:type="dxa" w:w="25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Freight from small composition traders (profile B)</w:t>
            </w:r>
          </w:p>
        </w:tc>
        <w:tc>
          <w:tcPr>
            <w:tcW w:type="dxa" w:w="25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90,00,000</w:t>
            </w:r>
          </w:p>
        </w:tc>
        <w:tc>
          <w:tcPr>
            <w:tcW w:type="dxa" w:w="25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Diesel</w:t>
            </w:r>
          </w:p>
        </w:tc>
        <w:tc>
          <w:tcPr>
            <w:tcW w:type="dxa" w:w="25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1,20,00,000</w:t>
            </w:r>
          </w:p>
        </w:tc>
        <w:tc>
          <w:tcPr>
            <w:tcW w:type="dxa" w:w="25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Outside GST</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Driver wages</w:t>
            </w:r>
          </w:p>
        </w:tc>
        <w:tc>
          <w:tcPr>
            <w:tcW w:type="dxa" w:w="25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45,00,000</w:t>
            </w:r>
          </w:p>
        </w:tc>
        <w:tc>
          <w:tcPr>
            <w:tcW w:type="dxa" w:w="25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Nil</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Tolls</w:t>
            </w:r>
          </w:p>
        </w:tc>
        <w:tc>
          <w:tcPr>
            <w:tcW w:type="dxa" w:w="25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15,00,000</w:t>
            </w:r>
          </w:p>
        </w:tc>
        <w:tc>
          <w:tcPr>
            <w:tcW w:type="dxa" w:w="25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Nil</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Repairs and spares</w:t>
            </w:r>
          </w:p>
        </w:tc>
        <w:tc>
          <w:tcPr>
            <w:tcW w:type="dxa" w:w="25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30,00,000</w:t>
            </w:r>
          </w:p>
        </w:tc>
        <w:tc>
          <w:tcPr>
            <w:tcW w:type="dxa" w:w="25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5,40,000</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Tyres</w:t>
            </w:r>
          </w:p>
        </w:tc>
        <w:tc>
          <w:tcPr>
            <w:tcW w:type="dxa" w:w="25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12,00,000</w:t>
            </w:r>
          </w:p>
        </w:tc>
        <w:tc>
          <w:tcPr>
            <w:tcW w:type="dxa" w:w="25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2,16,000</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Vehicle insurance</w:t>
            </w:r>
          </w:p>
        </w:tc>
        <w:tc>
          <w:tcPr>
            <w:tcW w:type="dxa" w:w="25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6,00,000</w:t>
            </w:r>
          </w:p>
        </w:tc>
        <w:tc>
          <w:tcPr>
            <w:tcW w:type="dxa" w:w="25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1,08,000</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Office and software</w:t>
            </w:r>
          </w:p>
        </w:tc>
        <w:tc>
          <w:tcPr>
            <w:tcW w:type="dxa" w:w="25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5,00,000</w:t>
            </w:r>
          </w:p>
        </w:tc>
        <w:tc>
          <w:tcPr>
            <w:tcW w:type="dxa" w:w="25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90,000</w:t>
            </w:r>
          </w:p>
        </w:tc>
      </w:tr>
      <w:tr>
        <w:trPr>
          <w:cantSplit/>
        </w:trPr>
        <w:tc>
          <w:tcPr>
            <w:tcW w:type="dxa" w:w="46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New trucks (depreciation 15%)</w:t>
            </w:r>
          </w:p>
        </w:tc>
        <w:tc>
          <w:tcPr>
            <w:tcW w:type="dxa" w:w="25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80,00,000</w:t>
            </w:r>
          </w:p>
        </w:tc>
        <w:tc>
          <w:tcPr>
            <w:tcW w:type="dxa" w:w="25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14,40,000</w:t>
            </w:r>
          </w:p>
        </w:tc>
      </w:tr>
    </w:tbl>
    <w:p>
      <w:pPr>
        <w:spacing w:after="60"/>
      </w:pPr>
    </w:p>
    <w:p>
      <w:pPr>
        <w:pStyle w:val="Heading2"/>
        <w:keepNext/>
        <w:spacing w:after="120" w:before="240"/>
      </w:pPr>
      <w:r>
        <w:rPr>
          <w:rFonts w:ascii="Verdana" w:cs="Verdana" w:eastAsia="Verdana" w:hAnsi="Verdana"/>
        </w:rPr>
        <w:t xml:space="preserve">55.2 Issues</w:t>
      </w:r>
    </w:p>
    <w:p>
      <w:pPr>
        <w:pStyle w:val="ListParagraph"/>
        <w:numPr>
          <w:ilvl w:val="0"/>
          <w:numId w:val="2"/>
        </w:numPr>
        <w:spacing w:after="60" w:line="264"/>
      </w:pPr>
      <w:r>
        <w:rPr>
          <w:rFonts w:ascii="Verdana" w:cs="Verdana" w:eastAsia="Verdana" w:hAnsi="Verdana"/>
        </w:rPr>
        <w:t xml:space="preserve">The two rate options after GST 2.0 and who pays the tax.</w:t>
      </w:r>
    </w:p>
    <w:p>
      <w:pPr>
        <w:pStyle w:val="ListParagraph"/>
        <w:numPr>
          <w:ilvl w:val="0"/>
          <w:numId w:val="2"/>
        </w:numPr>
        <w:spacing w:after="60" w:line="264"/>
      </w:pPr>
      <w:r>
        <w:rPr>
          <w:rFonts w:ascii="Verdana" w:cs="Verdana" w:eastAsia="Verdana" w:hAnsi="Verdana"/>
        </w:rPr>
        <w:t xml:space="preserve">Effect on each customer profile.</w:t>
      </w:r>
    </w:p>
    <w:p>
      <w:pPr>
        <w:pStyle w:val="ListParagraph"/>
        <w:numPr>
          <w:ilvl w:val="0"/>
          <w:numId w:val="2"/>
        </w:numPr>
        <w:spacing w:after="60" w:line="264"/>
      </w:pPr>
      <w:r>
        <w:rPr>
          <w:rFonts w:ascii="Verdana" w:cs="Verdana" w:eastAsia="Verdana" w:hAnsi="Verdana"/>
        </w:rPr>
        <w:t xml:space="preserve">Margin comparison and the timing of the declaration.</w:t>
      </w:r>
    </w:p>
    <w:p>
      <w:pPr>
        <w:pStyle w:val="Heading2"/>
        <w:keepNext/>
        <w:spacing w:after="120" w:before="240"/>
      </w:pPr>
      <w:r>
        <w:rPr>
          <w:rFonts w:ascii="Verdana" w:cs="Verdana" w:eastAsia="Verdana" w:hAnsi="Verdana"/>
        </w:rPr>
        <w:t xml:space="preserve">55.3 Analysis and computation</w:t>
      </w:r>
    </w:p>
    <w:p>
      <w:pPr>
        <w:spacing w:after="120" w:line="276"/>
        <w:jc w:val="both"/>
      </w:pPr>
      <w:r>
        <w:rPr>
          <w:rFonts w:ascii="Verdana" w:cs="Verdana" w:eastAsia="Verdana" w:hAnsi="Verdana"/>
        </w:rPr>
        <w:t xml:space="preserve">After 22 September 2025 a GTA has two options. At 5%, no credit of tax on inputs is allowed; tax is paid by the recipient under reverse charge where the recipient is a factory, society, co-operative society, registered person, body corporate, firm or registered casual taxable person, or by the GTA itself if it opts for forward charge. At 18%, the GTA pays under forward charge and takes full credit. The earlier 12% option is gone. The chosen option applies to all GTA services of that year; it cannot be picked customer by customer. Trucks used for transport of goods are outside the motor vehicle block in section 17(5)(a).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3313"/>
        <w:gridCol w:w="3314"/>
      </w:tblGrid>
      <w:tr>
        <w:trPr>
          <w:cantSplit/>
          <w:tblHeader/>
        </w:trPr>
        <w:tc>
          <w:tcPr>
            <w:tcW w:type="dxa" w:w="301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Customer, freight Rs. 1,00,000</w:t>
            </w:r>
          </w:p>
        </w:tc>
        <w:tc>
          <w:tcPr>
            <w:tcW w:type="dxa" w:w="331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5% option</w:t>
            </w:r>
          </w:p>
        </w:tc>
        <w:tc>
          <w:tcPr>
            <w:tcW w:type="dxa" w:w="3314"/>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18% option</w:t>
            </w:r>
          </w:p>
        </w:tc>
      </w:tr>
      <w:tr>
        <w:trPr>
          <w:cantSplit/>
        </w:trPr>
        <w:tc>
          <w:tcPr>
            <w:tcW w:type="dxa" w:w="30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Profile A (full credit)</w:t>
            </w:r>
          </w:p>
        </w:tc>
        <w:tc>
          <w:tcPr>
            <w:tcW w:type="dxa" w:w="3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Pays 5,000 under RCM, takes credit: net 1,00,000</w:t>
            </w:r>
          </w:p>
        </w:tc>
        <w:tc>
          <w:tcPr>
            <w:tcW w:type="dxa" w:w="33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Pays 1,18,000, takes 18,000 credit: net 1,00,000</w:t>
            </w:r>
          </w:p>
        </w:tc>
      </w:tr>
      <w:tr>
        <w:trPr>
          <w:cantSplit/>
        </w:trPr>
        <w:tc>
          <w:tcPr>
            <w:tcW w:type="dxa" w:w="30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Profile B (composition, no credit)</w:t>
            </w:r>
          </w:p>
        </w:tc>
        <w:tc>
          <w:tcPr>
            <w:tcW w:type="dxa" w:w="3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Pays 5,000 under RCM: cost 1,05,000</w:t>
            </w:r>
          </w:p>
        </w:tc>
        <w:tc>
          <w:tcPr>
            <w:tcW w:type="dxa" w:w="33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Pays 1,18,000: cost 1,18,000</w:t>
            </w:r>
          </w:p>
        </w:tc>
      </w:tr>
    </w:tbl>
    <w:p>
      <w:pPr>
        <w:spacing w:after="60"/>
      </w:pPr>
    </w:p>
    <w:p>
      <w:pPr>
        <w:spacing w:after="120" w:line="276"/>
        <w:jc w:val="both"/>
      </w:pPr>
      <w:r>
        <w:rPr>
          <w:rFonts w:ascii="Verdana" w:cs="Verdana" w:eastAsia="Verdana" w:hAnsi="Verdana"/>
        </w:rPr>
        <w:t xml:space="preserve">Profile A does not care. Profile B pays Rs. 13,000 more per lakh under the 18% option and is likely to shift to another transporter unless Shivam cuts its rate.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223: Margin comparison for FY 2027-28</w:t>
            </w:r>
          </w:p>
          <w:p>
            <w:pPr>
              <w:spacing w:after="60" w:line="260"/>
            </w:pPr>
            <w:r>
              <w:rPr>
                <w:rFonts w:ascii="Verdana" w:cs="Verdana" w:eastAsia="Verdana" w:hAnsi="Verdana"/>
                <w:sz w:val="20"/>
                <w:szCs w:val="20"/>
              </w:rPr>
              <w:t xml:space="preserve">Step 1: 5% option. GST on repairs, tyres, insurance and office (Rs. 9,54,000) is a cost. Running cost = Rs. 2,42,54,000. Trucks capitalised with GST at Rs. 94,40,000; depreciation Rs. 14,16,000. Margin = 3,00,00,000 less 2,42,54,000 less 14,16,000 = Rs. 43,30,000.</w:t>
            </w:r>
          </w:p>
          <w:p>
            <w:pPr>
              <w:spacing w:after="60" w:line="260"/>
            </w:pPr>
            <w:r>
              <w:rPr>
                <w:rFonts w:ascii="Verdana" w:cs="Verdana" w:eastAsia="Verdana" w:hAnsi="Verdana"/>
                <w:sz w:val="20"/>
                <w:szCs w:val="20"/>
              </w:rPr>
              <w:t xml:space="preserve">Step 2: 18% option, same freight rates. Running cost without GST = Rs. 2,33,00,000; depreciation on 80,00,000 = Rs. 12,00,000. Margin = Rs. 55,00,000.</w:t>
            </w:r>
          </w:p>
          <w:p>
            <w:pPr>
              <w:spacing w:after="60" w:line="260"/>
            </w:pPr>
            <w:r>
              <w:rPr>
                <w:rFonts w:ascii="Verdana" w:cs="Verdana" w:eastAsia="Verdana" w:hAnsi="Verdana"/>
                <w:sz w:val="20"/>
                <w:szCs w:val="20"/>
              </w:rPr>
              <w:t xml:space="preserve">Step 3: 18% option with profile B protected. To keep B's all-in cost the same, B's freight must fall to 90,00,000 x 105 / 118 = Rs. 80,08,475, a loss of Rs. 9,91,525. Margin = Rs. 45,08,475.</w:t>
            </w:r>
          </w:p>
          <w:p>
            <w:pPr>
              <w:spacing w:after="60" w:line="260"/>
            </w:pPr>
            <w:r>
              <w:rPr>
                <w:rFonts w:ascii="Verdana" w:cs="Verdana" w:eastAsia="Verdana" w:hAnsi="Verdana"/>
                <w:sz w:val="20"/>
                <w:szCs w:val="20"/>
              </w:rPr>
              <w:t xml:space="preserve">Step 4: Even after protecting profile B, the 18% option earns Rs. 1,78,475 more. The first-year cash benefit is larger because the truck credit of Rs. 14,40,000 is recovered at once, not over the depreciation period.</w:t>
            </w:r>
          </w:p>
        </w:tc>
      </w:tr>
    </w:tbl>
    <w:p>
      <w:pPr>
        <w:spacing w:after="60"/>
      </w:pPr>
    </w:p>
    <w:p>
      <w:pPr>
        <w:spacing w:after="120" w:line="276"/>
        <w:jc w:val="both"/>
      </w:pPr>
      <w:r>
        <w:rPr>
          <w:rFonts w:ascii="Verdana" w:cs="Verdana" w:eastAsia="Verdana" w:hAnsi="Verdana"/>
        </w:rPr>
        <w:t xml:space="preserve">The answer would change if profile B were most of the business, or if Shivam bought no trucks in the year. A GTA with an old fleet and mainly unregistered or composition customers may do better at 5%.</w:t>
      </w:r>
    </w:p>
    <w:p>
      <w:pPr>
        <w:pStyle w:val="Heading2"/>
        <w:keepNext/>
        <w:spacing w:after="120" w:before="240"/>
      </w:pPr>
      <w:r>
        <w:rPr>
          <w:rFonts w:ascii="Verdana" w:cs="Verdana" w:eastAsia="Verdana" w:hAnsi="Verdana"/>
        </w:rPr>
        <w:t xml:space="preserve">55.4 Compliance and documentation</w:t>
      </w:r>
    </w:p>
    <w:p>
      <w:pPr>
        <w:pStyle w:val="ListParagraph"/>
        <w:numPr>
          <w:ilvl w:val="0"/>
          <w:numId w:val="2"/>
        </w:numPr>
        <w:spacing w:after="60" w:line="264"/>
      </w:pPr>
      <w:r>
        <w:rPr>
          <w:rFonts w:ascii="Verdana" w:cs="Verdana" w:eastAsia="Verdana" w:hAnsi="Verdana"/>
        </w:rPr>
        <w:t xml:space="preserve">Declaration in Annexure V on the portal between 1 January and 31 March of the preceding year to pay under forward charge. It continues for later years until Annexure VI is filed in the same window to go back.</w:t>
      </w:r>
    </w:p>
    <w:p>
      <w:pPr>
        <w:pStyle w:val="ListParagraph"/>
        <w:numPr>
          <w:ilvl w:val="0"/>
          <w:numId w:val="2"/>
        </w:numPr>
        <w:spacing w:after="60" w:line="264"/>
      </w:pPr>
      <w:r>
        <w:rPr>
          <w:rFonts w:ascii="Verdana" w:cs="Verdana" w:eastAsia="Verdana" w:hAnsi="Verdana"/>
        </w:rPr>
        <w:t xml:space="preserve">A GTA starting business or taking registration during the year has a short window after registration; check the notification.</w:t>
      </w:r>
    </w:p>
    <w:p>
      <w:pPr>
        <w:pStyle w:val="ListParagraph"/>
        <w:numPr>
          <w:ilvl w:val="0"/>
          <w:numId w:val="2"/>
        </w:numPr>
        <w:spacing w:after="60" w:line="264"/>
      </w:pPr>
      <w:r>
        <w:rPr>
          <w:rFonts w:ascii="Verdana" w:cs="Verdana" w:eastAsia="Verdana" w:hAnsi="Verdana"/>
        </w:rPr>
        <w:t xml:space="preserve">GTAs are outside e-invoicing; the consignment note and tax invoice remain the documents.</w:t>
      </w:r>
    </w:p>
    <w:p>
      <w:pPr>
        <w:pStyle w:val="ListParagraph"/>
        <w:numPr>
          <w:ilvl w:val="0"/>
          <w:numId w:val="2"/>
        </w:numPr>
        <w:spacing w:after="60" w:line="264"/>
      </w:pPr>
      <w:r>
        <w:rPr>
          <w:rFonts w:ascii="Verdana" w:cs="Verdana" w:eastAsia="Verdana" w:hAnsi="Verdana"/>
        </w:rPr>
        <w:t xml:space="preserve">Before switching back to 5%, work out whether credit on trucks still in use must be reversed. The law is not explicit and practice varies; take a considered position and record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b/>
                <w:bCs/>
                <w:sz w:val="20"/>
                <w:szCs w:val="20"/>
              </w:rPr>
              <w:t xml:space="preserve">Lessons</w:t>
            </w:r>
          </w:p>
          <w:p>
            <w:pPr>
              <w:spacing w:after="60" w:line="260"/>
            </w:pPr>
            <w:r>
              <w:rPr>
                <w:rFonts w:ascii="Verdana" w:cs="Verdana" w:eastAsia="Verdana" w:hAnsi="Verdana"/>
                <w:sz w:val="20"/>
                <w:szCs w:val="20"/>
              </w:rPr>
              <w:t xml:space="preserve">The choice is a customer-mix question: the 18% option costs only those customers who cannot take credit.</w:t>
            </w:r>
          </w:p>
          <w:p>
            <w:pPr>
              <w:spacing w:after="60" w:line="260"/>
            </w:pPr>
            <w:r>
              <w:rPr>
                <w:rFonts w:ascii="Verdana" w:cs="Verdana" w:eastAsia="Verdana" w:hAnsi="Verdana"/>
                <w:sz w:val="20"/>
                <w:szCs w:val="20"/>
              </w:rPr>
              <w:t xml:space="preserve">The declaration window closes on 31 March. Miss it and the business is locked into 5% for the year.</w:t>
            </w:r>
          </w:p>
          <w:p>
            <w:pPr>
              <w:spacing w:after="60" w:line="260"/>
            </w:pPr>
            <w:r>
              <w:rPr>
                <w:rFonts w:ascii="Verdana" w:cs="Verdana" w:eastAsia="Verdana" w:hAnsi="Verdana"/>
                <w:sz w:val="20"/>
                <w:szCs w:val="20"/>
              </w:rPr>
              <w:t xml:space="preserve">Model margin with realistic price responses from customers, not just with credit gained.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GTAs now choose between 5% without ITC and 18% with ITC; 12% has gone.</w:t>
            </w:r>
          </w:p>
          <w:p>
            <w:pPr>
              <w:spacing w:after="60" w:line="260"/>
            </w:pPr>
            <w:r>
              <w:rPr>
                <w:rFonts w:ascii="Verdana" w:cs="Verdana" w:eastAsia="Verdana" w:hAnsi="Verdana"/>
                <w:sz w:val="20"/>
                <w:szCs w:val="20"/>
              </w:rPr>
              <w:t xml:space="preserve">•  Customers with full credit are indifferent; composition and unregistered customers prefer 5%.</w:t>
            </w:r>
          </w:p>
          <w:p>
            <w:pPr>
              <w:spacing w:after="60" w:line="260"/>
            </w:pPr>
            <w:r>
              <w:rPr>
                <w:rFonts w:ascii="Verdana" w:cs="Verdana" w:eastAsia="Verdana" w:hAnsi="Verdana"/>
                <w:sz w:val="20"/>
                <w:szCs w:val="20"/>
              </w:rPr>
              <w:t xml:space="preserve">•  For Shivam, 18% gives a margin of Rs. 45,08,475 even after protecting profile B, against Rs. 43,30,000 at 5%.</w:t>
            </w:r>
          </w:p>
          <w:p>
            <w:pPr>
              <w:spacing w:after="60" w:line="260"/>
            </w:pPr>
            <w:r>
              <w:rPr>
                <w:rFonts w:ascii="Verdana" w:cs="Verdana" w:eastAsia="Verdana" w:hAnsi="Verdana"/>
                <w:sz w:val="20"/>
                <w:szCs w:val="20"/>
              </w:rPr>
              <w:t xml:space="preserve">•  Forward charge is chosen through Annexure V between 1 January and 31 March.</w:t>
            </w:r>
          </w:p>
        </w:tc>
      </w:tr>
    </w:tbl>
    <w:p>
      <w:pPr>
        <w:pStyle w:val="Heading1"/>
        <w:pageBreakBefore/>
        <w:spacing w:after="200" w:before="0"/>
      </w:pPr>
      <w:r>
        <w:rPr>
          <w:rFonts w:ascii="Verdana" w:cs="Verdana" w:eastAsia="Verdana" w:hAnsi="Verdana"/>
        </w:rPr>
        <w:t xml:space="preserve">56. Case Study 12: Show Cause Notice under Section 74A</w:t>
      </w:r>
    </w:p>
    <w:p>
      <w:pPr>
        <w:pStyle w:val="Heading2"/>
        <w:keepNext/>
        <w:spacing w:after="120" w:before="240"/>
      </w:pPr>
      <w:r>
        <w:rPr>
          <w:rFonts w:ascii="Verdana" w:cs="Verdana" w:eastAsia="Verdana" w:hAnsi="Verdana"/>
        </w:rPr>
        <w:t xml:space="preserve">56.1 Facts</w:t>
      </w:r>
    </w:p>
    <w:p>
      <w:pPr>
        <w:spacing w:after="120" w:line="276"/>
        <w:jc w:val="both"/>
      </w:pPr>
      <w:r>
        <w:rPr>
          <w:rFonts w:ascii="Verdana" w:cs="Verdana" w:eastAsia="Verdana" w:hAnsi="Verdana"/>
        </w:rPr>
        <w:t xml:space="preserve">Rohit Synthetics Pvt. Ltd., Surat, received a show cause notice on 15 July 2026 under section 74A for FY 2024-25, alleging fraud and suppression. The notice proposes: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16"/>
        <w:gridCol w:w="1305"/>
        <w:gridCol w:w="1305"/>
        <w:gridCol w:w="1305"/>
        <w:gridCol w:w="1507"/>
      </w:tblGrid>
      <w:tr>
        <w:trPr>
          <w:cantSplit/>
          <w:tblHeader/>
        </w:trPr>
        <w:tc>
          <w:tcPr>
            <w:tcW w:type="dxa" w:w="421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Allegation</w:t>
            </w:r>
          </w:p>
        </w:tc>
        <w:tc>
          <w:tcPr>
            <w:tcW w:type="dxa" w:w="130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IGST</w:t>
            </w:r>
          </w:p>
        </w:tc>
        <w:tc>
          <w:tcPr>
            <w:tcW w:type="dxa" w:w="130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CGST</w:t>
            </w:r>
          </w:p>
        </w:tc>
        <w:tc>
          <w:tcPr>
            <w:tcW w:type="dxa" w:w="130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SGST</w:t>
            </w:r>
          </w:p>
        </w:tc>
        <w:tc>
          <w:tcPr>
            <w:tcW w:type="dxa" w:w="150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Total</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 ITC in GSTR-3B more than GSTR-2B (September 2024 return, filed 20 October 2024)</w:t>
            </w:r>
          </w:p>
        </w:tc>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0</w:t>
            </w:r>
          </w:p>
        </w:tc>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4,00,000</w:t>
            </w:r>
          </w:p>
        </w:tc>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4,00,000</w:t>
            </w:r>
          </w:p>
        </w:tc>
        <w:tc>
          <w:tcPr>
            <w:tcW w:type="dxa" w:w="15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8,00,000</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 ITC from a supplier whose registration was cancelled from inception (December 2024 return, filed 20 January 2025)</w:t>
            </w:r>
          </w:p>
        </w:tc>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12,00,000</w:t>
            </w:r>
          </w:p>
        </w:tc>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0</w:t>
            </w:r>
          </w:p>
        </w:tc>
        <w:tc>
          <w:tcPr>
            <w:tcW w:type="dxa" w:w="13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0</w:t>
            </w:r>
          </w:p>
        </w:tc>
        <w:tc>
          <w:tcPr>
            <w:tcW w:type="dxa" w:w="15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12,00,000</w:t>
            </w:r>
          </w:p>
        </w:tc>
      </w:tr>
      <w:tr>
        <w:trPr>
          <w:cantSplit/>
        </w:trPr>
        <w:tc>
          <w:tcPr>
            <w:tcW w:type="dxa" w:w="4216"/>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tax proposed</w:t>
            </w:r>
          </w:p>
        </w:tc>
        <w:tc>
          <w:tcPr>
            <w:tcW w:type="dxa" w:w="1305"/>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12,00,000</w:t>
            </w:r>
          </w:p>
        </w:tc>
        <w:tc>
          <w:tcPr>
            <w:tcW w:type="dxa" w:w="1305"/>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4,00,000</w:t>
            </w:r>
          </w:p>
        </w:tc>
        <w:tc>
          <w:tcPr>
            <w:tcW w:type="dxa" w:w="1305"/>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4,00,000</w:t>
            </w:r>
          </w:p>
        </w:tc>
        <w:tc>
          <w:tcPr>
            <w:tcW w:type="dxa" w:w="1507"/>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20,00,000</w:t>
            </w:r>
          </w:p>
        </w:tc>
      </w:tr>
    </w:tbl>
    <w:p>
      <w:pPr>
        <w:spacing w:after="60"/>
      </w:pPr>
    </w:p>
    <w:p>
      <w:pPr>
        <w:spacing w:after="120" w:line="276"/>
        <w:jc w:val="both"/>
      </w:pPr>
      <w:r>
        <w:rPr>
          <w:rFonts w:ascii="Verdana" w:cs="Verdana" w:eastAsia="Verdana" w:hAnsi="Verdana"/>
        </w:rPr>
        <w:t xml:space="preserve">The credit was used in the month it was taken. Rohit's own review shows that Rs. 6,00,000 of (a) relates to invoices uploaded late by suppliers, which appear in GSTR-2B of later months of FY 2024-25 and April and May 2025. Rs. 2,00,000 (CGST Rs. 1,00,000, SGST Rs. 1,00,000) relates to a supplier who never filed. For (b), Rohit holds e-way bills, lorry receipts, weighbridge slips, stock entries and bank payments.</w:t>
      </w:r>
    </w:p>
    <w:p>
      <w:pPr>
        <w:pStyle w:val="Heading2"/>
        <w:keepNext/>
        <w:spacing w:after="120" w:before="240"/>
      </w:pPr>
      <w:r>
        <w:rPr>
          <w:rFonts w:ascii="Verdana" w:cs="Verdana" w:eastAsia="Verdana" w:hAnsi="Verdana"/>
        </w:rPr>
        <w:t xml:space="preserve">56.2 Issues</w:t>
      </w:r>
    </w:p>
    <w:p>
      <w:pPr>
        <w:pStyle w:val="ListParagraph"/>
        <w:numPr>
          <w:ilvl w:val="0"/>
          <w:numId w:val="2"/>
        </w:numPr>
        <w:spacing w:after="60" w:line="264"/>
      </w:pPr>
      <w:r>
        <w:rPr>
          <w:rFonts w:ascii="Verdana" w:cs="Verdana" w:eastAsia="Verdana" w:hAnsi="Verdana"/>
        </w:rPr>
        <w:t xml:space="preserve">Time limits under section 74A.</w:t>
      </w:r>
    </w:p>
    <w:p>
      <w:pPr>
        <w:pStyle w:val="ListParagraph"/>
        <w:numPr>
          <w:ilvl w:val="0"/>
          <w:numId w:val="2"/>
        </w:numPr>
        <w:spacing w:after="60" w:line="264"/>
      </w:pPr>
      <w:r>
        <w:rPr>
          <w:rFonts w:ascii="Verdana" w:cs="Verdana" w:eastAsia="Verdana" w:hAnsi="Verdana"/>
        </w:rPr>
        <w:t xml:space="preserve">Tax, interest and penalty under each payment option.</w:t>
      </w:r>
    </w:p>
    <w:p>
      <w:pPr>
        <w:pStyle w:val="ListParagraph"/>
        <w:numPr>
          <w:ilvl w:val="0"/>
          <w:numId w:val="2"/>
        </w:numPr>
        <w:spacing w:after="60" w:line="264"/>
      </w:pPr>
      <w:r>
        <w:rPr>
          <w:rFonts w:ascii="Verdana" w:cs="Verdana" w:eastAsia="Verdana" w:hAnsi="Verdana"/>
        </w:rPr>
        <w:t xml:space="preserve">Reply strategy, and appeal with pre-deposit.</w:t>
      </w:r>
    </w:p>
    <w:p>
      <w:pPr>
        <w:pStyle w:val="Heading2"/>
        <w:keepNext/>
        <w:spacing w:after="120" w:before="240"/>
      </w:pPr>
      <w:r>
        <w:rPr>
          <w:rFonts w:ascii="Verdana" w:cs="Verdana" w:eastAsia="Verdana" w:hAnsi="Verdana"/>
        </w:rPr>
        <w:t xml:space="preserve">56.3 Analysis and computation</w:t>
      </w:r>
    </w:p>
    <w:p>
      <w:pPr>
        <w:spacing w:after="120" w:line="276"/>
        <w:jc w:val="both"/>
      </w:pPr>
      <w:r>
        <w:rPr>
          <w:rFonts w:ascii="Verdana" w:cs="Verdana" w:eastAsia="Verdana" w:hAnsi="Verdana"/>
        </w:rPr>
        <w:t xml:space="preserve">Section 74A covers FY 2024-25 onwards. The due date of the annual return for FY 2024-25 was 31 December 2025, so a notice can issue up to 30 June 2029 (42 months), and the order must follow within 12 months of the notice, extendable by six months. The notice is in time. Penalty depends on whether the case is one of fraud or wilful misstatement or suppression: 10% of tax (minimum Rs. 10,000) in other cases, nil if tax and interest are paid within 60 days of the notice; 100% of tax in fraud cases, reduced to 15% if paid before notice, 25% if paid within 60 days of notice and 50% if paid within 60 days of the order.</w:t>
      </w:r>
    </w:p>
    <w:p>
      <w:pPr>
        <w:spacing w:after="120" w:line="276"/>
        <w:jc w:val="both"/>
      </w:pPr>
      <w:r>
        <w:rPr>
          <w:rFonts w:ascii="Verdana" w:cs="Verdana" w:eastAsia="Verdana" w:hAnsi="Verdana"/>
        </w:rPr>
        <w:t xml:space="preserve">Interest under section 50(3) at 18% runs from the date of utilisation to the date of payment. For payment on 10 September 2026 (within 60 days of notice, which end on 13 September): 690 days for (a) and 598 days for (b). For payment on 20 August 2027 (within 60 days of an order dated 30 June 2027): 1,034 and 942 days.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3"/>
        <w:gridCol w:w="1405"/>
        <w:gridCol w:w="1606"/>
        <w:gridCol w:w="1505"/>
        <w:gridCol w:w="1709"/>
      </w:tblGrid>
      <w:tr>
        <w:trPr>
          <w:cantSplit/>
          <w:tblHeader/>
        </w:trPr>
        <w:tc>
          <w:tcPr>
            <w:tcW w:type="dxa" w:w="341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Option</w:t>
            </w:r>
          </w:p>
        </w:tc>
        <w:tc>
          <w:tcPr>
            <w:tcW w:type="dxa" w:w="140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Tax</w:t>
            </w:r>
          </w:p>
        </w:tc>
        <w:tc>
          <w:tcPr>
            <w:tcW w:type="dxa" w:w="160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Interest</w:t>
            </w:r>
          </w:p>
        </w:tc>
        <w:tc>
          <w:tcPr>
            <w:tcW w:type="dxa" w:w="150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Penalty</w:t>
            </w:r>
          </w:p>
        </w:tc>
        <w:tc>
          <w:tcPr>
            <w:tcW w:type="dxa" w:w="170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Total outflow</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Fraud limb, pay by 10 Sep 2026 (25%)</w:t>
            </w:r>
          </w:p>
        </w:tc>
        <w:tc>
          <w:tcPr>
            <w:tcW w:type="dxa" w:w="14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20,00,000</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6,26,105</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5,00,000</w:t>
            </w:r>
          </w:p>
        </w:tc>
        <w:tc>
          <w:tcPr>
            <w:tcW w:type="dxa" w:w="17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31,26,105</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Fraud limb, pay by 20 Aug 2027 (50%)</w:t>
            </w:r>
          </w:p>
        </w:tc>
        <w:tc>
          <w:tcPr>
            <w:tcW w:type="dxa" w:w="14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20,00,000</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9,65,392</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10,00,000</w:t>
            </w:r>
          </w:p>
        </w:tc>
        <w:tc>
          <w:tcPr>
            <w:tcW w:type="dxa" w:w="17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39,65,392</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Non-fraud limb, pay by 10 Sep 2026</w:t>
            </w:r>
          </w:p>
        </w:tc>
        <w:tc>
          <w:tcPr>
            <w:tcW w:type="dxa" w:w="14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20,00,000</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6,26,105</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0</w:t>
            </w:r>
          </w:p>
        </w:tc>
        <w:tc>
          <w:tcPr>
            <w:tcW w:type="dxa" w:w="17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26,26,105</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Non-fraud limb, order, not paid in 60 days</w:t>
            </w:r>
          </w:p>
        </w:tc>
        <w:tc>
          <w:tcPr>
            <w:tcW w:type="dxa" w:w="14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20,00,000</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to date of payment</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2,00,000</w:t>
            </w:r>
          </w:p>
        </w:tc>
        <w:tc>
          <w:tcPr>
            <w:tcW w:type="dxa" w:w="17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Tax + interest + 2,00,000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224: Interest working for the first option</w:t>
            </w:r>
          </w:p>
          <w:p>
            <w:pPr>
              <w:spacing w:after="60" w:line="260"/>
            </w:pPr>
            <w:r>
              <w:rPr>
                <w:rFonts w:ascii="Verdana" w:cs="Verdana" w:eastAsia="Verdana" w:hAnsi="Verdana"/>
                <w:sz w:val="20"/>
                <w:szCs w:val="20"/>
              </w:rPr>
              <w:t xml:space="preserve">Step 1: (a) CGST 4,00,000 x 18% x 690 / 365 = Rs. 1,36,110; SGST the same. Total Rs. 2,72,220.</w:t>
            </w:r>
          </w:p>
          <w:p>
            <w:pPr>
              <w:spacing w:after="60" w:line="260"/>
            </w:pPr>
            <w:r>
              <w:rPr>
                <w:rFonts w:ascii="Verdana" w:cs="Verdana" w:eastAsia="Verdana" w:hAnsi="Verdana"/>
                <w:sz w:val="20"/>
                <w:szCs w:val="20"/>
              </w:rPr>
              <w:t xml:space="preserve">Step 2: (b) IGST 12,00,000 x 18% x 598 / 365 = Rs. 3,53,885.</w:t>
            </w:r>
          </w:p>
          <w:p>
            <w:pPr>
              <w:spacing w:after="60" w:line="260"/>
            </w:pPr>
            <w:r>
              <w:rPr>
                <w:rFonts w:ascii="Verdana" w:cs="Verdana" w:eastAsia="Verdana" w:hAnsi="Verdana"/>
                <w:sz w:val="20"/>
                <w:szCs w:val="20"/>
              </w:rPr>
              <w:t xml:space="preserve">Step 3: Total interest Rs. 6,26,105.</w:t>
            </w:r>
          </w:p>
        </w:tc>
      </w:tr>
    </w:tbl>
    <w:p>
      <w:pPr>
        <w:spacing w:after="60"/>
      </w:pPr>
    </w:p>
    <w:p>
      <w:pPr>
        <w:spacing w:after="120" w:line="276"/>
        <w:jc w:val="both"/>
      </w:pPr>
      <w:r>
        <w:rPr>
          <w:rFonts w:ascii="Verdana" w:cs="Verdana" w:eastAsia="Verdana" w:hAnsi="Verdana"/>
          <w:b/>
          <w:bCs/>
        </w:rPr>
        <w:t xml:space="preserve">Reply strategy.</w:t>
      </w:r>
      <w:r>
        <w:rPr>
          <w:rFonts w:ascii="Verdana" w:cs="Verdana" w:eastAsia="Verdana" w:hAnsi="Verdana"/>
        </w:rPr>
        <w:t xml:space="preserve"> Paying the whole amount would give up a good defence on most of it. The recommended course is:</w:t>
      </w:r>
    </w:p>
    <w:p>
      <w:pPr>
        <w:pStyle w:val="ListParagraph"/>
        <w:numPr>
          <w:ilvl w:val="0"/>
          <w:numId w:val="2"/>
        </w:numPr>
        <w:spacing w:after="60" w:line="264"/>
      </w:pPr>
      <w:r>
        <w:rPr>
          <w:rFonts w:ascii="Verdana" w:cs="Verdana" w:eastAsia="Verdana" w:hAnsi="Verdana"/>
        </w:rPr>
        <w:t xml:space="preserve">Pay the admitted Rs. 2,00,000 of (a) with interest of Rs. 68,054 (CGST and SGST Rs. 34,027 each) through DRC-03 before 13 September 2026, and ask that proceedings for that part be concluded without penalty. A supplier's failure to file is not fraud by the recipient; the non-fraud limb applies and the penalty is nil.</w:t>
      </w:r>
    </w:p>
    <w:p>
      <w:pPr>
        <w:pStyle w:val="ListParagraph"/>
        <w:numPr>
          <w:ilvl w:val="0"/>
          <w:numId w:val="2"/>
        </w:numPr>
        <w:spacing w:after="60" w:line="264"/>
      </w:pPr>
      <w:r>
        <w:rPr>
          <w:rFonts w:ascii="Verdana" w:cs="Verdana" w:eastAsia="Verdana" w:hAnsi="Verdana"/>
        </w:rPr>
        <w:t xml:space="preserve">For the Rs. 6,00,000 in (a), file a reconciliation showing each invoice in GSTR-2B of a later month within the section 16(4) time limit. The mismatch is one of timing, not an ineligible claim.</w:t>
      </w:r>
    </w:p>
    <w:p>
      <w:pPr>
        <w:pStyle w:val="ListParagraph"/>
        <w:numPr>
          <w:ilvl w:val="0"/>
          <w:numId w:val="2"/>
        </w:numPr>
        <w:spacing w:after="60" w:line="264"/>
      </w:pPr>
      <w:r>
        <w:rPr>
          <w:rFonts w:ascii="Verdana" w:cs="Verdana" w:eastAsia="Verdana" w:hAnsi="Verdana"/>
        </w:rPr>
        <w:t xml:space="preserve">For (b), show that goods were received and paid for through the bank, with transport and stock evidence. Deny the fraud allegation: suppression means deliberate withholding of facts, and Rohit disclosed the credit in its returns.</w:t>
      </w:r>
    </w:p>
    <w:p>
      <w:pPr>
        <w:pStyle w:val="ListParagraph"/>
        <w:numPr>
          <w:ilvl w:val="0"/>
          <w:numId w:val="2"/>
        </w:numPr>
        <w:spacing w:after="60" w:line="264"/>
      </w:pPr>
      <w:r>
        <w:rPr>
          <w:rFonts w:ascii="Verdana" w:cs="Verdana" w:eastAsia="Verdana" w:hAnsi="Verdana"/>
        </w:rPr>
        <w:t xml:space="preserve">Ask for a personal hearing and for the material relied on, including any statement of the supplier.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4C9A" w:sz="24"/>
              <w:bottom w:val="none" w:color="FFFFFF" w:sz="0"/>
              <w:right w:val="none" w:color="FFFFFF" w:sz="0"/>
            </w:tcBorders>
            <w:shd w:fill="F4F0F8" w:color="auto" w:val="clear"/>
            <w:tcMar>
              <w:top w:type="dxa" w:w="110"/>
              <w:left w:type="dxa" w:w="200"/>
              <w:bottom w:type="dxa" w:w="110"/>
              <w:right w:type="dxa" w:w="200"/>
            </w:tcMar>
          </w:tcPr>
          <w:p>
            <w:pPr>
              <w:keepNext/>
              <w:spacing w:after="80"/>
            </w:pPr>
            <w:r>
              <w:rPr>
                <w:rFonts w:ascii="Verdana" w:cs="Verdana" w:eastAsia="Verdana" w:hAnsi="Verdana"/>
                <w:b/>
                <w:bCs/>
                <w:color w:val="6B4C9A"/>
                <w:sz w:val="21"/>
                <w:szCs w:val="21"/>
              </w:rPr>
              <w:t xml:space="preserve">Judicial view: Burden of proof and supplier default</w:t>
            </w:r>
          </w:p>
          <w:p>
            <w:pPr>
              <w:spacing w:after="60" w:line="260"/>
            </w:pPr>
            <w:r>
              <w:rPr>
                <w:rFonts w:ascii="Verdana" w:cs="Verdana" w:eastAsia="Verdana" w:hAnsi="Verdana"/>
                <w:b/>
                <w:bCs/>
                <w:sz w:val="20"/>
                <w:szCs w:val="20"/>
              </w:rPr>
              <w:t xml:space="preserve">State of Karnataka v. Ecom Gill Coffee Trading (P) Ltd. (Supreme Court, 2023):</w:t>
            </w:r>
            <w:r>
              <w:rPr>
                <w:rFonts w:ascii="Verdana" w:cs="Verdana" w:eastAsia="Verdana" w:hAnsi="Verdana"/>
                <w:sz w:val="20"/>
                <w:szCs w:val="20"/>
              </w:rPr>
              <w:t xml:space="preserve"> Under the Karnataka VAT Act, the Court held that the dealer claiming credit must prove the actual purchase and receipt of goods; invoices and payment by cheque alone are not enough. The same burden lies on a recipient under section 155 of the CGST Act, so transport and stock evidence matters.</w:t>
            </w:r>
          </w:p>
          <w:p>
            <w:pPr>
              <w:spacing w:after="60" w:line="260"/>
            </w:pPr>
            <w:r>
              <w:rPr>
                <w:rFonts w:ascii="Verdana" w:cs="Verdana" w:eastAsia="Verdana" w:hAnsi="Verdana"/>
                <w:b/>
                <w:bCs/>
                <w:sz w:val="20"/>
                <w:szCs w:val="20"/>
              </w:rPr>
              <w:t xml:space="preserve">Bhandari Scrap Traders v. Union of India (Supreme Court, 2026):</w:t>
            </w:r>
            <w:r>
              <w:rPr>
                <w:rFonts w:ascii="Verdana" w:cs="Verdana" w:eastAsia="Verdana" w:hAnsi="Verdana"/>
                <w:sz w:val="20"/>
                <w:szCs w:val="20"/>
              </w:rPr>
              <w:t xml:space="preserve"> The Court dismissed the challenge to section 16(2)(c) and affirmed the Gujarat High Court. Credit can be denied where the supplier has not paid the tax, with restoration when the supplier pays. A recipient cannot rely on the earlier reading down by some High Courts.</w:t>
            </w:r>
          </w:p>
          <w:p>
            <w:pPr>
              <w:spacing w:after="60" w:line="260"/>
            </w:pPr>
            <w:r>
              <w:rPr>
                <w:rFonts w:ascii="Verdana" w:cs="Verdana" w:eastAsia="Verdana" w:hAnsi="Verdana"/>
                <w:b/>
                <w:bCs/>
                <w:sz w:val="20"/>
                <w:szCs w:val="20"/>
              </w:rPr>
              <w:t xml:space="preserve">Pushpam Pharmaceuticals Co. v. Collector of Central Excise (Supreme Court, 1995):</w:t>
            </w:r>
            <w:r>
              <w:rPr>
                <w:rFonts w:ascii="Verdana" w:cs="Verdana" w:eastAsia="Verdana" w:hAnsi="Verdana"/>
                <w:sz w:val="20"/>
                <w:szCs w:val="20"/>
              </w:rPr>
              <w:t xml:space="preserve"> Suppression means deliberate withholding of information to evade tax, not mere omission. This supports the argument against the fraud limb where the facts were in the returns.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225: Appeal and pre-deposit</w:t>
            </w:r>
          </w:p>
          <w:p>
            <w:pPr>
              <w:spacing w:after="60" w:line="260"/>
            </w:pPr>
            <w:r>
              <w:rPr>
                <w:rFonts w:ascii="Verdana" w:cs="Verdana" w:eastAsia="Verdana" w:hAnsi="Verdana"/>
                <w:sz w:val="20"/>
                <w:szCs w:val="20"/>
              </w:rPr>
              <w:t xml:space="preserve">Step 1: Suppose the order of 30 June 2027 drops the Rs. 6,00,000 in (a), accepts the payment of Rs. 2,00,000 and confirms (b): IGST Rs. 12,00,000 with interest and a penalty of Rs. 12,00,000.</w:t>
            </w:r>
          </w:p>
          <w:p>
            <w:pPr>
              <w:spacing w:after="60" w:line="260"/>
            </w:pPr>
            <w:r>
              <w:rPr>
                <w:rFonts w:ascii="Verdana" w:cs="Verdana" w:eastAsia="Verdana" w:hAnsi="Verdana"/>
                <w:sz w:val="20"/>
                <w:szCs w:val="20"/>
              </w:rPr>
              <w:t xml:space="preserve">Step 2: First appeal under section 107 within three months: pre-deposit of 10% of the disputed tax = Rs. 1,20,000 (IGST). Recovery of the rest is stayed.</w:t>
            </w:r>
          </w:p>
          <w:p>
            <w:pPr>
              <w:spacing w:after="60" w:line="260"/>
            </w:pPr>
            <w:r>
              <w:rPr>
                <w:rFonts w:ascii="Verdana" w:cs="Verdana" w:eastAsia="Verdana" w:hAnsi="Verdana"/>
                <w:sz w:val="20"/>
                <w:szCs w:val="20"/>
              </w:rPr>
              <w:t xml:space="preserve">Step 3: If the appeal fails, appeal to GSTAT under section 112 within three months: further 10% of the tax remaining in dispute = Rs. 1,20,000. Total pre-deposit Rs. 2,40,000.</w:t>
            </w:r>
          </w:p>
          <w:p>
            <w:pPr>
              <w:spacing w:after="60" w:line="260"/>
            </w:pPr>
            <w:r>
              <w:rPr>
                <w:rFonts w:ascii="Verdana" w:cs="Verdana" w:eastAsia="Verdana" w:hAnsi="Verdana"/>
                <w:sz w:val="20"/>
                <w:szCs w:val="20"/>
              </w:rPr>
              <w:t xml:space="preserve">Step 4: Pre-deposits are refunded with interest if the appeal succeeds.</w:t>
            </w:r>
          </w:p>
        </w:tc>
      </w:tr>
    </w:tbl>
    <w:p>
      <w:pPr>
        <w:spacing w:after="60"/>
      </w:pPr>
    </w:p>
    <w:p>
      <w:pPr>
        <w:pStyle w:val="Heading2"/>
        <w:keepNext/>
        <w:spacing w:after="120" w:before="240"/>
      </w:pPr>
      <w:r>
        <w:rPr>
          <w:rFonts w:ascii="Verdana" w:cs="Verdana" w:eastAsia="Verdana" w:hAnsi="Verdana"/>
        </w:rPr>
        <w:t xml:space="preserve">56.4 Compliance and documentation</w:t>
      </w:r>
    </w:p>
    <w:p>
      <w:pPr>
        <w:pStyle w:val="ListParagraph"/>
        <w:numPr>
          <w:ilvl w:val="0"/>
          <w:numId w:val="2"/>
        </w:numPr>
        <w:spacing w:after="60" w:line="264"/>
      </w:pPr>
      <w:r>
        <w:rPr>
          <w:rFonts w:ascii="Verdana" w:cs="Verdana" w:eastAsia="Verdana" w:hAnsi="Verdana"/>
        </w:rPr>
        <w:t xml:space="preserve">Reply in DRC-06 within the time allowed in the notice, with reconciliation, invoices and transport evidence.</w:t>
      </w:r>
    </w:p>
    <w:p>
      <w:pPr>
        <w:pStyle w:val="ListParagraph"/>
        <w:numPr>
          <w:ilvl w:val="0"/>
          <w:numId w:val="2"/>
        </w:numPr>
        <w:spacing w:after="60" w:line="264"/>
      </w:pPr>
      <w:r>
        <w:rPr>
          <w:rFonts w:ascii="Verdana" w:cs="Verdana" w:eastAsia="Verdana" w:hAnsi="Verdana"/>
        </w:rPr>
        <w:t xml:space="preserve">Admitted tax paid through DRC-03 with a clear reference to the notice.</w:t>
      </w:r>
    </w:p>
    <w:p>
      <w:pPr>
        <w:pStyle w:val="ListParagraph"/>
        <w:numPr>
          <w:ilvl w:val="0"/>
          <w:numId w:val="2"/>
        </w:numPr>
        <w:spacing w:after="60" w:line="264"/>
      </w:pPr>
      <w:r>
        <w:rPr>
          <w:rFonts w:ascii="Verdana" w:cs="Verdana" w:eastAsia="Verdana" w:hAnsi="Verdana"/>
        </w:rPr>
        <w:t xml:space="preserve">Appeal in APL-01 with pre-deposit; appeal to GSTAT in the prescribed form, filed electronically.</w:t>
      </w:r>
    </w:p>
    <w:p>
      <w:pPr>
        <w:pStyle w:val="ListParagraph"/>
        <w:numPr>
          <w:ilvl w:val="0"/>
          <w:numId w:val="2"/>
        </w:numPr>
        <w:spacing w:after="60" w:line="264"/>
      </w:pPr>
      <w:r>
        <w:rPr>
          <w:rFonts w:ascii="Verdana" w:cs="Verdana" w:eastAsia="Verdana" w:hAnsi="Verdana"/>
        </w:rPr>
        <w:t xml:space="preserve">Rohit should reconcile GSTR-2B with GSTR-3B monthly so that credit is taken only when the invoice appears.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b/>
                <w:bCs/>
                <w:sz w:val="20"/>
                <w:szCs w:val="20"/>
              </w:rPr>
              <w:t xml:space="preserve">Lessons</w:t>
            </w:r>
          </w:p>
          <w:p>
            <w:pPr>
              <w:spacing w:after="60" w:line="260"/>
            </w:pPr>
            <w:r>
              <w:rPr>
                <w:rFonts w:ascii="Verdana" w:cs="Verdana" w:eastAsia="Verdana" w:hAnsi="Verdana"/>
                <w:sz w:val="20"/>
                <w:szCs w:val="20"/>
              </w:rPr>
              <w:t xml:space="preserve">Separate timing mismatches from genuine defaults before replying. Pay what is admitted within 60 days.</w:t>
            </w:r>
          </w:p>
          <w:p>
            <w:pPr>
              <w:spacing w:after="60" w:line="260"/>
            </w:pPr>
            <w:r>
              <w:rPr>
                <w:rFonts w:ascii="Verdana" w:cs="Verdana" w:eastAsia="Verdana" w:hAnsi="Verdana"/>
                <w:sz w:val="20"/>
                <w:szCs w:val="20"/>
              </w:rPr>
              <w:t xml:space="preserve">Fight the fraud allegation on facts: disclosure in returns weighs against suppression.</w:t>
            </w:r>
          </w:p>
          <w:p>
            <w:pPr>
              <w:spacing w:after="60" w:line="260"/>
            </w:pPr>
            <w:r>
              <w:rPr>
                <w:rFonts w:ascii="Verdana" w:cs="Verdana" w:eastAsia="Verdana" w:hAnsi="Verdana"/>
                <w:sz w:val="20"/>
                <w:szCs w:val="20"/>
              </w:rPr>
              <w:t xml:space="preserve">For credit from a cancelled supplier, the recipient must prove the transaction; keep transport and stock records for every purchase.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Section 74A applies from FY 2024-25 with a 42-month notice limit.</w:t>
            </w:r>
          </w:p>
          <w:p>
            <w:pPr>
              <w:spacing w:after="60" w:line="260"/>
            </w:pPr>
            <w:r>
              <w:rPr>
                <w:rFonts w:ascii="Verdana" w:cs="Verdana" w:eastAsia="Verdana" w:hAnsi="Verdana"/>
                <w:sz w:val="20"/>
                <w:szCs w:val="20"/>
              </w:rPr>
              <w:t xml:space="preserve">•  Paying everything within 60 days on the fraud limb would cost Rs. 31,26,105.</w:t>
            </w:r>
          </w:p>
          <w:p>
            <w:pPr>
              <w:spacing w:after="60" w:line="260"/>
            </w:pPr>
            <w:r>
              <w:rPr>
                <w:rFonts w:ascii="Verdana" w:cs="Verdana" w:eastAsia="Verdana" w:hAnsi="Verdana"/>
                <w:sz w:val="20"/>
                <w:szCs w:val="20"/>
              </w:rPr>
              <w:t xml:space="preserve">•  Paying the admitted Rs. 2,00,000 with interest of Rs. 68,054 and contesting the rest is the better course.</w:t>
            </w:r>
          </w:p>
          <w:p>
            <w:pPr>
              <w:spacing w:after="60" w:line="260"/>
            </w:pPr>
            <w:r>
              <w:rPr>
                <w:rFonts w:ascii="Verdana" w:cs="Verdana" w:eastAsia="Verdana" w:hAnsi="Verdana"/>
                <w:sz w:val="20"/>
                <w:szCs w:val="20"/>
              </w:rPr>
              <w:t xml:space="preserve">•  Pre-deposit on appeal for the IGST dispute would total Rs. 2,40,000 across both levels.</w:t>
            </w:r>
          </w:p>
        </w:tc>
      </w:tr>
    </w:tbl>
    <w:p>
      <w:pPr>
        <w:pStyle w:val="Heading1"/>
        <w:pageBreakBefore/>
        <w:spacing w:after="200" w:before="0"/>
      </w:pPr>
      <w:r>
        <w:rPr>
          <w:rFonts w:ascii="Verdana" w:cs="Verdana" w:eastAsia="Verdana" w:hAnsi="Verdana"/>
        </w:rPr>
        <w:t xml:space="preserve">57. Case Study 13: Annual Return and Reconciliation for FY 2025-26</w:t>
      </w:r>
    </w:p>
    <w:p>
      <w:pPr>
        <w:pStyle w:val="Heading2"/>
        <w:keepNext/>
        <w:spacing w:after="120" w:before="240"/>
      </w:pPr>
      <w:r>
        <w:rPr>
          <w:rFonts w:ascii="Verdana" w:cs="Verdana" w:eastAsia="Verdana" w:hAnsi="Verdana"/>
        </w:rPr>
        <w:t xml:space="preserve">57.1 Facts</w:t>
      </w:r>
    </w:p>
    <w:p>
      <w:pPr>
        <w:spacing w:after="120" w:line="276"/>
        <w:jc w:val="both"/>
      </w:pPr>
      <w:r>
        <w:rPr>
          <w:rFonts w:ascii="Verdana" w:cs="Verdana" w:eastAsia="Verdana" w:hAnsi="Verdana"/>
        </w:rPr>
        <w:t xml:space="preserve">Mehta Polymers Pvt. Ltd., Vadodara, Gujarat, makes plastic compounds at 18%. It has a branch in Maharashtra. Its aggregate turnover for FY 2025-26 is above Rs. 5 crore, so it files GSTR-9 and the self-certified GSTR-9C by 31 December 2026. The reconciliation was done in October 2026. Revenue from operations in the audited accounts is Rs. 42,50,00,000.</w:t>
      </w:r>
    </w:p>
    <w:p>
      <w:pPr>
        <w:pStyle w:val="Heading2"/>
        <w:keepNext/>
        <w:spacing w:after="120" w:before="240"/>
      </w:pPr>
      <w:r>
        <w:rPr>
          <w:rFonts w:ascii="Verdana" w:cs="Verdana" w:eastAsia="Verdana" w:hAnsi="Verdana"/>
        </w:rPr>
        <w:t xml:space="preserve">57.2 Issues</w:t>
      </w:r>
    </w:p>
    <w:p>
      <w:pPr>
        <w:pStyle w:val="ListParagraph"/>
        <w:numPr>
          <w:ilvl w:val="0"/>
          <w:numId w:val="2"/>
        </w:numPr>
        <w:spacing w:after="60" w:line="264"/>
      </w:pPr>
      <w:r>
        <w:rPr>
          <w:rFonts w:ascii="Verdana" w:cs="Verdana" w:eastAsia="Verdana" w:hAnsi="Verdana"/>
        </w:rPr>
        <w:t xml:space="preserve">Bridge from books to turnover in GSTR-9.</w:t>
      </w:r>
    </w:p>
    <w:p>
      <w:pPr>
        <w:pStyle w:val="ListParagraph"/>
        <w:numPr>
          <w:ilvl w:val="0"/>
          <w:numId w:val="2"/>
        </w:numPr>
        <w:spacing w:after="60" w:line="264"/>
      </w:pPr>
      <w:r>
        <w:rPr>
          <w:rFonts w:ascii="Verdana" w:cs="Verdana" w:eastAsia="Verdana" w:hAnsi="Verdana"/>
        </w:rPr>
        <w:t xml:space="preserve">Items in GSTR-9C, and additional liability through DRC-03.</w:t>
      </w:r>
    </w:p>
    <w:p>
      <w:pPr>
        <w:pStyle w:val="ListParagraph"/>
        <w:numPr>
          <w:ilvl w:val="0"/>
          <w:numId w:val="2"/>
        </w:numPr>
        <w:spacing w:after="60" w:line="264"/>
      </w:pPr>
      <w:r>
        <w:rPr>
          <w:rFonts w:ascii="Verdana" w:cs="Verdana" w:eastAsia="Verdana" w:hAnsi="Verdana"/>
        </w:rPr>
        <w:t xml:space="preserve">Credit missed after the section 16(4) cut-off.</w:t>
      </w:r>
    </w:p>
    <w:p>
      <w:pPr>
        <w:pStyle w:val="Heading2"/>
        <w:keepNext/>
        <w:spacing w:after="120" w:before="240"/>
      </w:pPr>
      <w:r>
        <w:rPr>
          <w:rFonts w:ascii="Verdana" w:cs="Verdana" w:eastAsia="Verdana" w:hAnsi="Verdana"/>
        </w:rPr>
        <w:t xml:space="preserve">57.3 Analysis and computation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Revenue from operations as per audited accounts</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42,50,00,000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stock transfers to Maharashtra branch</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3,20,00,000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financial credit notes deducted in books, GST not reduced</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40,00,000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scrap sales shown in other income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25,00,000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 sale value of machinery sold</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30,00,000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export incentives in revenue, not a supply</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15,00,000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Turnover liable to GST as reconciled</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46,50,00,000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invoice of 30 March 2026 missed in GSTR-1 and GSTR-3B</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18,00,000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Turnover declared in returns for FY 2025-26</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Rs. 46,32,00,000</w:t>
            </w:r>
          </w:p>
        </w:tc>
      </w:tr>
    </w:tbl>
    <w:p>
      <w:pPr>
        <w:spacing w:after="60"/>
      </w:pPr>
    </w:p>
    <w:p>
      <w:pPr>
        <w:spacing w:after="120" w:line="276"/>
        <w:jc w:val="both"/>
      </w:pPr>
      <w:r>
        <w:rPr>
          <w:rFonts w:ascii="Verdana" w:cs="Verdana" w:eastAsia="Verdana" w:hAnsi="Verdana"/>
        </w:rPr>
        <w:t xml:space="preserve">Each line has a reason. Stock transfers are supplies to a distinct person but are not revenue. Financial credit notes issued as post-sale discounts reduce revenue in the books but do not reduce the value for GST, because the discount was not agreed before the supply and linked to invoices; the Finance Act, 2026 change to section 15(3)(b) is not yet notified. Scrap and a used machine are taxable supplies booked outside revenue. Export incentives are not consideration for any supply.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226: Additional liability paid through DRC-03</w:t>
            </w:r>
          </w:p>
          <w:p>
            <w:pPr>
              <w:spacing w:after="60" w:line="260"/>
            </w:pPr>
            <w:r>
              <w:rPr>
                <w:rFonts w:ascii="Verdana" w:cs="Verdana" w:eastAsia="Verdana" w:hAnsi="Verdana"/>
                <w:sz w:val="20"/>
                <w:szCs w:val="20"/>
              </w:rPr>
              <w:t xml:space="preserve">Step 1: Missed invoice: 18,00,000 x 9% = CGST Rs. 1,62,000, SGST Rs. 1,62,000.</w:t>
            </w:r>
          </w:p>
          <w:p>
            <w:pPr>
              <w:spacing w:after="60" w:line="260"/>
            </w:pPr>
            <w:r>
              <w:rPr>
                <w:rFonts w:ascii="Verdana" w:cs="Verdana" w:eastAsia="Verdana" w:hAnsi="Verdana"/>
                <w:sz w:val="20"/>
                <w:szCs w:val="20"/>
              </w:rPr>
              <w:t xml:space="preserve">Step 2: Interest under section 50(1) from 21 April 2026 (the day after the March return was due) to 15 October 2026: 178 days. CGST interest = 1,62,000 x 18% x 178 / 365 = Rs. 14,220; SGST the same.</w:t>
            </w:r>
          </w:p>
          <w:p>
            <w:pPr>
              <w:spacing w:after="60" w:line="260"/>
            </w:pPr>
            <w:r>
              <w:rPr>
                <w:rFonts w:ascii="Verdana" w:cs="Verdana" w:eastAsia="Verdana" w:hAnsi="Verdana"/>
                <w:sz w:val="20"/>
                <w:szCs w:val="20"/>
              </w:rPr>
              <w:t xml:space="preserve">Step 3: Credit on a club membership for directors was taken in the June 2025 return filed on 20 July 2025: CGST Rs. 60,000 and SGST Rs. 60,000, blocked by section 17(5)(b). It was utilised, so interest under section 50(3) runs to 15 October 2026: 452 days. Interest per head = Rs. 13,374.</w:t>
            </w:r>
          </w:p>
          <w:p>
            <w:pPr>
              <w:spacing w:after="60" w:line="260"/>
            </w:pPr>
            <w:r>
              <w:rPr>
                <w:rFonts w:ascii="Verdana" w:cs="Verdana" w:eastAsia="Verdana" w:hAnsi="Verdana"/>
                <w:sz w:val="20"/>
                <w:szCs w:val="20"/>
              </w:rPr>
              <w:t xml:space="preserve">Step 4: DRC-03 on 15 October 2026: tax Rs. 4,44,000, interest Rs. 55,188, total Rs. 4,99,188. Both items are disclosed in GSTR-9 (the missed supply with the outward supplies and the blocked credit as a reversal in Table 7), and the DRC-03 challan is kept in the working file.</w:t>
            </w:r>
          </w:p>
        </w:tc>
      </w:tr>
    </w:tbl>
    <w:p>
      <w:pPr>
        <w:spacing w:after="60"/>
      </w:pPr>
    </w:p>
    <w:p>
      <w:pPr>
        <w:spacing w:after="120" w:line="276"/>
        <w:jc w:val="both"/>
      </w:pPr>
      <w:r>
        <w:rPr>
          <w:rFonts w:ascii="Verdana" w:cs="Verdana" w:eastAsia="Verdana" w:hAnsi="Verdana"/>
        </w:rPr>
        <w:t xml:space="preserve">On the credit side, Table 8 of GSTR-9 compares credit in GSTR-2B with credit taken.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8A: ITC as per GSTR-2B for FY 2025-26</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5,60,00,000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8B: ITC availed in GSTR-3B for the year</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5,42,00,000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8C: ITC of the year availed in April to November 2026</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6,00,000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8D: difference (8A less 8B less 8C)</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Rs. 12,00,000</w:t>
            </w:r>
          </w:p>
        </w:tc>
      </w:tr>
    </w:tbl>
    <w:p>
      <w:pPr>
        <w:spacing w:after="60"/>
      </w:pPr>
    </w:p>
    <w:p>
      <w:pPr>
        <w:spacing w:after="120" w:line="276"/>
        <w:jc w:val="both"/>
      </w:pPr>
      <w:r>
        <w:rPr>
          <w:rFonts w:ascii="Verdana" w:cs="Verdana" w:eastAsia="Verdana" w:hAnsi="Verdana"/>
        </w:rPr>
        <w:t xml:space="preserve">The difference of Rs. 12,00,000 is explained, and each part should be listed in the working file:</w:t>
      </w:r>
    </w:p>
    <w:p>
      <w:pPr>
        <w:pStyle w:val="ListParagraph"/>
        <w:numPr>
          <w:ilvl w:val="0"/>
          <w:numId w:val="2"/>
        </w:numPr>
        <w:spacing w:after="60" w:line="264"/>
      </w:pPr>
      <w:r>
        <w:rPr>
          <w:rFonts w:ascii="Verdana" w:cs="Verdana" w:eastAsia="Verdana" w:hAnsi="Verdana"/>
        </w:rPr>
        <w:t xml:space="preserve">Rs. 7,00,000 blocked credit not taken (car hire, staff welfare): correctly not claimed.</w:t>
      </w:r>
    </w:p>
    <w:p>
      <w:pPr>
        <w:pStyle w:val="ListParagraph"/>
        <w:numPr>
          <w:ilvl w:val="0"/>
          <w:numId w:val="2"/>
        </w:numPr>
        <w:spacing w:after="60" w:line="264"/>
      </w:pPr>
      <w:r>
        <w:rPr>
          <w:rFonts w:ascii="Verdana" w:cs="Verdana" w:eastAsia="Verdana" w:hAnsi="Verdana"/>
        </w:rPr>
        <w:t xml:space="preserve">Rs. 4,10,000 charged by a supplier as IGST where the supply was intra-State: the recipient cannot take it; the supplier must correct through a credit note and fresh invoice.</w:t>
      </w:r>
    </w:p>
    <w:p>
      <w:pPr>
        <w:pStyle w:val="ListParagraph"/>
        <w:numPr>
          <w:ilvl w:val="0"/>
          <w:numId w:val="2"/>
        </w:numPr>
        <w:spacing w:after="60" w:line="264"/>
      </w:pPr>
      <w:r>
        <w:rPr>
          <w:rFonts w:ascii="Verdana" w:cs="Verdana" w:eastAsia="Verdana" w:hAnsi="Verdana"/>
        </w:rPr>
        <w:t xml:space="preserve">Rs. 90,000 IGST on an invoice of 15 February 2026 found on 10 December 2026, after the 30 November 2026 cut-off in section 16(4). The credit is lost.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b/>
                <w:bCs/>
                <w:sz w:val="20"/>
                <w:szCs w:val="20"/>
              </w:rPr>
              <w:t xml:space="preserve">Lessons</w:t>
            </w:r>
          </w:p>
          <w:p>
            <w:pPr>
              <w:spacing w:after="60" w:line="260"/>
            </w:pPr>
            <w:r>
              <w:rPr>
                <w:rFonts w:ascii="Verdana" w:cs="Verdana" w:eastAsia="Verdana" w:hAnsi="Verdana"/>
                <w:sz w:val="20"/>
                <w:szCs w:val="20"/>
              </w:rPr>
              <w:t xml:space="preserve">Section 16(4) closes on 30 November or on the date of filing the annual return, whichever is earlier. Filing GSTR-9 early can shut the window sooner.</w:t>
            </w:r>
          </w:p>
          <w:p>
            <w:pPr>
              <w:spacing w:after="60" w:line="260"/>
            </w:pPr>
            <w:r>
              <w:rPr>
                <w:rFonts w:ascii="Verdana" w:cs="Verdana" w:eastAsia="Verdana" w:hAnsi="Verdana"/>
                <w:sz w:val="20"/>
                <w:szCs w:val="20"/>
              </w:rPr>
              <w:t xml:space="preserve">Run the GSTR-2B to books reconciliation for the whole year in October, not in December.</w:t>
            </w:r>
          </w:p>
          <w:p>
            <w:pPr>
              <w:spacing w:after="60" w:line="260"/>
            </w:pPr>
            <w:r>
              <w:rPr>
                <w:rFonts w:ascii="Verdana" w:cs="Verdana" w:eastAsia="Verdana" w:hAnsi="Verdana"/>
                <w:sz w:val="20"/>
                <w:szCs w:val="20"/>
              </w:rPr>
              <w:t xml:space="preserve">GSTR-9 cannot be used to claim credit missed during the year; it only reports it.</w:t>
            </w:r>
          </w:p>
        </w:tc>
      </w:tr>
    </w:tbl>
    <w:p>
      <w:pPr>
        <w:spacing w:after="60"/>
      </w:pPr>
    </w:p>
    <w:p>
      <w:pPr>
        <w:pStyle w:val="Heading2"/>
        <w:keepNext/>
        <w:spacing w:after="120" w:before="240"/>
      </w:pPr>
      <w:r>
        <w:rPr>
          <w:rFonts w:ascii="Verdana" w:cs="Verdana" w:eastAsia="Verdana" w:hAnsi="Verdana"/>
        </w:rPr>
        <w:t xml:space="preserve">57.4 Compliance and documentation</w:t>
      </w:r>
    </w:p>
    <w:p>
      <w:pPr>
        <w:pStyle w:val="ListParagraph"/>
        <w:numPr>
          <w:ilvl w:val="0"/>
          <w:numId w:val="2"/>
        </w:numPr>
        <w:spacing w:after="60" w:line="264"/>
      </w:pPr>
      <w:r>
        <w:rPr>
          <w:rFonts w:ascii="Verdana" w:cs="Verdana" w:eastAsia="Verdana" w:hAnsi="Verdana"/>
        </w:rPr>
        <w:t xml:space="preserve">GSTR-9 and GSTR-9C by 31 December 2026. GSTR-9C reconciles turnover, tax paid and credit as per audited accounts with GSTR-9 and is self-certified.</w:t>
      </w:r>
    </w:p>
    <w:p>
      <w:pPr>
        <w:pStyle w:val="ListParagraph"/>
        <w:numPr>
          <w:ilvl w:val="0"/>
          <w:numId w:val="2"/>
        </w:numPr>
        <w:spacing w:after="60" w:line="264"/>
      </w:pPr>
      <w:r>
        <w:rPr>
          <w:rFonts w:ascii="Verdana" w:cs="Verdana" w:eastAsia="Verdana" w:hAnsi="Verdana"/>
        </w:rPr>
        <w:t xml:space="preserve">Late fee for GSTR-9 at Rs. 200 per day (CGST and SGST together) for turnover above Rs. 20 crore, capped at 0.5% of turnover.</w:t>
      </w:r>
    </w:p>
    <w:p>
      <w:pPr>
        <w:pStyle w:val="ListParagraph"/>
        <w:numPr>
          <w:ilvl w:val="0"/>
          <w:numId w:val="2"/>
        </w:numPr>
        <w:spacing w:after="60" w:line="264"/>
      </w:pPr>
      <w:r>
        <w:rPr>
          <w:rFonts w:ascii="Verdana" w:cs="Verdana" w:eastAsia="Verdana" w:hAnsi="Verdana"/>
        </w:rPr>
        <w:t xml:space="preserve">Amendments of FY 2025-26 made in returns up to the cut-off are shown in Tables 10 to 13.</w:t>
      </w:r>
    </w:p>
    <w:p>
      <w:pPr>
        <w:pStyle w:val="ListParagraph"/>
        <w:numPr>
          <w:ilvl w:val="0"/>
          <w:numId w:val="2"/>
        </w:numPr>
        <w:spacing w:after="60" w:line="264"/>
      </w:pPr>
      <w:r>
        <w:rPr>
          <w:rFonts w:ascii="Verdana" w:cs="Verdana" w:eastAsia="Verdana" w:hAnsi="Verdana"/>
        </w:rPr>
        <w:t xml:space="preserve">Working file: bridge statement, list of DRC-03 payments, Table 8D explanation and the supplier correction letter.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Books revenue of Rs. 42,50,00,000 bridges to GST turnover of Rs. 46,50,00,000.</w:t>
            </w:r>
          </w:p>
          <w:p>
            <w:pPr>
              <w:spacing w:after="60" w:line="260"/>
            </w:pPr>
            <w:r>
              <w:rPr>
                <w:rFonts w:ascii="Verdana" w:cs="Verdana" w:eastAsia="Verdana" w:hAnsi="Verdana"/>
                <w:sz w:val="20"/>
                <w:szCs w:val="20"/>
              </w:rPr>
              <w:t xml:space="preserve">•  Stock transfers, scrap, asset sales and financial credit notes are the usual bridge items.</w:t>
            </w:r>
          </w:p>
          <w:p>
            <w:pPr>
              <w:spacing w:after="60" w:line="260"/>
            </w:pPr>
            <w:r>
              <w:rPr>
                <w:rFonts w:ascii="Verdana" w:cs="Verdana" w:eastAsia="Verdana" w:hAnsi="Verdana"/>
                <w:sz w:val="20"/>
                <w:szCs w:val="20"/>
              </w:rPr>
              <w:t xml:space="preserve">•  The missed invoice and the blocked credit were paid through DRC-03 with interest before filing.</w:t>
            </w:r>
          </w:p>
          <w:p>
            <w:pPr>
              <w:spacing w:after="60" w:line="260"/>
            </w:pPr>
            <w:r>
              <w:rPr>
                <w:rFonts w:ascii="Verdana" w:cs="Verdana" w:eastAsia="Verdana" w:hAnsi="Verdana"/>
                <w:sz w:val="20"/>
                <w:szCs w:val="20"/>
              </w:rPr>
              <w:t xml:space="preserve">•  Credit found after 30 November is lost; the reconciliation must be done earlier.</w:t>
            </w:r>
          </w:p>
        </w:tc>
      </w:tr>
    </w:tbl>
    <w:p>
      <w:pPr>
        <w:pStyle w:val="Heading1"/>
        <w:pageBreakBefore/>
        <w:spacing w:after="200" w:before="0"/>
      </w:pPr>
      <w:r>
        <w:rPr>
          <w:rFonts w:ascii="Verdana" w:cs="Verdana" w:eastAsia="Verdana" w:hAnsi="Verdana"/>
        </w:rPr>
        <w:t xml:space="preserve">58. Case Study 14: Going Concern, Slump Sale or Itemised Sale</w:t>
      </w:r>
    </w:p>
    <w:p>
      <w:pPr>
        <w:pStyle w:val="Heading2"/>
        <w:keepNext/>
        <w:spacing w:after="120" w:before="240"/>
      </w:pPr>
      <w:r>
        <w:rPr>
          <w:rFonts w:ascii="Verdana" w:cs="Verdana" w:eastAsia="Verdana" w:hAnsi="Verdana"/>
        </w:rPr>
        <w:t xml:space="preserve">58.1 Facts</w:t>
      </w:r>
    </w:p>
    <w:p>
      <w:pPr>
        <w:spacing w:after="120" w:line="276"/>
        <w:jc w:val="both"/>
      </w:pPr>
      <w:r>
        <w:rPr>
          <w:rFonts w:ascii="Verdana" w:cs="Verdana" w:eastAsia="Verdana" w:hAnsi="Verdana"/>
        </w:rPr>
        <w:t xml:space="preserve">Anand Engineering Works Pvt. Ltd. has one GSTIN in Maharashtra and two plants, at Pune and Nashik. It will sell the Pune plant to Precision Castings Ltd. in September 2026. The Pune plant has its own staff, customer contracts and order 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Pune plant</w:t>
            </w:r>
          </w:p>
        </w:tc>
        <w:tc>
          <w:tcPr>
            <w:tcW w:type="dxa" w:w="321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Amount (Rs.)</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Land and building (completed, occupied)</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5,00,00,000</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Plant and machinery</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3,00,00,000</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Stock of raw material and finished goods</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80,00,000</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Trade receivables</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50,00,000</w:t>
            </w:r>
          </w:p>
        </w:tc>
      </w:tr>
      <w:tr>
        <w:trPr>
          <w:cantSplit/>
        </w:trPr>
        <w:tc>
          <w:tcPr>
            <w:tcW w:type="dxa" w:w="6425"/>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Total assets</w:t>
            </w:r>
          </w:p>
        </w:tc>
        <w:tc>
          <w:tcPr>
            <w:tcW w:type="dxa" w:w="3213"/>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9,30,00,000</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Less: trade payables taken over</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70,00,000</w:t>
            </w:r>
          </w:p>
        </w:tc>
      </w:tr>
      <w:tr>
        <w:trPr>
          <w:cantSplit/>
        </w:trPr>
        <w:tc>
          <w:tcPr>
            <w:tcW w:type="dxa" w:w="6425"/>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Lump sum consideration</w:t>
            </w:r>
          </w:p>
        </w:tc>
        <w:tc>
          <w:tcPr>
            <w:tcW w:type="dxa" w:w="3213"/>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8,60,00,000</w:t>
            </w:r>
          </w:p>
        </w:tc>
      </w:tr>
    </w:tbl>
    <w:p>
      <w:pPr>
        <w:spacing w:after="60"/>
      </w:pPr>
    </w:p>
    <w:p>
      <w:pPr>
        <w:spacing w:after="120" w:line="276"/>
        <w:jc w:val="both"/>
      </w:pPr>
      <w:r>
        <w:rPr>
          <w:rFonts w:ascii="Verdana" w:cs="Verdana" w:eastAsia="Verdana" w:hAnsi="Verdana"/>
        </w:rPr>
        <w:t xml:space="preserve">The credit ledger balance of the Maharashtra GSTIN is Rs. 12,00,000. Total assets of the company, both plants, are Rs. 18,60,00,000. Separately, in August 2026 Anand sold an old press bought on 10 June 2023 (GST Rs. 7,20,000 taken as credit) for Rs. 5,00,000.</w:t>
      </w:r>
    </w:p>
    <w:p>
      <w:pPr>
        <w:pStyle w:val="Heading2"/>
        <w:keepNext/>
        <w:spacing w:after="120" w:before="240"/>
      </w:pPr>
      <w:r>
        <w:rPr>
          <w:rFonts w:ascii="Verdana" w:cs="Verdana" w:eastAsia="Verdana" w:hAnsi="Verdana"/>
        </w:rPr>
        <w:t xml:space="preserve">58.2 Issues</w:t>
      </w:r>
    </w:p>
    <w:p>
      <w:pPr>
        <w:pStyle w:val="ListParagraph"/>
        <w:numPr>
          <w:ilvl w:val="0"/>
          <w:numId w:val="2"/>
        </w:numPr>
        <w:spacing w:after="60" w:line="264"/>
      </w:pPr>
      <w:r>
        <w:rPr>
          <w:rFonts w:ascii="Verdana" w:cs="Verdana" w:eastAsia="Verdana" w:hAnsi="Verdana"/>
        </w:rPr>
        <w:t xml:space="preserve">GST on a transfer of a going concern, on a slump sale and on an itemised sale.</w:t>
      </w:r>
    </w:p>
    <w:p>
      <w:pPr>
        <w:pStyle w:val="ListParagraph"/>
        <w:numPr>
          <w:ilvl w:val="0"/>
          <w:numId w:val="2"/>
        </w:numPr>
        <w:spacing w:after="60" w:line="264"/>
      </w:pPr>
      <w:r>
        <w:rPr>
          <w:rFonts w:ascii="Verdana" w:cs="Verdana" w:eastAsia="Verdana" w:hAnsi="Verdana"/>
        </w:rPr>
        <w:t xml:space="preserve">Transfer of credit through ITC-02.</w:t>
      </w:r>
    </w:p>
    <w:p>
      <w:pPr>
        <w:pStyle w:val="ListParagraph"/>
        <w:numPr>
          <w:ilvl w:val="0"/>
          <w:numId w:val="2"/>
        </w:numPr>
        <w:spacing w:after="60" w:line="264"/>
      </w:pPr>
      <w:r>
        <w:rPr>
          <w:rFonts w:ascii="Verdana" w:cs="Verdana" w:eastAsia="Verdana" w:hAnsi="Verdana"/>
        </w:rPr>
        <w:t xml:space="preserve">Section 18(6) on the press sold separately.</w:t>
      </w:r>
    </w:p>
    <w:p>
      <w:pPr>
        <w:pStyle w:val="Heading2"/>
        <w:keepNext/>
        <w:spacing w:after="120" w:before="240"/>
      </w:pPr>
      <w:r>
        <w:rPr>
          <w:rFonts w:ascii="Verdana" w:cs="Verdana" w:eastAsia="Verdana" w:hAnsi="Verdana"/>
        </w:rPr>
        <w:t xml:space="preserve">58.3 Analysis and computation</w:t>
      </w:r>
    </w:p>
    <w:p>
      <w:pPr>
        <w:spacing w:after="120" w:line="276"/>
        <w:jc w:val="both"/>
      </w:pPr>
      <w:r>
        <w:rPr>
          <w:rFonts w:ascii="Verdana" w:cs="Verdana" w:eastAsia="Verdana" w:hAnsi="Verdana"/>
        </w:rPr>
        <w:t xml:space="preserve">Services by way of transfer of a going concern, as a whole or an independent part, are exempt under the services exemption notification. An independent part means a unit that can carry on business on its own after the transfer: here the Pune plant with its staff, contracts and order book qualifies. A slump sale is an income-tax concept: a lump sum for an undertaking without values for individual assets (see the companion guide on the Income-tax Act, 2025). For GST the question is not whether the price is a lump sum but whether a going concern passes. If it does, the slump sale is exempt; if only assets pass, each asset is taxed.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4216"/>
        <w:gridCol w:w="1808"/>
      </w:tblGrid>
      <w:tr>
        <w:trPr>
          <w:cantSplit/>
          <w:tblHeader/>
        </w:trPr>
        <w:tc>
          <w:tcPr>
            <w:tcW w:type="dxa" w:w="3614"/>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Mode</w:t>
            </w:r>
          </w:p>
        </w:tc>
        <w:tc>
          <w:tcPr>
            <w:tcW w:type="dxa" w:w="421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GST outcome</w:t>
            </w:r>
          </w:p>
        </w:tc>
        <w:tc>
          <w:tcPr>
            <w:tcW w:type="dxa" w:w="180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GST (Rs.)</w:t>
            </w:r>
          </w:p>
        </w:tc>
      </w:tr>
      <w:tr>
        <w:trPr>
          <w:cantSplit/>
        </w:trP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of the Pune plant as a going concern</w:t>
            </w:r>
          </w:p>
        </w:tc>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0</w:t>
            </w:r>
          </w:p>
        </w:tc>
      </w:tr>
      <w:tr>
        <w:trPr>
          <w:cantSplit/>
        </w:trP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Slump sale of the plant as a going concern</w:t>
            </w:r>
          </w:p>
        </w:tc>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(same test)</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0</w:t>
            </w:r>
          </w:p>
        </w:tc>
      </w:tr>
      <w:tr>
        <w:trPr>
          <w:cantSplit/>
        </w:trP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Slump sale of assets only, no business passes</w:t>
            </w:r>
          </w:p>
        </w:tc>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Taxed asset by asset</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68,40,000</w:t>
            </w:r>
          </w:p>
        </w:tc>
      </w:tr>
      <w:tr>
        <w:trPr>
          <w:cantSplit/>
        </w:trP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Itemised sale</w:t>
            </w:r>
          </w:p>
        </w:tc>
        <w:tc>
          <w:tcPr>
            <w:tcW w:type="dxa" w:w="42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Machinery and stock at 18%; land, building and receivables outside GST</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68,40,000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Plant and machinery 3,00,00,000 x 18% (CGST 9% + SGST 9%)</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54,00,000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Stock 80,00,000 x 18%</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14,40,000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Land and completed building: Schedule III, not a supply</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Receivables: actionable claims, Schedule III, not a supply</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Rs. 0</w:t>
            </w:r>
          </w:p>
        </w:tc>
      </w:tr>
      <w:tr>
        <w:trPr>
          <w:cantSplit/>
        </w:trPr>
        <w:tc>
          <w:tcPr>
            <w:tcW w:type="dxa" w:w="7000"/>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GST on itemised sale</w:t>
            </w:r>
          </w:p>
        </w:tc>
        <w:tc>
          <w:tcPr>
            <w:tcW w:type="dxa" w:w="2638"/>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Rs. 68,40,000</w:t>
            </w:r>
          </w:p>
        </w:tc>
      </w:tr>
    </w:tbl>
    <w:p>
      <w:pPr>
        <w:spacing w:after="60"/>
      </w:pPr>
    </w:p>
    <w:p>
      <w:pPr>
        <w:spacing w:after="120" w:line="276"/>
        <w:jc w:val="both"/>
      </w:pPr>
      <w:r>
        <w:rPr>
          <w:rFonts w:ascii="Verdana" w:cs="Verdana" w:eastAsia="Verdana" w:hAnsi="Verdana"/>
        </w:rPr>
        <w:t xml:space="preserve">On an itemised sale, Precision could take the credit, so the tax is a cash flow cost. Stamp duty and income tax often decide the mode; GST favours the going concern route because it avoids blocking Rs. 68 lakh of working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227: Transfer of credit through ITC-02</w:t>
            </w:r>
          </w:p>
          <w:p>
            <w:pPr>
              <w:spacing w:after="60" w:line="260"/>
            </w:pPr>
            <w:r>
              <w:rPr>
                <w:rFonts w:ascii="Verdana" w:cs="Verdana" w:eastAsia="Verdana" w:hAnsi="Verdana"/>
                <w:sz w:val="20"/>
                <w:szCs w:val="20"/>
              </w:rPr>
              <w:t xml:space="preserve">Step 1: Section 18(3) and rule 41 allow unutilised credit to pass on sale or transfer of business, where the liabilities are also transferred.</w:t>
            </w:r>
          </w:p>
          <w:p>
            <w:pPr>
              <w:spacing w:after="60" w:line="260"/>
            </w:pPr>
            <w:r>
              <w:rPr>
                <w:rFonts w:ascii="Verdana" w:cs="Verdana" w:eastAsia="Verdana" w:hAnsi="Verdana"/>
                <w:sz w:val="20"/>
                <w:szCs w:val="20"/>
              </w:rPr>
              <w:t xml:space="preserve">Step 2: For a part of the business, credit is apportioned (as rule 41 lays down for a demerger, and as is commonly applied to other part transfers) in the ratio of the value of assets transferred to the value of all assets of the business (whether or not credit was taken on them): 9,30,00,000 / 18,60,00,000 = 50%.</w:t>
            </w:r>
          </w:p>
          <w:p>
            <w:pPr>
              <w:spacing w:after="60" w:line="260"/>
            </w:pPr>
            <w:r>
              <w:rPr>
                <w:rFonts w:ascii="Verdana" w:cs="Verdana" w:eastAsia="Verdana" w:hAnsi="Verdana"/>
                <w:sz w:val="20"/>
                <w:szCs w:val="20"/>
              </w:rPr>
              <w:t xml:space="preserve">Step 3: Credit transferable = 12,00,000 x 50% = Rs. 6,00,000.</w:t>
            </w:r>
          </w:p>
          <w:p>
            <w:pPr>
              <w:spacing w:after="60" w:line="260"/>
            </w:pPr>
            <w:r>
              <w:rPr>
                <w:rFonts w:ascii="Verdana" w:cs="Verdana" w:eastAsia="Verdana" w:hAnsi="Verdana"/>
                <w:sz w:val="20"/>
                <w:szCs w:val="20"/>
              </w:rPr>
              <w:t xml:space="preserve">Step 4: Anand files ITC-02 with a CA certificate on the liabilities transferred; Precision accepts it on the portal and the credit reaches its ledger.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228: Section 18(6) on the press sold separately</w:t>
            </w:r>
          </w:p>
          <w:p>
            <w:pPr>
              <w:spacing w:after="60" w:line="260"/>
            </w:pPr>
            <w:r>
              <w:rPr>
                <w:rFonts w:ascii="Verdana" w:cs="Verdana" w:eastAsia="Verdana" w:hAnsi="Verdana"/>
                <w:sz w:val="20"/>
                <w:szCs w:val="20"/>
              </w:rPr>
              <w:t xml:space="preserve">Step 1: When capital goods on which credit was taken are supplied, the supplier pays the higher of the credit reduced by 5 percentage points for every quarter or part of a quarter from the invoice date, and tax on the transaction value.</w:t>
            </w:r>
          </w:p>
          <w:p>
            <w:pPr>
              <w:spacing w:after="60" w:line="260"/>
            </w:pPr>
            <w:r>
              <w:rPr>
                <w:rFonts w:ascii="Verdana" w:cs="Verdana" w:eastAsia="Verdana" w:hAnsi="Verdana"/>
                <w:sz w:val="20"/>
                <w:szCs w:val="20"/>
              </w:rPr>
              <w:t xml:space="preserve">Step 2: From 10 June 2023 to the sale in August 2026: 12 full quarters and part of the 13th, so 13 quarters, a reduction of 65 percentage points.</w:t>
            </w:r>
          </w:p>
          <w:p>
            <w:pPr>
              <w:spacing w:after="60" w:line="260"/>
            </w:pPr>
            <w:r>
              <w:rPr>
                <w:rFonts w:ascii="Verdana" w:cs="Verdana" w:eastAsia="Verdana" w:hAnsi="Verdana"/>
                <w:sz w:val="20"/>
                <w:szCs w:val="20"/>
              </w:rPr>
              <w:t xml:space="preserve">Step 3: Credit to be paid back = 7,20,000 x 35% = Rs. 2,52,000.</w:t>
            </w:r>
          </w:p>
          <w:p>
            <w:pPr>
              <w:spacing w:after="60" w:line="260"/>
            </w:pPr>
            <w:r>
              <w:rPr>
                <w:rFonts w:ascii="Verdana" w:cs="Verdana" w:eastAsia="Verdana" w:hAnsi="Verdana"/>
                <w:sz w:val="20"/>
                <w:szCs w:val="20"/>
              </w:rPr>
              <w:t xml:space="preserve">Step 4: Tax on transaction value = 5,00,000 x 18% = Rs. 90,000.</w:t>
            </w:r>
          </w:p>
          <w:p>
            <w:pPr>
              <w:spacing w:after="60" w:line="260"/>
            </w:pPr>
            <w:r>
              <w:rPr>
                <w:rFonts w:ascii="Verdana" w:cs="Verdana" w:eastAsia="Verdana" w:hAnsi="Verdana"/>
                <w:sz w:val="20"/>
                <w:szCs w:val="20"/>
              </w:rPr>
              <w:t xml:space="preserve">Step 5: Anand pays the higher, Rs. 2,52,000 (CGST Rs. 1,26,000, SGST Rs. 1,26,000). The buyer can take credit only of the tax shown on the invoice.</w:t>
            </w:r>
          </w:p>
        </w:tc>
      </w:tr>
    </w:tbl>
    <w:p>
      <w:pPr>
        <w:spacing w:after="60"/>
      </w:pPr>
    </w:p>
    <w:p>
      <w:pPr>
        <w:pStyle w:val="Heading2"/>
        <w:keepNext/>
        <w:spacing w:after="120" w:before="240"/>
      </w:pPr>
      <w:r>
        <w:rPr>
          <w:rFonts w:ascii="Verdana" w:cs="Verdana" w:eastAsia="Verdana" w:hAnsi="Verdana"/>
        </w:rPr>
        <w:t xml:space="preserve">58.4 Compliance and documentation</w:t>
      </w:r>
    </w:p>
    <w:p>
      <w:pPr>
        <w:pStyle w:val="ListParagraph"/>
        <w:numPr>
          <w:ilvl w:val="0"/>
          <w:numId w:val="2"/>
        </w:numPr>
        <w:spacing w:after="60" w:line="264"/>
      </w:pPr>
      <w:r>
        <w:rPr>
          <w:rFonts w:ascii="Verdana" w:cs="Verdana" w:eastAsia="Verdana" w:hAnsi="Verdana"/>
        </w:rPr>
        <w:t xml:space="preserve">Business transfer agreement listing staff, contracts and liabilities, to support going concern status.</w:t>
      </w:r>
    </w:p>
    <w:p>
      <w:pPr>
        <w:pStyle w:val="ListParagraph"/>
        <w:numPr>
          <w:ilvl w:val="0"/>
          <w:numId w:val="2"/>
        </w:numPr>
        <w:spacing w:after="60" w:line="264"/>
      </w:pPr>
      <w:r>
        <w:rPr>
          <w:rFonts w:ascii="Verdana" w:cs="Verdana" w:eastAsia="Verdana" w:hAnsi="Verdana"/>
        </w:rPr>
        <w:t xml:space="preserve">Invoice or bill of supply for the exempt transfer; GSTR-1 shows it as an exempt supply.</w:t>
      </w:r>
    </w:p>
    <w:p>
      <w:pPr>
        <w:pStyle w:val="ListParagraph"/>
        <w:numPr>
          <w:ilvl w:val="0"/>
          <w:numId w:val="2"/>
        </w:numPr>
        <w:spacing w:after="60" w:line="264"/>
      </w:pPr>
      <w:r>
        <w:rPr>
          <w:rFonts w:ascii="Verdana" w:cs="Verdana" w:eastAsia="Verdana" w:hAnsi="Verdana"/>
        </w:rPr>
        <w:t xml:space="preserve">ITC-02 by the transferor, acceptance by the transferee; transferee to register and amend its registration for the Pune place of business before the transfer date.</w:t>
      </w:r>
    </w:p>
    <w:p>
      <w:pPr>
        <w:pStyle w:val="ListParagraph"/>
        <w:numPr>
          <w:ilvl w:val="0"/>
          <w:numId w:val="2"/>
        </w:numPr>
        <w:spacing w:after="60" w:line="264"/>
      </w:pPr>
      <w:r>
        <w:rPr>
          <w:rFonts w:ascii="Verdana" w:cs="Verdana" w:eastAsia="Verdana" w:hAnsi="Verdana"/>
        </w:rPr>
        <w:t xml:space="preserve">For the press, tax invoice with the higher amount, and a working of quarters on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b/>
                <w:bCs/>
                <w:sz w:val="20"/>
                <w:szCs w:val="20"/>
              </w:rPr>
              <w:t xml:space="preserve">Lessons</w:t>
            </w:r>
          </w:p>
          <w:p>
            <w:pPr>
              <w:spacing w:after="60" w:line="260"/>
            </w:pPr>
            <w:r>
              <w:rPr>
                <w:rFonts w:ascii="Verdana" w:cs="Verdana" w:eastAsia="Verdana" w:hAnsi="Verdana"/>
                <w:sz w:val="20"/>
                <w:szCs w:val="20"/>
              </w:rPr>
              <w:t xml:space="preserve">GST follows substance: a lump sum for a unit that can run on its own is exempt; a lump sum for bare assets is taxed item by item.</w:t>
            </w:r>
          </w:p>
          <w:p>
            <w:pPr>
              <w:spacing w:after="60" w:line="260"/>
            </w:pPr>
            <w:r>
              <w:rPr>
                <w:rFonts w:ascii="Verdana" w:cs="Verdana" w:eastAsia="Verdana" w:hAnsi="Verdana"/>
                <w:sz w:val="20"/>
                <w:szCs w:val="20"/>
              </w:rPr>
              <w:t xml:space="preserve">Credit in the ledger can travel with the business through ITC-02; plan it into the price.</w:t>
            </w:r>
          </w:p>
          <w:p>
            <w:pPr>
              <w:spacing w:after="60" w:line="260"/>
            </w:pPr>
            <w:r>
              <w:rPr>
                <w:rFonts w:ascii="Verdana" w:cs="Verdana" w:eastAsia="Verdana" w:hAnsi="Verdana"/>
                <w:sz w:val="20"/>
                <w:szCs w:val="20"/>
              </w:rPr>
              <w:t xml:space="preserve">On selling a used capital good, compare the section 18(6) formula with tax on the price before fixing the price.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Transfer of the Pune plant as a going concern is exempt; slump sale is exempt only if a going concern passes.</w:t>
            </w:r>
          </w:p>
          <w:p>
            <w:pPr>
              <w:spacing w:after="60" w:line="260"/>
            </w:pPr>
            <w:r>
              <w:rPr>
                <w:rFonts w:ascii="Verdana" w:cs="Verdana" w:eastAsia="Verdana" w:hAnsi="Verdana"/>
                <w:sz w:val="20"/>
                <w:szCs w:val="20"/>
              </w:rPr>
              <w:t xml:space="preserve">•  An itemised sale would attract GST of Rs. 68,40,000 on machinery and stock.</w:t>
            </w:r>
          </w:p>
          <w:p>
            <w:pPr>
              <w:spacing w:after="60" w:line="260"/>
            </w:pPr>
            <w:r>
              <w:rPr>
                <w:rFonts w:ascii="Verdana" w:cs="Verdana" w:eastAsia="Verdana" w:hAnsi="Verdana"/>
                <w:sz w:val="20"/>
                <w:szCs w:val="20"/>
              </w:rPr>
              <w:t xml:space="preserve">•  ITC-02 can carry Rs. 6,00,000 of credit to the buyer.</w:t>
            </w:r>
          </w:p>
          <w:p>
            <w:pPr>
              <w:spacing w:after="60" w:line="260"/>
            </w:pPr>
            <w:r>
              <w:rPr>
                <w:rFonts w:ascii="Verdana" w:cs="Verdana" w:eastAsia="Verdana" w:hAnsi="Verdana"/>
                <w:sz w:val="20"/>
                <w:szCs w:val="20"/>
              </w:rPr>
              <w:t xml:space="preserve">•  The old press attracted Rs. 2,52,000 under section 18(6), more than tax on its price.</w:t>
            </w:r>
          </w:p>
        </w:tc>
      </w:tr>
    </w:tbl>
    <w:p>
      <w:pPr>
        <w:pStyle w:val="Heading1"/>
        <w:pageBreakBefore/>
        <w:spacing w:after="200" w:before="0"/>
      </w:pPr>
      <w:r>
        <w:rPr>
          <w:rFonts w:ascii="Verdana" w:cs="Verdana" w:eastAsia="Verdana" w:hAnsi="Verdana"/>
        </w:rPr>
        <w:t xml:space="preserve">59. Case Study 15: Composition or Regular Scheme for Small Businesses</w:t>
      </w:r>
    </w:p>
    <w:p>
      <w:pPr>
        <w:pStyle w:val="Heading2"/>
        <w:keepNext/>
        <w:spacing w:after="120" w:before="240"/>
      </w:pPr>
      <w:r>
        <w:rPr>
          <w:rFonts w:ascii="Verdana" w:cs="Verdana" w:eastAsia="Verdana" w:hAnsi="Verdana"/>
        </w:rPr>
        <w:t xml:space="preserve">59.1 Facts</w:t>
      </w:r>
    </w:p>
    <w:p>
      <w:pPr>
        <w:spacing w:after="120" w:line="276"/>
        <w:jc w:val="both"/>
      </w:pPr>
      <w:r>
        <w:rPr>
          <w:rFonts w:ascii="Verdana" w:cs="Verdana" w:eastAsia="Verdana" w:hAnsi="Verdana"/>
        </w:rPr>
        <w:t xml:space="preserve">Two clients of a small practice in Ahmedabad want advice for FY 2027-28.</w:t>
      </w:r>
    </w:p>
    <w:p>
      <w:pPr>
        <w:spacing w:after="120" w:line="276"/>
        <w:jc w:val="both"/>
      </w:pPr>
      <w:r>
        <w:rPr>
          <w:rFonts w:ascii="Verdana" w:cs="Verdana" w:eastAsia="Verdana" w:hAnsi="Verdana"/>
          <w:b/>
          <w:bCs/>
        </w:rPr>
        <w:t xml:space="preserve">Shree Mahalaxmi Sweets</w:t>
      </w:r>
      <w:r>
        <w:rPr>
          <w:rFonts w:ascii="Verdana" w:cs="Verdana" w:eastAsia="Verdana" w:hAnsi="Verdana"/>
        </w:rPr>
        <w:t xml:space="preserve"> makes sweets and namkeen in its own kitchen and sells them at a separate retail counter, and also runs a restaurant in the same building. Customer receipts last year: restaurant Rs. 63,00,000, sweet counter Rs. 84,00,000, total Rs. 1,47,00,000. Prices are inclusive of any tax. GST on inputs used for the sweets (ghee, packing, gas) was Rs. 1,50,000. All sales are within Gujarat.</w:t>
      </w:r>
    </w:p>
    <w:p>
      <w:pPr>
        <w:spacing w:after="120" w:line="276"/>
        <w:jc w:val="both"/>
      </w:pPr>
      <w:r>
        <w:rPr>
          <w:rFonts w:ascii="Verdana" w:cs="Verdana" w:eastAsia="Verdana" w:hAnsi="Verdana"/>
          <w:b/>
          <w:bCs/>
        </w:rPr>
        <w:t xml:space="preserve">Neha Joshi</w:t>
      </w:r>
      <w:r>
        <w:rPr>
          <w:rFonts w:ascii="Verdana" w:cs="Verdana" w:eastAsia="Verdana" w:hAnsi="Verdana"/>
        </w:rPr>
        <w:t xml:space="preserve"> is an HR consultant in Ahmedabad with receipts of Rs. 45,00,000. Her GST on laptop, phone and co-working was Rs. 60,000. The question is asked for two client mixes: all business clients, or all individual clients.</w:t>
      </w:r>
    </w:p>
    <w:p>
      <w:pPr>
        <w:pStyle w:val="Heading2"/>
        <w:keepNext/>
        <w:spacing w:after="120" w:before="240"/>
      </w:pPr>
      <w:r>
        <w:rPr>
          <w:rFonts w:ascii="Verdana" w:cs="Verdana" w:eastAsia="Verdana" w:hAnsi="Verdana"/>
        </w:rPr>
        <w:t xml:space="preserve">59.2 Issues</w:t>
      </w:r>
    </w:p>
    <w:p>
      <w:pPr>
        <w:pStyle w:val="ListParagraph"/>
        <w:numPr>
          <w:ilvl w:val="0"/>
          <w:numId w:val="2"/>
        </w:numPr>
        <w:spacing w:after="60" w:line="264"/>
      </w:pPr>
      <w:r>
        <w:rPr>
          <w:rFonts w:ascii="Verdana" w:cs="Verdana" w:eastAsia="Verdana" w:hAnsi="Verdana"/>
        </w:rPr>
        <w:t xml:space="preserve">Eligibility and rate under section 10(1) and section 10(2A).</w:t>
      </w:r>
    </w:p>
    <w:p>
      <w:pPr>
        <w:pStyle w:val="ListParagraph"/>
        <w:numPr>
          <w:ilvl w:val="0"/>
          <w:numId w:val="2"/>
        </w:numPr>
        <w:spacing w:after="60" w:line="264"/>
      </w:pPr>
      <w:r>
        <w:rPr>
          <w:rFonts w:ascii="Verdana" w:cs="Verdana" w:eastAsia="Verdana" w:hAnsi="Verdana"/>
        </w:rPr>
        <w:t xml:space="preserve">Annual tax cost under each scheme.</w:t>
      </w:r>
    </w:p>
    <w:p>
      <w:pPr>
        <w:pStyle w:val="ListParagraph"/>
        <w:numPr>
          <w:ilvl w:val="0"/>
          <w:numId w:val="2"/>
        </w:numPr>
        <w:spacing w:after="60" w:line="264"/>
      </w:pPr>
      <w:r>
        <w:rPr>
          <w:rFonts w:ascii="Verdana" w:cs="Verdana" w:eastAsia="Verdana" w:hAnsi="Verdana"/>
        </w:rPr>
        <w:t xml:space="preserve">Effect on customers and on future growth.</w:t>
      </w:r>
    </w:p>
    <w:p>
      <w:pPr>
        <w:pStyle w:val="Heading2"/>
        <w:keepNext/>
        <w:spacing w:after="120" w:before="240"/>
      </w:pPr>
      <w:r>
        <w:rPr>
          <w:rFonts w:ascii="Verdana" w:cs="Verdana" w:eastAsia="Verdana" w:hAnsi="Verdana"/>
        </w:rPr>
        <w:t xml:space="preserve">59.3 Analysis and computation</w:t>
      </w:r>
    </w:p>
    <w:p>
      <w:pPr>
        <w:spacing w:after="120" w:line="276"/>
        <w:jc w:val="both"/>
      </w:pPr>
      <w:r>
        <w:rPr>
          <w:rFonts w:ascii="Verdana" w:cs="Verdana" w:eastAsia="Verdana" w:hAnsi="Verdana"/>
        </w:rPr>
        <w:t xml:space="preserve">Composition under section 10(1) is open where aggregate turnover in the preceding year did not exceed Rs. 1.5 crore. Rates: 1% for manufacturers and traders, 5% for restaurant service. Section 10(2A) is for service providers and mixed suppliers not eligible under section 10(1), with turnover up to Rs. 50 lakh, at 6%. A composition person cannot take credit, cannot collect tax from customers, cannot make inter-State outward supplies, issues a bill of supply and displays "composition taxable person" at the place of business.</w:t>
      </w:r>
    </w:p>
    <w:p>
      <w:pPr>
        <w:spacing w:after="120" w:line="276"/>
        <w:jc w:val="both"/>
      </w:pPr>
      <w:r>
        <w:rPr>
          <w:rFonts w:ascii="Verdana" w:cs="Verdana" w:eastAsia="Verdana" w:hAnsi="Verdana"/>
        </w:rPr>
        <w:t xml:space="preserve">Mahalaxmi's turnover of Rs. 1,47,00,000 is within Rs. 1.5 crore. Sweets sold from a separate retail counter as goods are manufactured goods at 1%. Where sweets are sold as part of the restaurant's service, including takeaway from the restaurant, they fall within restaurant service. Advance rulings have differed on mixed outlets, so the counter should be physically and commercially separate, with separate billing.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tblHeader/>
        </w:trPr>
        <w:tc>
          <w:tcPr>
            <w:tcW w:type="dxa" w:w="321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Mahalaxmi Sweets</w:t>
            </w:r>
          </w:p>
        </w:tc>
        <w:tc>
          <w:tcPr>
            <w:tcW w:type="dxa" w:w="321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Regular scheme</w:t>
            </w:r>
          </w:p>
        </w:tc>
        <w:tc>
          <w:tcPr>
            <w:tcW w:type="dxa" w:w="3214"/>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Composition</w:t>
            </w:r>
          </w:p>
        </w:tc>
      </w:tr>
      <w:tr>
        <w:trPr>
          <w:cantSplit/>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Customer receipts</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1,47,00,000</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1,47,00,000</w:t>
            </w:r>
          </w:p>
        </w:tc>
      </w:tr>
      <w:tr>
        <w:trPr>
          <w:cantSplit/>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Output tax: restaurant</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3,00,000 (5% on 60,00,000)</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3,15,000 (5% on 63,00,000)</w:t>
            </w:r>
          </w:p>
        </w:tc>
      </w:tr>
      <w:tr>
        <w:trPr>
          <w:cantSplit/>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Output tax: sweets</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4,00,000 (5% on 80,00,000)</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84,000 (1% on 84,00,000)</w:t>
            </w:r>
          </w:p>
        </w:tc>
      </w:tr>
      <w:tr>
        <w:trPr>
          <w:cantSplit/>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Input GST on sweets</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Recovered as credit</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1,50,000 becomes cost</w:t>
            </w:r>
          </w:p>
        </w:tc>
      </w:tr>
      <w:tr>
        <w:trPr>
          <w:cantSplit/>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Cash tax to Government</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5,50,000</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Verdana" w:cs="Verdana" w:eastAsia="Verdana" w:hAnsi="Verdana"/>
                <w:sz w:val="19"/>
                <w:szCs w:val="19"/>
              </w:rPr>
              <w:t xml:space="preserve">3,99,000</w:t>
            </w:r>
          </w:p>
        </w:tc>
      </w:tr>
      <w:tr>
        <w:trPr>
          <w:cantSplit/>
        </w:trPr>
        <w:tc>
          <w:tcPr>
            <w:tcW w:type="dxa" w:w="3212"/>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left"/>
            </w:pPr>
            <w:r>
              <w:rPr>
                <w:rFonts w:ascii="Verdana" w:cs="Verdana" w:eastAsia="Verdana" w:hAnsi="Verdana"/>
                <w:b/>
                <w:bCs/>
                <w:sz w:val="19"/>
                <w:szCs w:val="19"/>
              </w:rPr>
              <w:t xml:space="preserve">Amount kept after all GST</w:t>
            </w:r>
          </w:p>
        </w:tc>
        <w:tc>
          <w:tcPr>
            <w:tcW w:type="dxa" w:w="3212"/>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1,40,00,000</w:t>
            </w:r>
          </w:p>
        </w:tc>
        <w:tc>
          <w:tcPr>
            <w:tcW w:type="dxa" w:w="3214"/>
            <w:tcBorders>
              <w:top w:val="single" w:color="BFBFBF" w:sz="4"/>
              <w:left w:val="single" w:color="BFBFBF" w:sz="4"/>
              <w:bottom w:val="single" w:color="BFBFBF" w:sz="4"/>
              <w:right w:val="single" w:color="BFBFBF" w:sz="4"/>
            </w:tcBorders>
            <w:shd w:fill="F6E8D2" w:color="auto" w:val="clear"/>
            <w:tcMar>
              <w:top w:type="dxa" w:w="50"/>
              <w:left w:type="dxa" w:w="90"/>
              <w:bottom w:type="dxa" w:w="50"/>
              <w:right w:type="dxa" w:w="90"/>
            </w:tcMar>
          </w:tcPr>
          <w:p>
            <w:pPr>
              <w:jc w:val="right"/>
            </w:pPr>
            <w:r>
              <w:rPr>
                <w:rFonts w:ascii="Verdana" w:cs="Verdana" w:eastAsia="Verdana" w:hAnsi="Verdana"/>
                <w:b/>
                <w:bCs/>
                <w:sz w:val="19"/>
                <w:szCs w:val="19"/>
              </w:rPr>
              <w:t xml:space="preserve">1,41,51,000</w:t>
            </w:r>
          </w:p>
        </w:tc>
      </w:tr>
    </w:tbl>
    <w:p>
      <w:pPr>
        <w:spacing w:after="60"/>
      </w:pPr>
    </w:p>
    <w:p>
      <w:pPr>
        <w:spacing w:after="120" w:line="276"/>
        <w:jc w:val="both"/>
      </w:pPr>
      <w:r>
        <w:rPr>
          <w:rFonts w:ascii="Verdana" w:cs="Verdana" w:eastAsia="Verdana" w:hAnsi="Verdana"/>
        </w:rPr>
        <w:t xml:space="preserve">Composition saves Rs. 1,51,000 a year. The restaurant pays 5% under either scheme, so the gain comes from the 1% rate on sweets. The customers are consumers, so the loss of a tax invoice does not matter; even corporate Diwali gift orders carry no credit for the buyer because gifts are blocked under section 17(5)(h).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229: Consultant under section 10(2A)</w:t>
            </w:r>
          </w:p>
          <w:p>
            <w:pPr>
              <w:spacing w:after="60" w:line="260"/>
            </w:pPr>
            <w:r>
              <w:rPr>
                <w:rFonts w:ascii="Verdana" w:cs="Verdana" w:eastAsia="Verdana" w:hAnsi="Verdana"/>
                <w:sz w:val="20"/>
                <w:szCs w:val="20"/>
              </w:rPr>
              <w:t xml:space="preserve">Step 1: Business clients, regular scheme. Neha charges 18% on 45,00,000; clients take credit, so their cost is unchanged. She recovers her own input GST. Amount kept: Rs. 45,00,000.</w:t>
            </w:r>
          </w:p>
          <w:p>
            <w:pPr>
              <w:spacing w:after="60" w:line="260"/>
            </w:pPr>
            <w:r>
              <w:rPr>
                <w:rFonts w:ascii="Verdana" w:cs="Verdana" w:eastAsia="Verdana" w:hAnsi="Verdana"/>
                <w:sz w:val="20"/>
                <w:szCs w:val="20"/>
              </w:rPr>
              <w:t xml:space="preserve">Step 2: Business clients, composition at 6%. She cannot charge GST, so she pays Rs. 2,70,000 from her fee and bears Rs. 60,000 input GST. Amount kept: Rs. 41,70,000. Composition costs her Rs. 3,30,000, and clients lose nothing only because she absorbs it.</w:t>
            </w:r>
          </w:p>
          <w:p>
            <w:pPr>
              <w:spacing w:after="60" w:line="260"/>
            </w:pPr>
            <w:r>
              <w:rPr>
                <w:rFonts w:ascii="Verdana" w:cs="Verdana" w:eastAsia="Verdana" w:hAnsi="Verdana"/>
                <w:sz w:val="20"/>
                <w:szCs w:val="20"/>
              </w:rPr>
              <w:t xml:space="preserve">Step 3: Individual clients, fees inclusive of any tax. Regular: value = 45,00,000 / 1.18 = Rs. 38,13,559; input GST recovered. Amount kept: Rs. 38,13,559.</w:t>
            </w:r>
          </w:p>
          <w:p>
            <w:pPr>
              <w:spacing w:after="60" w:line="260"/>
            </w:pPr>
            <w:r>
              <w:rPr>
                <w:rFonts w:ascii="Verdana" w:cs="Verdana" w:eastAsia="Verdana" w:hAnsi="Verdana"/>
                <w:sz w:val="20"/>
                <w:szCs w:val="20"/>
              </w:rPr>
              <w:t xml:space="preserve">Step 4: Individual clients, composition: 45,00,000 less 6% (2,70,000) less input GST 60,000 = Rs. 41,70,000. Composition gains Rs. 3,56,441.</w:t>
            </w:r>
          </w:p>
        </w:tc>
      </w:tr>
    </w:tbl>
    <w:p>
      <w:pPr>
        <w:spacing w:after="60"/>
      </w:pPr>
    </w:p>
    <w:p>
      <w:pPr>
        <w:spacing w:after="120" w:line="276"/>
        <w:jc w:val="both"/>
      </w:pPr>
      <w:r>
        <w:rPr>
          <w:rFonts w:ascii="Verdana" w:cs="Verdana" w:eastAsia="Verdana" w:hAnsi="Verdana"/>
        </w:rPr>
        <w:t xml:space="preserve">For business clients the regular scheme is better; clients also prefer a tax invoice. For individual clients composition is better, provided Neha has no clients in other States: one inter-State client makes her ineligible.</w:t>
      </w:r>
    </w:p>
    <w:p>
      <w:pPr>
        <w:pStyle w:val="Heading2"/>
        <w:keepNext/>
        <w:spacing w:after="120" w:before="240"/>
      </w:pPr>
      <w:r>
        <w:rPr>
          <w:rFonts w:ascii="Verdana" w:cs="Verdana" w:eastAsia="Verdana" w:hAnsi="Verdana"/>
        </w:rPr>
        <w:t xml:space="preserve">59.4 Compliance and documentation</w:t>
      </w:r>
    </w:p>
    <w:p>
      <w:pPr>
        <w:pStyle w:val="ListParagraph"/>
        <w:numPr>
          <w:ilvl w:val="0"/>
          <w:numId w:val="2"/>
        </w:numPr>
        <w:spacing w:after="60" w:line="264"/>
      </w:pPr>
      <w:r>
        <w:rPr>
          <w:rFonts w:ascii="Verdana" w:cs="Verdana" w:eastAsia="Verdana" w:hAnsi="Verdana"/>
        </w:rPr>
        <w:t xml:space="preserve">Option for composition in CMP-02 before the start of the financial year.</w:t>
      </w:r>
    </w:p>
    <w:p>
      <w:pPr>
        <w:pStyle w:val="ListParagraph"/>
        <w:numPr>
          <w:ilvl w:val="0"/>
          <w:numId w:val="2"/>
        </w:numPr>
        <w:spacing w:after="60" w:line="264"/>
      </w:pPr>
      <w:r>
        <w:rPr>
          <w:rFonts w:ascii="Verdana" w:cs="Verdana" w:eastAsia="Verdana" w:hAnsi="Verdana"/>
        </w:rPr>
        <w:t xml:space="preserve">CMP-08 quarterly by the 18th of the month after the quarter; GSTR-4 annual return by 30 June.</w:t>
      </w:r>
    </w:p>
    <w:p>
      <w:pPr>
        <w:pStyle w:val="ListParagraph"/>
        <w:numPr>
          <w:ilvl w:val="0"/>
          <w:numId w:val="2"/>
        </w:numPr>
        <w:spacing w:after="60" w:line="264"/>
      </w:pPr>
      <w:r>
        <w:rPr>
          <w:rFonts w:ascii="Verdana" w:cs="Verdana" w:eastAsia="Verdana" w:hAnsi="Verdana"/>
        </w:rPr>
        <w:t xml:space="preserve">Stock held on the date of opting in: credit on it is reversed (ITC-03).</w:t>
      </w:r>
    </w:p>
    <w:p>
      <w:pPr>
        <w:pStyle w:val="ListParagraph"/>
        <w:numPr>
          <w:ilvl w:val="0"/>
          <w:numId w:val="2"/>
        </w:numPr>
        <w:spacing w:after="60" w:line="264"/>
      </w:pPr>
      <w:r>
        <w:rPr>
          <w:rFonts w:ascii="Verdana" w:cs="Verdana" w:eastAsia="Verdana" w:hAnsi="Verdana"/>
        </w:rPr>
        <w:t xml:space="preserve">If turnover crosses the limit during the year, the option lapses from that day; file the intimation within seven days and move to the regular scheme with ITC-01 for credit on stock.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b/>
                <w:bCs/>
                <w:sz w:val="20"/>
                <w:szCs w:val="20"/>
              </w:rPr>
              <w:t xml:space="preserve">Lessons</w:t>
            </w:r>
          </w:p>
          <w:p>
            <w:pPr>
              <w:spacing w:after="60" w:line="260"/>
            </w:pPr>
            <w:r>
              <w:rPr>
                <w:rFonts w:ascii="Verdana" w:cs="Verdana" w:eastAsia="Verdana" w:hAnsi="Verdana"/>
                <w:sz w:val="20"/>
                <w:szCs w:val="20"/>
              </w:rPr>
              <w:t xml:space="preserve">Composition suits consumer-facing businesses with low input credit. It rarely suits suppliers to businesses.</w:t>
            </w:r>
          </w:p>
          <w:p>
            <w:pPr>
              <w:spacing w:after="60" w:line="260"/>
            </w:pPr>
            <w:r>
              <w:rPr>
                <w:rFonts w:ascii="Verdana" w:cs="Verdana" w:eastAsia="Verdana" w:hAnsi="Verdana"/>
                <w:sz w:val="20"/>
                <w:szCs w:val="20"/>
              </w:rPr>
              <w:t xml:space="preserve">Mahalaxmi is close to Rs. 1.5 crore; growth of a few per cent will end the option mid-year. Plan the switch.</w:t>
            </w:r>
          </w:p>
          <w:p>
            <w:pPr>
              <w:spacing w:after="60" w:line="260"/>
            </w:pPr>
            <w:r>
              <w:rPr>
                <w:rFonts w:ascii="Verdana" w:cs="Verdana" w:eastAsia="Verdana" w:hAnsi="Verdana"/>
                <w:sz w:val="20"/>
                <w:szCs w:val="20"/>
              </w:rPr>
              <w:t xml:space="preserve">No inter-State outward supply is allowed, which also rules out online orders to customers in other States.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2400E" w:sz="24"/>
              <w:bottom w:val="none" w:color="FFFFFF" w:sz="0"/>
              <w:right w:val="none" w:color="FFFFFF" w:sz="0"/>
            </w:tcBorders>
            <w:shd w:fill="FBF1E2" w:color="auto" w:val="clear"/>
            <w:tcMar>
              <w:top w:type="dxa" w:w="110"/>
              <w:left w:type="dxa" w:w="200"/>
              <w:bottom w:type="dxa" w:w="110"/>
              <w:right w:type="dxa" w:w="200"/>
            </w:tcMar>
          </w:tcPr>
          <w:p>
            <w:pPr>
              <w:keepNext/>
              <w:spacing w:after="80"/>
            </w:pPr>
            <w:r>
              <w:rPr>
                <w:rFonts w:ascii="Verdana" w:cs="Verdana" w:eastAsia="Verdana" w:hAnsi="Verdana"/>
                <w:b/>
                <w:bCs/>
                <w:color w:val="92400E"/>
                <w:sz w:val="21"/>
                <w:szCs w:val="21"/>
              </w:rPr>
              <w:t xml:space="preserve">Chapter summary</w:t>
            </w:r>
          </w:p>
          <w:p>
            <w:pPr>
              <w:spacing w:after="60" w:line="260"/>
            </w:pPr>
            <w:r>
              <w:rPr>
                <w:rFonts w:ascii="Verdana" w:cs="Verdana" w:eastAsia="Verdana" w:hAnsi="Verdana"/>
                <w:sz w:val="20"/>
                <w:szCs w:val="20"/>
              </w:rPr>
              <w:t xml:space="preserve">•  Composition saves Mahalaxmi Sweets Rs. 1,51,000 a year, mainly through the 1% rate on sweets.</w:t>
            </w:r>
          </w:p>
          <w:p>
            <w:pPr>
              <w:spacing w:after="60" w:line="260"/>
            </w:pPr>
            <w:r>
              <w:rPr>
                <w:rFonts w:ascii="Verdana" w:cs="Verdana" w:eastAsia="Verdana" w:hAnsi="Verdana"/>
                <w:sz w:val="20"/>
                <w:szCs w:val="20"/>
              </w:rPr>
              <w:t xml:space="preserve">•  The restaurant pays 5% under both schemes.</w:t>
            </w:r>
          </w:p>
          <w:p>
            <w:pPr>
              <w:spacing w:after="60" w:line="260"/>
            </w:pPr>
            <w:r>
              <w:rPr>
                <w:rFonts w:ascii="Verdana" w:cs="Verdana" w:eastAsia="Verdana" w:hAnsi="Verdana"/>
                <w:sz w:val="20"/>
                <w:szCs w:val="20"/>
              </w:rPr>
              <w:t xml:space="preserve">•  A consultant with business clients loses Rs. 3,30,000 under section 10(2A); with individual clients she gains Rs. 3,56,441.</w:t>
            </w:r>
          </w:p>
          <w:p>
            <w:pPr>
              <w:spacing w:after="60" w:line="260"/>
            </w:pPr>
            <w:r>
              <w:rPr>
                <w:rFonts w:ascii="Verdana" w:cs="Verdana" w:eastAsia="Verdana" w:hAnsi="Verdana"/>
                <w:sz w:val="20"/>
                <w:szCs w:val="20"/>
              </w:rPr>
              <w:t xml:space="preserve">•  Turnover limits, inter-State bans and customer credit needs decide the choice.</w:t>
            </w:r>
          </w:p>
        </w:tc>
      </w:tr>
    </w:tbl>
    <w:p>
      <w:pPr>
        <w:pStyle w:val="Heading1"/>
        <w:pageBreakBefore/>
        <w:spacing w:after="200" w:before="0"/>
      </w:pPr>
      <w:r>
        <w:rPr>
          <w:rFonts w:ascii="Verdana" w:cs="Verdana" w:eastAsia="Verdana" w:hAnsi="Verdana"/>
        </w:rPr>
        <w:t xml:space="preserve">Appendix A: Section Map of the CGST Act, 2017</w:t>
      </w:r>
    </w:p>
    <w:p>
      <w:pPr>
        <w:spacing w:after="120" w:line="276"/>
        <w:jc w:val="both"/>
      </w:pPr>
      <w:r>
        <w:rPr>
          <w:rFonts w:ascii="Verdana" w:cs="Verdana" w:eastAsia="Verdana" w:hAnsi="Verdana"/>
        </w:rPr>
        <w:t xml:space="preserve">The CGST Act has 174 sections arranged in 21 chapters, followed by three Schedules. Several sections have been inserted since 2017 with letter suffixes (for example 11A, 74A, 128A and 148A), and a few have been omitted (for example sections 42, 43 and 43A on invoice matching). The chapter map below helps locate a provision quickly. The SGST Acts follow the same numbering, so the same map works for State law.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14"/>
        <w:gridCol w:w="6133"/>
        <w:gridCol w:w="2191"/>
      </w:tblGrid>
      <w:tr>
        <w:trPr>
          <w:cantSplit/>
          <w:tblHeader/>
        </w:trPr>
        <w:tc>
          <w:tcPr>
            <w:tcW w:type="dxa" w:w="1314"/>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Chapter</w:t>
            </w:r>
          </w:p>
        </w:tc>
        <w:tc>
          <w:tcPr>
            <w:tcW w:type="dxa" w:w="613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Subject</w:t>
            </w:r>
          </w:p>
        </w:tc>
        <w:tc>
          <w:tcPr>
            <w:tcW w:type="dxa" w:w="219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Sections</w:t>
            </w:r>
          </w:p>
        </w:tc>
      </w:tr>
      <w:tr>
        <w:trPr>
          <w:cantSplit/>
        </w:trPr>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w:t>
            </w:r>
          </w:p>
        </w:tc>
        <w:tc>
          <w:tcPr>
            <w:tcW w:type="dxa" w:w="61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Preliminary (short title, definitions)</w:t>
            </w:r>
          </w:p>
        </w:tc>
        <w:tc>
          <w:tcPr>
            <w:tcW w:type="dxa" w:w="2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to 2</w:t>
            </w:r>
          </w:p>
        </w:tc>
      </w:tr>
      <w:tr>
        <w:trPr>
          <w:cantSplit/>
        </w:trPr>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II</w:t>
            </w:r>
          </w:p>
        </w:tc>
        <w:tc>
          <w:tcPr>
            <w:tcW w:type="dxa" w:w="61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Administration</w:t>
            </w:r>
          </w:p>
        </w:tc>
        <w:tc>
          <w:tcPr>
            <w:tcW w:type="dxa" w:w="2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 to 6</w:t>
            </w:r>
          </w:p>
        </w:tc>
      </w:tr>
      <w:tr>
        <w:trPr>
          <w:cantSplit/>
        </w:trPr>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III</w:t>
            </w:r>
          </w:p>
        </w:tc>
        <w:tc>
          <w:tcPr>
            <w:tcW w:type="dxa" w:w="61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Levy and collection of tax</w:t>
            </w:r>
          </w:p>
        </w:tc>
        <w:tc>
          <w:tcPr>
            <w:tcW w:type="dxa" w:w="2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 to 11A</w:t>
            </w:r>
          </w:p>
        </w:tc>
      </w:tr>
      <w:tr>
        <w:trPr>
          <w:cantSplit/>
        </w:trPr>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IV</w:t>
            </w:r>
          </w:p>
        </w:tc>
        <w:tc>
          <w:tcPr>
            <w:tcW w:type="dxa" w:w="61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Time and value of supply</w:t>
            </w:r>
          </w:p>
        </w:tc>
        <w:tc>
          <w:tcPr>
            <w:tcW w:type="dxa" w:w="2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 to 15</w:t>
            </w:r>
          </w:p>
        </w:tc>
      </w:tr>
      <w:tr>
        <w:trPr>
          <w:cantSplit/>
        </w:trPr>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w:t>
            </w:r>
          </w:p>
        </w:tc>
        <w:tc>
          <w:tcPr>
            <w:tcW w:type="dxa" w:w="61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Input tax credit</w:t>
            </w:r>
          </w:p>
        </w:tc>
        <w:tc>
          <w:tcPr>
            <w:tcW w:type="dxa" w:w="2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 to 21</w:t>
            </w:r>
          </w:p>
        </w:tc>
      </w:tr>
      <w:tr>
        <w:trPr>
          <w:cantSplit/>
        </w:trPr>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VI</w:t>
            </w:r>
          </w:p>
        </w:tc>
        <w:tc>
          <w:tcPr>
            <w:tcW w:type="dxa" w:w="61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Registration</w:t>
            </w:r>
          </w:p>
        </w:tc>
        <w:tc>
          <w:tcPr>
            <w:tcW w:type="dxa" w:w="2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22 to 30</w:t>
            </w:r>
          </w:p>
        </w:tc>
      </w:tr>
      <w:tr>
        <w:trPr>
          <w:cantSplit/>
        </w:trPr>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VII</w:t>
            </w:r>
          </w:p>
        </w:tc>
        <w:tc>
          <w:tcPr>
            <w:tcW w:type="dxa" w:w="61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invoice, credit and debit notes</w:t>
            </w:r>
          </w:p>
        </w:tc>
        <w:tc>
          <w:tcPr>
            <w:tcW w:type="dxa" w:w="2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to 34</w:t>
            </w:r>
          </w:p>
        </w:tc>
      </w:tr>
      <w:tr>
        <w:trPr>
          <w:cantSplit/>
        </w:trPr>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VIII</w:t>
            </w:r>
          </w:p>
        </w:tc>
        <w:tc>
          <w:tcPr>
            <w:tcW w:type="dxa" w:w="61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Accounts and records</w:t>
            </w:r>
          </w:p>
        </w:tc>
        <w:tc>
          <w:tcPr>
            <w:tcW w:type="dxa" w:w="2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35 to 36</w:t>
            </w:r>
          </w:p>
        </w:tc>
      </w:tr>
      <w:tr>
        <w:trPr>
          <w:cantSplit/>
        </w:trPr>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IX</w:t>
            </w:r>
          </w:p>
        </w:tc>
        <w:tc>
          <w:tcPr>
            <w:tcW w:type="dxa" w:w="61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Returns</w:t>
            </w:r>
          </w:p>
        </w:tc>
        <w:tc>
          <w:tcPr>
            <w:tcW w:type="dxa" w:w="2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37 to 48</w:t>
            </w:r>
          </w:p>
        </w:tc>
      </w:tr>
      <w:tr>
        <w:trPr>
          <w:cantSplit/>
        </w:trPr>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X</w:t>
            </w:r>
          </w:p>
        </w:tc>
        <w:tc>
          <w:tcPr>
            <w:tcW w:type="dxa" w:w="61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Payment of tax</w:t>
            </w:r>
          </w:p>
        </w:tc>
        <w:tc>
          <w:tcPr>
            <w:tcW w:type="dxa" w:w="2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49 to 53A</w:t>
            </w:r>
          </w:p>
        </w:tc>
      </w:tr>
      <w:tr>
        <w:trPr>
          <w:cantSplit/>
        </w:trPr>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XI</w:t>
            </w:r>
          </w:p>
        </w:tc>
        <w:tc>
          <w:tcPr>
            <w:tcW w:type="dxa" w:w="61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Refunds</w:t>
            </w:r>
          </w:p>
        </w:tc>
        <w:tc>
          <w:tcPr>
            <w:tcW w:type="dxa" w:w="2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54 to 58</w:t>
            </w:r>
          </w:p>
        </w:tc>
      </w:tr>
      <w:tr>
        <w:trPr>
          <w:cantSplit/>
        </w:trPr>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XII</w:t>
            </w:r>
          </w:p>
        </w:tc>
        <w:tc>
          <w:tcPr>
            <w:tcW w:type="dxa" w:w="61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Assessment</w:t>
            </w:r>
          </w:p>
        </w:tc>
        <w:tc>
          <w:tcPr>
            <w:tcW w:type="dxa" w:w="2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59 to 64</w:t>
            </w:r>
          </w:p>
        </w:tc>
      </w:tr>
      <w:tr>
        <w:trPr>
          <w:cantSplit/>
        </w:trPr>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XIII</w:t>
            </w:r>
          </w:p>
        </w:tc>
        <w:tc>
          <w:tcPr>
            <w:tcW w:type="dxa" w:w="61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Audit</w:t>
            </w:r>
          </w:p>
        </w:tc>
        <w:tc>
          <w:tcPr>
            <w:tcW w:type="dxa" w:w="2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65 to 66</w:t>
            </w:r>
          </w:p>
        </w:tc>
      </w:tr>
      <w:tr>
        <w:trPr>
          <w:cantSplit/>
        </w:trPr>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XIV</w:t>
            </w:r>
          </w:p>
        </w:tc>
        <w:tc>
          <w:tcPr>
            <w:tcW w:type="dxa" w:w="61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Inspection, search, seizure and arrest</w:t>
            </w:r>
          </w:p>
        </w:tc>
        <w:tc>
          <w:tcPr>
            <w:tcW w:type="dxa" w:w="2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67 to 72</w:t>
            </w:r>
          </w:p>
        </w:tc>
      </w:tr>
      <w:tr>
        <w:trPr>
          <w:cantSplit/>
        </w:trPr>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XV</w:t>
            </w:r>
          </w:p>
        </w:tc>
        <w:tc>
          <w:tcPr>
            <w:tcW w:type="dxa" w:w="61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Demands and recovery</w:t>
            </w:r>
          </w:p>
        </w:tc>
        <w:tc>
          <w:tcPr>
            <w:tcW w:type="dxa" w:w="2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73 to 84</w:t>
            </w:r>
          </w:p>
        </w:tc>
      </w:tr>
      <w:tr>
        <w:trPr>
          <w:cantSplit/>
        </w:trPr>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XVI</w:t>
            </w:r>
          </w:p>
        </w:tc>
        <w:tc>
          <w:tcPr>
            <w:tcW w:type="dxa" w:w="61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Liability to pay in certain cases</w:t>
            </w:r>
          </w:p>
        </w:tc>
        <w:tc>
          <w:tcPr>
            <w:tcW w:type="dxa" w:w="2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85 to 94</w:t>
            </w:r>
          </w:p>
        </w:tc>
      </w:tr>
      <w:tr>
        <w:trPr>
          <w:cantSplit/>
        </w:trPr>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XVII</w:t>
            </w:r>
          </w:p>
        </w:tc>
        <w:tc>
          <w:tcPr>
            <w:tcW w:type="dxa" w:w="61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Advance ruling</w:t>
            </w:r>
          </w:p>
        </w:tc>
        <w:tc>
          <w:tcPr>
            <w:tcW w:type="dxa" w:w="2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95 to 106</w:t>
            </w:r>
          </w:p>
        </w:tc>
      </w:tr>
      <w:tr>
        <w:trPr>
          <w:cantSplit/>
        </w:trPr>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XVIII</w:t>
            </w:r>
          </w:p>
        </w:tc>
        <w:tc>
          <w:tcPr>
            <w:tcW w:type="dxa" w:w="61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Appeals and revision</w:t>
            </w:r>
          </w:p>
        </w:tc>
        <w:tc>
          <w:tcPr>
            <w:tcW w:type="dxa" w:w="2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107 to 121</w:t>
            </w:r>
          </w:p>
        </w:tc>
      </w:tr>
      <w:tr>
        <w:trPr>
          <w:cantSplit/>
        </w:trPr>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XIX</w:t>
            </w:r>
          </w:p>
        </w:tc>
        <w:tc>
          <w:tcPr>
            <w:tcW w:type="dxa" w:w="61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Offences and penalties</w:t>
            </w:r>
          </w:p>
        </w:tc>
        <w:tc>
          <w:tcPr>
            <w:tcW w:type="dxa" w:w="2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122 to 138</w:t>
            </w:r>
          </w:p>
        </w:tc>
      </w:tr>
      <w:tr>
        <w:trPr>
          <w:cantSplit/>
        </w:trPr>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XX</w:t>
            </w:r>
          </w:p>
        </w:tc>
        <w:tc>
          <w:tcPr>
            <w:tcW w:type="dxa" w:w="61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Transitional provisions</w:t>
            </w:r>
          </w:p>
        </w:tc>
        <w:tc>
          <w:tcPr>
            <w:tcW w:type="dxa" w:w="2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139 to 142</w:t>
            </w:r>
          </w:p>
        </w:tc>
      </w:tr>
      <w:tr>
        <w:trPr>
          <w:cantSplit/>
        </w:trPr>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XXI</w:t>
            </w:r>
          </w:p>
        </w:tc>
        <w:tc>
          <w:tcPr>
            <w:tcW w:type="dxa" w:w="613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Miscellaneous</w:t>
            </w:r>
          </w:p>
        </w:tc>
        <w:tc>
          <w:tcPr>
            <w:tcW w:type="dxa" w:w="2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143 to 174</w:t>
            </w:r>
          </w:p>
        </w:tc>
      </w:tr>
    </w:tbl>
    <w:p>
      <w:pPr>
        <w:spacing w:after="60"/>
      </w:pPr>
    </w:p>
    <w:p>
      <w:pPr>
        <w:spacing w:after="120" w:line="276"/>
        <w:jc w:val="both"/>
      </w:pPr>
      <w:r>
        <w:rPr>
          <w:rFonts w:ascii="Verdana" w:cs="Verdana" w:eastAsia="Verdana" w:hAnsi="Verdana"/>
        </w:rPr>
        <w:t xml:space="preserve">The three Schedules carry much of the law on the meaning of supply: Schedule I lists activities treated as supply even without consideration, Schedule II decides whether an activity is a supply of goods or of services, and Schedule III lists activities that are neither goods nor services.</w:t>
      </w:r>
    </w:p>
    <w:p>
      <w:pPr>
        <w:pStyle w:val="Heading2"/>
        <w:keepNext/>
        <w:spacing w:after="120" w:before="240"/>
      </w:pPr>
      <w:r>
        <w:rPr>
          <w:rFonts w:ascii="Verdana" w:cs="Verdana" w:eastAsia="Verdana" w:hAnsi="Verdana"/>
        </w:rPr>
        <w:t xml:space="preserve">Frequently used sections in plain words</w:t>
      </w:r>
    </w:p>
    <w:p>
      <w:pPr>
        <w:spacing w:after="120" w:line="276"/>
        <w:jc w:val="both"/>
      </w:pPr>
      <w:r>
        <w:rPr>
          <w:rFonts w:ascii="Verdana" w:cs="Verdana" w:eastAsia="Verdana" w:hAnsi="Verdana"/>
        </w:rPr>
        <w:t xml:space="preserve">The sections met most often in returns, audits and notices are summarised below. Read the section itself before giving an opinion.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Section</w:t>
            </w:r>
          </w:p>
        </w:tc>
        <w:tc>
          <w:tcPr>
            <w:tcW w:type="dxa" w:w="803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What it deals with</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2(6)</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Aggregate turnover: all taxable, exempt, export and inter-State supplies on one PAN, excluding taxes and inward reverse charge supplies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2(17)</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wide meaning, includes trade, profession, vocation and incidental activities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2(52), 2(102)</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and services: services means anything other than goods, money and securities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Scope of supply; Schedules I, II and III</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Composite supply (principal supply rate) and mixed supply (highest rate)</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Levy of CGST; 9(3) reverse charge on notified supplies; 9(4) reverse charge on notified supplies from unregistered persons; 9(5) e-commerce operator liable</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Composition levy for small taxpayers; 10(2A) option for service providers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Power to grant exemption by notification</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11A</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Power not to recover tax short levied due to a general practice</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Time of supply of goods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Time of supply of services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Time of supply where the rate of tax changes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Value of taxable supply: transaction value, inclusions and discounts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Eligibility and conditions for ITC; 16(2)(aa) GSTR-2B; 16(2)(c) tax paid by supplier; 16(4) time limit</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Apportionment of credit (17(1) to (4)) and blocked credits (17(5))</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on new registration, composition exit, change in constitution; reversal on exempt supplies or cancellation</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on inputs and capital goods sent for job work</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Input Service Distributor: manner of distribution</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22</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Threshold for registration</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24</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Compulsory registration regardless of turnover</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25</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Procedure for registration; distinct persons for each State</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Casual taxable person and non-resident taxable person</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29</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Cancellation or suspension of registration</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Revocation of cancellation</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invoice; bill of supply; receipt, refund and payment vouchers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32</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Prohibition of unauthorised collection of tax</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34</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Credit notes and debit notes; 34(2) time limit and recipient reversal condition</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36</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Retention of accounts: 72 months from the due date of the annual return</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37</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Outward supplies statement (GSTR-1); rectification time limit</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38</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Auto-generated ITC statement (GSTR-2B)</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39</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Returns (GSTR-3B, GSTR-4, GSTR-5, GSTR-6, GSTR-7); three-year bar</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44</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Annual return (GSTR-9) and reconciliation statement (GSTR-9C)</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45</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Final return (GSTR-10) on cancellation</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46</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Notice to return defaulters (GSTR-3A)</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47</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Late fee</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49</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Payment of tax; electronic cash, credit and liability ledgers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49A, 49B</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Order of utilisation of ITC</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50</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delayed payment and on wrongly availed and utilised ITC</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51</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deduction at source by Government bodies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52</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collection at source by e-commerce operators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54</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Refund of tax, including zero-rated supplies and inverted duty structure</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56</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delayed refunds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60</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Provisional assessment</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61</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Scrutiny of returns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62</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Best judgement assessment of non-filers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63</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Assessment of unregistered persons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64</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Summary assessment in special cases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65</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Audit by tax authorities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66</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Special audit by a chartered accountant or cost accountant</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67</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Inspection, search and seizure</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68</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Inspection of goods in movement</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69</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Power to arrest</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70</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Power to summon persons to give evidence</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73</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Demands, non-fraud cases (FY 2017-18 to FY 2023-24)</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74</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Demands, fraud or suppression cases (FY 2017-18 to FY 2023-24)</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74A</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Single demand provision from FY 2024-25 onwards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75</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General provisions on demands: hearing, adjournments, order within notice</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76</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collected but not paid to the Government</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78</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Recovery starts three months after the order</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79</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Modes of recovery</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Payment in instalments (up to 24 monthly instalments)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83</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Provisional attachment of property</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85 to 94</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Liability in transfer of business, amalgamation, liquidation, of directors, partners and legal heirs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95 to 106</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Advance rulings (AAR and AAAR); 101A and 101B national appellate authority</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107</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Appeal to Appellate Authority</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108</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Revision by Revisional Authority</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109 to 112</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Appellate Tribunal and appeals to it</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117, 118</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Appeals to High Court and Supreme Court</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120</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Monetary limits for departmental appeals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122</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Penalty for specified offences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122B</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Penalty for breach of track and trace requirements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125</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General penalty</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126</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penalty for minor breaches and bona fide errors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128A</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Waiver of interest and penalty for FY 2017-18 to 2019-20 (section 73 cases)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129</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Detention, seizure and release of goods in transit</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130</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Confiscation of goods or conveyances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132</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Punishment for offences (prosecution)</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138</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Compounding of offences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140</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Transitional credit</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143</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Job work procedure</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148A</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Track and trace mechanism for notified goods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155</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Burden of proof on the person claiming ITC</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161</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Rectification of errors apparent on record</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168A</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Extension of time limits in special circumstances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171</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Anti-profiteering</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SGST Acts follow the CGST numbering. Check that a notice is issued by the correct authority and cites both laws where both taxes are demanded.</w:t>
            </w:r>
          </w:p>
        </w:tc>
      </w:tr>
    </w:tbl>
    <w:p>
      <w:pPr>
        <w:spacing w:after="60"/>
      </w:pPr>
    </w:p>
    <w:p>
      <w:pPr>
        <w:pStyle w:val="Heading2"/>
        <w:keepNext/>
        <w:spacing w:after="120" w:before="240"/>
      </w:pPr>
      <w:r>
        <w:rPr>
          <w:rFonts w:ascii="Verdana" w:cs="Verdana" w:eastAsia="Verdana" w:hAnsi="Verdana"/>
        </w:rPr>
        <w:t xml:space="preserve">Key sections of the IGST Act, 2017</w:t>
      </w:r>
    </w:p>
    <w:p>
      <w:pPr>
        <w:spacing w:after="120" w:line="276"/>
        <w:jc w:val="both"/>
      </w:pPr>
      <w:r>
        <w:rPr>
          <w:rFonts w:ascii="Verdana" w:cs="Verdana" w:eastAsia="Verdana" w:hAnsi="Verdana"/>
        </w:rPr>
        <w:t xml:space="preserve">The IGST Act borrows most procedure from the CGST Act (section 20) and has its own rules on levy, nature of supply and place of supply.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Section</w:t>
            </w:r>
          </w:p>
        </w:tc>
        <w:tc>
          <w:tcPr>
            <w:tcW w:type="dxa" w:w="803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What it deals with</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2(6)</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Export of services: the five conditions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2(13)</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Intermediary</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Levy of IGST; 5(3) and 5(4) reverse charge; 5(5) e-commerce operator</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Inter-State supply, including imports, exports and supplies to or by SEZs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Intra-State supply</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Place of supply of goods (other than imports and exports)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Place of supply of goods imported or exported</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Place of supply of services where supplier and recipient are in India</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Place of supply of services where supplier or recipient is outside India; 13(8)(b) omitted from 30 March 2026</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OIDAR services supplied from outside India to non-taxable online recipients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Zero-rated supply: exports and supplies to SEZ units or developers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17</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Apportionment of IGST and settlement of funds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Refund where tax is paid under the wrong head</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Application of the CGST Act</w:t>
            </w:r>
          </w:p>
        </w:tc>
      </w:tr>
    </w:tbl>
    <w:p>
      <w:pPr>
        <w:pStyle w:val="Heading1"/>
        <w:pageBreakBefore/>
        <w:spacing w:after="200" w:before="0"/>
      </w:pPr>
      <w:r>
        <w:rPr>
          <w:rFonts w:ascii="Verdana" w:cs="Verdana" w:eastAsia="Verdana" w:hAnsi="Verdana"/>
        </w:rPr>
        <w:t xml:space="preserve">Appendix B: Key CGST Rules at a Glance</w:t>
      </w:r>
    </w:p>
    <w:p>
      <w:pPr>
        <w:spacing w:after="120" w:line="276"/>
        <w:jc w:val="both"/>
      </w:pPr>
      <w:r>
        <w:rPr>
          <w:rFonts w:ascii="Verdana" w:cs="Verdana" w:eastAsia="Verdana" w:hAnsi="Verdana"/>
        </w:rPr>
        <w:t xml:space="preserve">The CGST Rules, 2017 carry the forms, formulas and time limits. Only rules used often in practice are listed.</w:t>
      </w:r>
    </w:p>
    <w:p>
      <w:pPr>
        <w:pStyle w:val="Heading3"/>
        <w:keepNext/>
        <w:spacing w:after="80" w:before="160"/>
      </w:pPr>
      <w:r>
        <w:rPr>
          <w:rFonts w:ascii="Verdana" w:cs="Verdana" w:eastAsia="Verdana" w:hAnsi="Verdana"/>
        </w:rPr>
        <w:t xml:space="preserve">Composition and registration</w:t>
      </w:r>
    </w:p>
    <w:p>
      <w:pPr>
        <w:spacing w:after="120" w:line="276"/>
        <w:jc w:val="both"/>
      </w:pPr>
      <w:r>
        <w:rPr>
          <w:rFonts w:ascii="Verdana" w:cs="Verdana" w:eastAsia="Verdana" w:hAnsi="Verdana"/>
        </w:rPr>
        <w:t xml:space="preserve">These rules decide who may opt for composition and how registration is granted, amended, suspended and cancelled.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Rule</w:t>
            </w:r>
          </w:p>
        </w:tc>
        <w:tc>
          <w:tcPr>
            <w:tcW w:type="dxa" w:w="803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Subject</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 to 7</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Composition: intimation, effective date, conditions, validity, rates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8, 9</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Application for registration, verification and approval</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12</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Registration of TDS deductors and TCS collectors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13, 14</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Non-resident taxable person; OIDAR supplier from outside India</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14A</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Simplified registration for small B2B output tax (up to Rs. 2.5 lakh a month)</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19</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Amendment of registration</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 to 22</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Application for cancellation, grounds and procedure; 21A suspension</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23</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Revocation of cancellation</w:t>
            </w:r>
          </w:p>
        </w:tc>
      </w:tr>
    </w:tbl>
    <w:p>
      <w:pPr>
        <w:spacing w:after="60"/>
      </w:pPr>
    </w:p>
    <w:p>
      <w:pPr>
        <w:pStyle w:val="Heading3"/>
        <w:keepNext/>
        <w:spacing w:after="80" w:before="160"/>
      </w:pPr>
      <w:r>
        <w:rPr>
          <w:rFonts w:ascii="Verdana" w:cs="Verdana" w:eastAsia="Verdana" w:hAnsi="Verdana"/>
        </w:rPr>
        <w:t xml:space="preserve">Valuation and input tax credit</w:t>
      </w:r>
    </w:p>
    <w:p>
      <w:pPr>
        <w:spacing w:after="120" w:line="276"/>
        <w:jc w:val="both"/>
      </w:pPr>
      <w:r>
        <w:rPr>
          <w:rFonts w:ascii="Verdana" w:cs="Verdana" w:eastAsia="Verdana" w:hAnsi="Verdana"/>
        </w:rPr>
        <w:t xml:space="preserve">Valuation rules apply only where the transaction value under section 15(1) cannot be used, such as related party supplies, supplies without full money consideration and supplies through 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Rule</w:t>
            </w:r>
          </w:p>
        </w:tc>
        <w:tc>
          <w:tcPr>
            <w:tcW w:type="dxa" w:w="803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Subject</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27</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Consideration not wholly in money</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28</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Related persons and distinct persons; 28(2) corporate guarantees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29</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through an agent</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30, 31</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Cost plus 10% method; residual method</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31A to 31C</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Lottery, betting, gambling, horse racing, online gaming and casinos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32</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Special cases: money changing, air travel agents, life insurance, second-hand goods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33</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Pure agent expenses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36</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Documents for claiming ITC</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37</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Reversal where the supplier is not paid within 180 days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37A</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Reversal where the supplier has not filed GSTR-3B by 30 September of the following year</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39</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Distribution by Input Service Distributor</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40</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in special cases under section 18 (ITC-01)</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41</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of credit on sale, merger or amalgamation (ITC-02)</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42</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Reversal of common credit on inputs and input services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43</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Reversal of common credit on capital goods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44</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Reversal on cancellation of registration or switch to composition</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45</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Job work conditions and ITC-04</w:t>
            </w:r>
          </w:p>
        </w:tc>
      </w:tr>
    </w:tbl>
    <w:p>
      <w:pPr>
        <w:spacing w:after="60"/>
      </w:pPr>
    </w:p>
    <w:p>
      <w:pPr>
        <w:pStyle w:val="Heading3"/>
        <w:keepNext/>
        <w:spacing w:after="80" w:before="160"/>
      </w:pPr>
      <w:r>
        <w:rPr>
          <w:rFonts w:ascii="Verdana" w:cs="Verdana" w:eastAsia="Verdana" w:hAnsi="Verdana"/>
        </w:rPr>
        <w:t xml:space="preserve">Invoices, accounts and returns</w:t>
      </w:r>
    </w:p>
    <w:p>
      <w:pPr>
        <w:spacing w:after="120" w:line="276"/>
        <w:jc w:val="both"/>
      </w:pPr>
      <w:r>
        <w:rPr>
          <w:rFonts w:ascii="Verdana" w:cs="Verdana" w:eastAsia="Verdana" w:hAnsi="Verdana"/>
        </w:rPr>
        <w:t xml:space="preserve">These rules set the contents of documents and the form and timing of each return.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Rule</w:t>
            </w:r>
          </w:p>
        </w:tc>
        <w:tc>
          <w:tcPr>
            <w:tcW w:type="dxa" w:w="803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Subject</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46, 46A</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invoice; invoice-cum-bill of supply</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47</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Time limit for issuing invoice for services (30 days; 45 days for banks and insurers)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47A</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Self-invoice under reverse charge within 30 days of receipt of supply</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48</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Manner of issue; e-invoicing through the IRP</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53</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Revised invoice, credit note and debit note</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55</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Delivery challan for movement other than by way of supply</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59</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GSTR-1 and IFF</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60</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GSTR-2A and GSTR-2B</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61</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GSTR-3B</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61A</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Option for quarterly returns (QRMP)</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62</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Composition: CMP-08 and GSTR-4</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63 to 67</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GSTR-5, GSTR-5A, GSTR-6, GSTR-7, GSTR-8</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80</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Annual return and reconciliation statement</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81</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Final return</w:t>
            </w:r>
          </w:p>
        </w:tc>
      </w:tr>
    </w:tbl>
    <w:p>
      <w:pPr>
        <w:spacing w:after="60"/>
      </w:pPr>
    </w:p>
    <w:p>
      <w:pPr>
        <w:pStyle w:val="Heading3"/>
        <w:keepNext/>
        <w:spacing w:after="80" w:before="160"/>
      </w:pPr>
      <w:r>
        <w:rPr>
          <w:rFonts w:ascii="Verdana" w:cs="Verdana" w:eastAsia="Verdana" w:hAnsi="Verdana"/>
        </w:rPr>
        <w:t xml:space="preserve">Payment, refund, assessment and recovery</w:t>
      </w:r>
    </w:p>
    <w:p>
      <w:pPr>
        <w:spacing w:after="120" w:line="276"/>
        <w:jc w:val="both"/>
      </w:pPr>
      <w:r>
        <w:rPr>
          <w:rFonts w:ascii="Verdana" w:cs="Verdana" w:eastAsia="Verdana" w:hAnsi="Verdana"/>
        </w:rPr>
        <w:t xml:space="preserve">Most notices and litigation arise under this group. Rules 86A, 86B, 88C, 88D and 142 are the ones seen most often in practice.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Rule</w:t>
            </w:r>
          </w:p>
        </w:tc>
        <w:tc>
          <w:tcPr>
            <w:tcW w:type="dxa" w:w="803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Subject</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85 to 87</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Electronic liability register, credit ledger and cash ledger</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86A</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Blocking of the electronic credit ledger</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86B</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Minimum 1% payment of output tax in cash</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88A</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Order of utilisation of ITC</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88B</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Manner of calculating interest</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88C, 88D</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Intimation of GSTR-1 v. GSTR-3B gap (DRC-01B) and GSTR-3B v. GSTR-2B ITC gap (DRC-01C)</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89</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Refund application; 89(4) zero-rated formula; 89(5) inverted duty formula</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96</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Refund of IGST paid on export of goods (shipping bill as application)</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96A</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Export under bond or LUT</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98 to 102</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Provisional assessment, scrutiny, non-filer assessment, audit, special audit</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103 to 107A</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Advance ruling procedure</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108 to 116</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Appeals to Appellate Authority, Tribunal and High Court</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138 to 138E</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E-way bills, verification, inspection and restrictions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139 to 141</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Inspection, search and seizure; release of seized goods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142</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Show cause notice, pre-notice intimation (DRC-01A) and order</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142B</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Intimation of amounts payable under section 75(12)</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158</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Payment in instalments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159</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Provisional attachment</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162</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Compounding of offences</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164</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Waiver of interest and penalty under section 128A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Rules change often. Quote a formula or time limit as it stood for the period in dispute, not as it stands today.</w:t>
            </w:r>
          </w:p>
        </w:tc>
      </w:tr>
    </w:tbl>
    <w:p>
      <w:pPr>
        <w:pStyle w:val="Heading1"/>
        <w:pageBreakBefore/>
        <w:spacing w:after="200" w:before="0"/>
      </w:pPr>
      <w:r>
        <w:rPr>
          <w:rFonts w:ascii="Verdana" w:cs="Verdana" w:eastAsia="Verdana" w:hAnsi="Verdana"/>
        </w:rPr>
        <w:t xml:space="preserve">Appendix C: GST Rate Chart after GST 2.0</w:t>
      </w:r>
    </w:p>
    <w:p>
      <w:pPr>
        <w:spacing w:after="120" w:line="276"/>
        <w:jc w:val="both"/>
      </w:pPr>
      <w:r>
        <w:rPr>
          <w:rFonts w:ascii="Verdana" w:cs="Verdana" w:eastAsia="Verdana" w:hAnsi="Verdana"/>
        </w:rPr>
        <w:t xml:space="preserve">GST 2.0 took effect on 22 September 2025 on the recommendations of the 56th GST Council meeting held on 3 September 2025. The main slabs are now 5% (merit rate) and 18% (standard rate), with 40% for select demerit and luxury goods and services. The 12% and 28% slabs have largely gone. Compensation cess was removed on all goods other than tobacco from 22 September 2025, and on tobacco too from 1 February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This chart is a quick guide, not a substitute for the rate notifications. Rates attach to HSN or SAC entries, and many entries carry conditions (packaged or not, branded or not, with or without ITC). Verify the exact HSN entry and its conditions in the current notification before applying a rate.</w:t>
            </w:r>
          </w:p>
        </w:tc>
      </w:tr>
    </w:tbl>
    <w:p>
      <w:pPr>
        <w:spacing w:after="60"/>
      </w:pPr>
    </w:p>
    <w:p>
      <w:pPr>
        <w:pStyle w:val="Heading2"/>
        <w:keepNext/>
        <w:spacing w:after="120" w:before="240"/>
      </w:pPr>
      <w:r>
        <w:rPr>
          <w:rFonts w:ascii="Verdana" w:cs="Verdana" w:eastAsia="Verdana" w:hAnsi="Verdana"/>
        </w:rPr>
        <w:t xml:space="preserve">Selected goods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Goods</w:t>
            </w:r>
          </w:p>
        </w:tc>
        <w:tc>
          <w:tcPr>
            <w:tcW w:type="dxa" w:w="321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Rate from 22 September 2025</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UHT milk, paneer, Indian breads (chapati, roti, paratha)</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33 specified life-saving drugs</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Many packaged food items</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Hair oil, soap, toothpaste</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Bicycles</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Tractors and farm machinery</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Solar energy devices</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Man-made fibre and man-made yarn</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Cement</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 (earlier 28%)</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Air conditioners, televisions</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 (earlier 28%)</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Small cars (petrol up to 1200 cc, diesel up to 1500 cc, length up to 4 m)</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 (no cess)</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Motorcycles up to 350 cc</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 (earlier 28%)</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Buses and trucks</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 (earlier 28%)</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Bigger cars and motorcycles above 350 cc</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40% (no cess)</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Aerated sugary drinks and caffeinated beverages</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40%</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Tobacco products and pan masala (from 1 February 2026)</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40% (cess ended)</w:t>
            </w:r>
          </w:p>
        </w:tc>
      </w:tr>
      <w:tr>
        <w:trPr>
          <w:cantSplit/>
        </w:trPr>
        <w:tc>
          <w:tcPr>
            <w:tcW w:type="dxa" w:w="6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Bidis</w:t>
            </w:r>
          </w:p>
        </w:tc>
        <w:tc>
          <w:tcPr>
            <w:tcW w:type="dxa" w:w="32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w:t>
            </w:r>
          </w:p>
        </w:tc>
      </w:tr>
    </w:tbl>
    <w:p>
      <w:pPr>
        <w:spacing w:after="60"/>
      </w:pPr>
    </w:p>
    <w:p>
      <w:pPr>
        <w:spacing w:after="120" w:line="276"/>
        <w:jc w:val="both"/>
      </w:pPr>
      <w:r>
        <w:rPr>
          <w:rFonts w:ascii="Verdana" w:cs="Verdana" w:eastAsia="Verdana" w:hAnsi="Verdana"/>
        </w:rPr>
        <w:t xml:space="preserve">From 1 February 2026, specified tobacco products are valued on retail sale price, and a central excise duty on tobacco and a cess on pan masala manufacturing capacity also apply.</w:t>
      </w:r>
    </w:p>
    <w:p>
      <w:pPr>
        <w:pStyle w:val="Heading2"/>
        <w:keepNext/>
        <w:spacing w:after="120" w:before="240"/>
      </w:pPr>
      <w:r>
        <w:rPr>
          <w:rFonts w:ascii="Verdana" w:cs="Verdana" w:eastAsia="Verdana" w:hAnsi="Verdana"/>
        </w:rPr>
        <w:t xml:space="preserve">Special rates</w:t>
      </w:r>
    </w:p>
    <w:p>
      <w:pPr>
        <w:spacing w:after="120" w:line="276"/>
        <w:jc w:val="both"/>
      </w:pPr>
      <w:r>
        <w:rPr>
          <w:rFonts w:ascii="Verdana" w:cs="Verdana" w:eastAsia="Verdana" w:hAnsi="Verdana"/>
        </w:rPr>
        <w:t xml:space="preserve">A few rates sit outside the main slabs because of the high value or special nature of the goods.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7"/>
        <w:gridCol w:w="2611"/>
      </w:tblGrid>
      <w:tr>
        <w:trPr>
          <w:cantSplit/>
          <w:tblHeader/>
        </w:trPr>
        <w:tc>
          <w:tcPr>
            <w:tcW w:type="dxa" w:w="702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Supply</w:t>
            </w:r>
          </w:p>
        </w:tc>
        <w:tc>
          <w:tcPr>
            <w:tcW w:type="dxa" w:w="261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Rate</w:t>
            </w:r>
          </w:p>
        </w:tc>
      </w:tr>
      <w:tr>
        <w:trPr>
          <w:cantSplit/>
        </w:trPr>
        <w:tc>
          <w:tcPr>
            <w:tcW w:type="dxa" w:w="70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Rough precious and semi-precious stones</w:t>
            </w:r>
          </w:p>
        </w:tc>
        <w:tc>
          <w:tcPr>
            <w:tcW w:type="dxa" w:w="26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0.25%</w:t>
            </w:r>
          </w:p>
        </w:tc>
      </w:tr>
      <w:tr>
        <w:trPr>
          <w:cantSplit/>
        </w:trPr>
        <w:tc>
          <w:tcPr>
            <w:tcW w:type="dxa" w:w="70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Merchant exports (supply to a registered merchant exporter, subject to conditions)</w:t>
            </w:r>
          </w:p>
        </w:tc>
        <w:tc>
          <w:tcPr>
            <w:tcW w:type="dxa" w:w="26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0.1%</w:t>
            </w:r>
          </w:p>
        </w:tc>
      </w:tr>
      <w:tr>
        <w:trPr>
          <w:cantSplit/>
        </w:trPr>
        <w:tc>
          <w:tcPr>
            <w:tcW w:type="dxa" w:w="70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Cut and polished diamonds</w:t>
            </w:r>
          </w:p>
        </w:tc>
        <w:tc>
          <w:tcPr>
            <w:tcW w:type="dxa" w:w="26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w:t>
            </w:r>
          </w:p>
        </w:tc>
      </w:tr>
      <w:tr>
        <w:trPr>
          <w:cantSplit/>
        </w:trPr>
        <w:tc>
          <w:tcPr>
            <w:tcW w:type="dxa" w:w="70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Gold, silver and jewellery</w:t>
            </w:r>
          </w:p>
        </w:tc>
        <w:tc>
          <w:tcPr>
            <w:tcW w:type="dxa" w:w="26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w:t>
            </w:r>
          </w:p>
        </w:tc>
      </w:tr>
      <w:tr>
        <w:trPr>
          <w:cantSplit/>
        </w:trPr>
        <w:tc>
          <w:tcPr>
            <w:tcW w:type="dxa" w:w="70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Affordable residential apartments</w:t>
            </w:r>
          </w:p>
        </w:tc>
        <w:tc>
          <w:tcPr>
            <w:tcW w:type="dxa" w:w="26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without ITC</w:t>
            </w:r>
          </w:p>
        </w:tc>
      </w:tr>
      <w:tr>
        <w:trPr>
          <w:cantSplit/>
        </w:trPr>
        <w:tc>
          <w:tcPr>
            <w:tcW w:type="dxa" w:w="70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Other residential apartments</w:t>
            </w:r>
          </w:p>
        </w:tc>
        <w:tc>
          <w:tcPr>
            <w:tcW w:type="dxa" w:w="26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 without ITC</w:t>
            </w:r>
          </w:p>
        </w:tc>
      </w:tr>
    </w:tbl>
    <w:p>
      <w:pPr>
        <w:spacing w:after="60"/>
      </w:pPr>
    </w:p>
    <w:p>
      <w:pPr>
        <w:pStyle w:val="Heading2"/>
        <w:keepNext/>
        <w:spacing w:after="120" w:before="240"/>
      </w:pPr>
      <w:r>
        <w:rPr>
          <w:rFonts w:ascii="Verdana" w:cs="Verdana" w:eastAsia="Verdana" w:hAnsi="Verdana"/>
        </w:rPr>
        <w:t xml:space="preserve">Selected services</w:t>
      </w:r>
    </w:p>
    <w:p>
      <w:pPr>
        <w:spacing w:after="120" w:line="276"/>
        <w:jc w:val="both"/>
      </w:pPr>
      <w:r>
        <w:rPr>
          <w:rFonts w:ascii="Verdana" w:cs="Verdana" w:eastAsia="Verdana" w:hAnsi="Verdana"/>
        </w:rPr>
        <w:t xml:space="preserve">Several services now choose between a lower rate without ITC and 18% with ITC. Work out the effect on customers who can or cannot claim credit before choosing.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3"/>
        <w:gridCol w:w="3615"/>
      </w:tblGrid>
      <w:tr>
        <w:trPr>
          <w:cantSplit/>
          <w:tblHeader/>
        </w:trPr>
        <w:tc>
          <w:tcPr>
            <w:tcW w:type="dxa" w:w="602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Service</w:t>
            </w:r>
          </w:p>
        </w:tc>
        <w:tc>
          <w:tcPr>
            <w:tcW w:type="dxa" w:w="361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Rate and ITC position</w:t>
            </w:r>
          </w:p>
        </w:tc>
      </w:tr>
      <w:tr>
        <w:trPr>
          <w:cantSplit/>
        </w:trPr>
        <w:tc>
          <w:tcPr>
            <w:tcW w:type="dxa" w:w="60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Hotel accommodation, value up to Rs. 7,500 per unit per day</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 without ITC</w:t>
            </w:r>
          </w:p>
        </w:tc>
      </w:tr>
      <w:tr>
        <w:trPr>
          <w:cantSplit/>
        </w:trPr>
        <w:tc>
          <w:tcPr>
            <w:tcW w:type="dxa" w:w="60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Hotel accommodation, value above Rs. 7,500 per unit per day</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 with ITC</w:t>
            </w:r>
          </w:p>
        </w:tc>
      </w:tr>
      <w:tr>
        <w:trPr>
          <w:cantSplit/>
        </w:trPr>
        <w:tc>
          <w:tcPr>
            <w:tcW w:type="dxa" w:w="60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Restaurant service (standalone)</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 without ITC</w:t>
            </w:r>
          </w:p>
        </w:tc>
      </w:tr>
      <w:tr>
        <w:trPr>
          <w:cantSplit/>
        </w:trPr>
        <w:tc>
          <w:tcPr>
            <w:tcW w:type="dxa" w:w="60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Restaurant in specified premises (hotel with any room tariff above Rs. 7,500)</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 with ITC</w:t>
            </w:r>
          </w:p>
        </w:tc>
      </w:tr>
      <w:tr>
        <w:trPr>
          <w:cantSplit/>
        </w:trPr>
        <w:tc>
          <w:tcPr>
            <w:tcW w:type="dxa" w:w="60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Beauty and wellness (salons, gyms, yoga centres)</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 without ITC (earlier 18%)</w:t>
            </w:r>
          </w:p>
        </w:tc>
      </w:tr>
      <w:tr>
        <w:trPr>
          <w:cantSplit/>
        </w:trPr>
        <w:tc>
          <w:tcPr>
            <w:tcW w:type="dxa" w:w="60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Individual life and individual health insurance (and reinsurance)</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w:t>
            </w:r>
          </w:p>
        </w:tc>
      </w:tr>
      <w:tr>
        <w:trPr>
          <w:cantSplit/>
        </w:trPr>
        <w:tc>
          <w:tcPr>
            <w:tcW w:type="dxa" w:w="60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GTA, multimodal transport, renting of goods carriage with operator</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 without ITC or 18% with ITC (option)</w:t>
            </w:r>
          </w:p>
        </w:tc>
      </w:tr>
      <w:tr>
        <w:trPr>
          <w:cantSplit/>
        </w:trPr>
        <w:tc>
          <w:tcPr>
            <w:tcW w:type="dxa" w:w="60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Passenger transport by motor vehicle</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 without ITC or 18% with ITC</w:t>
            </w:r>
          </w:p>
        </w:tc>
      </w:tr>
      <w:tr>
        <w:trPr>
          <w:cantSplit/>
        </w:trPr>
        <w:tc>
          <w:tcPr>
            <w:tcW w:type="dxa" w:w="60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Air travel other than economy class</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w:t>
            </w:r>
          </w:p>
        </w:tc>
      </w:tr>
      <w:tr>
        <w:trPr>
          <w:cantSplit/>
        </w:trPr>
        <w:tc>
          <w:tcPr>
            <w:tcW w:type="dxa" w:w="60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Job work for specified items (pharma, leather, printing, bricks, umbrellas)</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r>
      <w:tr>
        <w:trPr>
          <w:cantSplit/>
        </w:trPr>
        <w:tc>
          <w:tcPr>
            <w:tcW w:type="dxa" w:w="60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Job work: residual entry</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w:t>
            </w:r>
          </w:p>
        </w:tc>
      </w:tr>
      <w:tr>
        <w:trPr>
          <w:cantSplit/>
        </w:trPr>
        <w:tc>
          <w:tcPr>
            <w:tcW w:type="dxa" w:w="60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Cinema tickets up to Rs. 100</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w:t>
            </w:r>
          </w:p>
        </w:tc>
      </w:tr>
      <w:tr>
        <w:trPr>
          <w:cantSplit/>
        </w:trPr>
        <w:tc>
          <w:tcPr>
            <w:tcW w:type="dxa" w:w="60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Casinos, race clubs, betting, gambling, lottery, online money gaming</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40%</w:t>
            </w:r>
          </w:p>
        </w:tc>
      </w:tr>
      <w:tr>
        <w:trPr>
          <w:cantSplit/>
        </w:trPr>
        <w:tc>
          <w:tcPr>
            <w:tcW w:type="dxa" w:w="60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Admission to IPL-type sporting events</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40%</w:t>
            </w:r>
          </w:p>
        </w:tc>
      </w:tr>
      <w:tr>
        <w:trPr>
          <w:cantSplit/>
        </w:trPr>
        <w:tc>
          <w:tcPr>
            <w:tcW w:type="dxa" w:w="60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Leasing or renting of goods without operator</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Same rate as the goods</w:t>
            </w:r>
          </w:p>
        </w:tc>
      </w:tr>
      <w:tr>
        <w:trPr>
          <w:cantSplit/>
        </w:trPr>
        <w:tc>
          <w:tcPr>
            <w:tcW w:type="dxa" w:w="60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Local delivery through an ECO where the supplier is unregistered</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 paid by the ECO under section 9(5)</w:t>
            </w:r>
          </w:p>
        </w:tc>
      </w:tr>
      <w:tr>
        <w:trPr>
          <w:cantSplit/>
        </w:trPr>
        <w:tc>
          <w:tcPr>
            <w:tcW w:type="dxa" w:w="602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Most works contract services, including to Government</w:t>
            </w:r>
          </w:p>
        </w:tc>
        <w:tc>
          <w:tcPr>
            <w:tcW w:type="dxa" w:w="36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 (check the specific entry)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Where a supplier moved from 18% with ITC to 5% without ITC (for example a salon), ITC on stock and capital goods relating to the now lower-rate supply needs review from 22 September 2025. Document the working and the reversal, if any, in the September 2025 file.</w:t>
            </w:r>
          </w:p>
        </w:tc>
      </w:tr>
    </w:tbl>
    <w:p>
      <w:pPr>
        <w:spacing w:after="60"/>
      </w:pPr>
    </w:p>
    <w:p>
      <w:pPr>
        <w:pStyle w:val="Heading2"/>
        <w:keepNext/>
        <w:spacing w:after="120" w:before="240"/>
      </w:pPr>
      <w:r>
        <w:rPr>
          <w:rFonts w:ascii="Verdana" w:cs="Verdana" w:eastAsia="Verdana" w:hAnsi="Verdana"/>
        </w:rPr>
        <w:t xml:space="preserve">Reverse charge summary</w:t>
      </w:r>
    </w:p>
    <w:p>
      <w:pPr>
        <w:spacing w:after="120" w:line="276"/>
        <w:jc w:val="both"/>
      </w:pPr>
      <w:r>
        <w:rPr>
          <w:rFonts w:ascii="Verdana" w:cs="Verdana" w:eastAsia="Verdana" w:hAnsi="Verdana"/>
        </w:rPr>
        <w:t xml:space="preserve">Reverse charge applies to notified supplies under section 9(3) of the CGST Act (and section 5(3) of the IGST Act), and to supplies from unregistered persons notified under section 9(4). The list below covers the entries met most often. Each entry has conditions about who the supplier and recipient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20"/>
        <w:gridCol w:w="4418"/>
      </w:tblGrid>
      <w:tr>
        <w:trPr>
          <w:cantSplit/>
          <w:tblHeader/>
        </w:trPr>
        <w:tc>
          <w:tcPr>
            <w:tcW w:type="dxa" w:w="522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Supply</w:t>
            </w:r>
          </w:p>
        </w:tc>
        <w:tc>
          <w:tcPr>
            <w:tcW w:type="dxa" w:w="441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Recipient who pays</w:t>
            </w:r>
          </w:p>
        </w:tc>
      </w:tr>
      <w:tr>
        <w:trPr>
          <w:cantSplit/>
        </w:trPr>
        <w:tc>
          <w:tcPr>
            <w:tcW w:type="dxa" w:w="5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GTA service where the GTA has not opted for forward charge at 18%</w:t>
            </w:r>
          </w:p>
        </w:tc>
        <w:tc>
          <w:tcPr>
            <w:tcW w:type="dxa" w:w="44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Specified recipients such as factories, companies, firms, societies and registered persons</w:t>
            </w:r>
          </w:p>
        </w:tc>
      </w:tr>
      <w:tr>
        <w:trPr>
          <w:cantSplit/>
        </w:trPr>
        <w:tc>
          <w:tcPr>
            <w:tcW w:type="dxa" w:w="5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Legal services by an advocate or firm of advocates</w:t>
            </w:r>
          </w:p>
        </w:tc>
        <w:tc>
          <w:tcPr>
            <w:tcW w:type="dxa" w:w="44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entity with turnover above the threshold</w:t>
            </w:r>
          </w:p>
        </w:tc>
      </w:tr>
      <w:tr>
        <w:trPr>
          <w:cantSplit/>
        </w:trPr>
        <w:tc>
          <w:tcPr>
            <w:tcW w:type="dxa" w:w="5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Services of an arbitral tribunal</w:t>
            </w:r>
          </w:p>
        </w:tc>
        <w:tc>
          <w:tcPr>
            <w:tcW w:type="dxa" w:w="44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entity</w:t>
            </w:r>
          </w:p>
        </w:tc>
      </w:tr>
      <w:tr>
        <w:trPr>
          <w:cantSplit/>
        </w:trPr>
        <w:tc>
          <w:tcPr>
            <w:tcW w:type="dxa" w:w="5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Sponsorship services</w:t>
            </w:r>
          </w:p>
        </w:tc>
        <w:tc>
          <w:tcPr>
            <w:tcW w:type="dxa" w:w="44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Body corporate or partnership firm</w:t>
            </w:r>
          </w:p>
        </w:tc>
      </w:tr>
      <w:tr>
        <w:trPr>
          <w:cantSplit/>
        </w:trPr>
        <w:tc>
          <w:tcPr>
            <w:tcW w:type="dxa" w:w="5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Services of a director (other than salary)</w:t>
            </w:r>
          </w:p>
        </w:tc>
        <w:tc>
          <w:tcPr>
            <w:tcW w:type="dxa" w:w="44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The company or body corporate</w:t>
            </w:r>
          </w:p>
        </w:tc>
      </w:tr>
      <w:tr>
        <w:trPr>
          <w:cantSplit/>
        </w:trPr>
        <w:tc>
          <w:tcPr>
            <w:tcW w:type="dxa" w:w="5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Services of an insurance agent</w:t>
            </w:r>
          </w:p>
        </w:tc>
        <w:tc>
          <w:tcPr>
            <w:tcW w:type="dxa" w:w="44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Insurance company</w:t>
            </w:r>
          </w:p>
        </w:tc>
      </w:tr>
      <w:tr>
        <w:trPr>
          <w:cantSplit/>
        </w:trPr>
        <w:tc>
          <w:tcPr>
            <w:tcW w:type="dxa" w:w="5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Services of a recovery agent</w:t>
            </w:r>
          </w:p>
        </w:tc>
        <w:tc>
          <w:tcPr>
            <w:tcW w:type="dxa" w:w="44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Bank, financial institution or NBFC</w:t>
            </w:r>
          </w:p>
        </w:tc>
      </w:tr>
      <w:tr>
        <w:trPr>
          <w:cantSplit/>
        </w:trPr>
        <w:tc>
          <w:tcPr>
            <w:tcW w:type="dxa" w:w="5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of copyright by an author or music composer (subject to option)</w:t>
            </w:r>
          </w:p>
        </w:tc>
        <w:tc>
          <w:tcPr>
            <w:tcW w:type="dxa" w:w="44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Publisher or producer</w:t>
            </w:r>
          </w:p>
        </w:tc>
      </w:tr>
      <w:tr>
        <w:trPr>
          <w:cantSplit/>
        </w:trPr>
        <w:tc>
          <w:tcPr>
            <w:tcW w:type="dxa" w:w="5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Security services by a person other than a body corporate</w:t>
            </w:r>
          </w:p>
        </w:tc>
        <w:tc>
          <w:tcPr>
            <w:tcW w:type="dxa" w:w="44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Registered person (with exclusions)</w:t>
            </w:r>
          </w:p>
        </w:tc>
      </w:tr>
      <w:tr>
        <w:trPr>
          <w:cantSplit/>
        </w:trPr>
        <w:tc>
          <w:tcPr>
            <w:tcW w:type="dxa" w:w="5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Services by Government or local authority (with exclusions)</w:t>
            </w:r>
          </w:p>
        </w:tc>
        <w:tc>
          <w:tcPr>
            <w:tcW w:type="dxa" w:w="44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entity</w:t>
            </w:r>
          </w:p>
        </w:tc>
      </w:tr>
      <w:tr>
        <w:trPr>
          <w:cantSplit/>
        </w:trPr>
        <w:tc>
          <w:tcPr>
            <w:tcW w:type="dxa" w:w="5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Renting of residential dwelling</w:t>
            </w:r>
          </w:p>
        </w:tc>
        <w:tc>
          <w:tcPr>
            <w:tcW w:type="dxa" w:w="44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Registered recipient</w:t>
            </w:r>
          </w:p>
        </w:tc>
      </w:tr>
      <w:tr>
        <w:trPr>
          <w:cantSplit/>
        </w:trPr>
        <w:tc>
          <w:tcPr>
            <w:tcW w:type="dxa" w:w="5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Renting of commercial property by an unregistered person (from 10 October 2024)</w:t>
            </w:r>
          </w:p>
        </w:tc>
        <w:tc>
          <w:tcPr>
            <w:tcW w:type="dxa" w:w="44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Registered recipient (check current exclusions)</w:t>
            </w:r>
          </w:p>
        </w:tc>
      </w:tr>
      <w:tr>
        <w:trPr>
          <w:cantSplit/>
        </w:trPr>
        <w:tc>
          <w:tcPr>
            <w:tcW w:type="dxa" w:w="5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Import of services</w:t>
            </w:r>
          </w:p>
        </w:tc>
        <w:tc>
          <w:tcPr>
            <w:tcW w:type="dxa" w:w="44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Recipient in India (section 5(3) of IGST Act)</w:t>
            </w:r>
          </w:p>
        </w:tc>
      </w:tr>
      <w:tr>
        <w:trPr>
          <w:cantSplit/>
        </w:trPr>
        <w:tc>
          <w:tcPr>
            <w:tcW w:type="dxa" w:w="5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Specified goods such as raw cotton, tobacco leaves, cashew nuts (unshelled), silk yarn</w:t>
            </w:r>
          </w:p>
        </w:tc>
        <w:tc>
          <w:tcPr>
            <w:tcW w:type="dxa" w:w="44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Registered recipient</w:t>
            </w:r>
          </w:p>
        </w:tc>
      </w:tr>
    </w:tbl>
    <w:p>
      <w:pPr>
        <w:spacing w:after="60"/>
      </w:pPr>
    </w:p>
    <w:p>
      <w:pPr>
        <w:spacing w:after="120" w:line="276"/>
        <w:jc w:val="both"/>
      </w:pPr>
      <w:r>
        <w:rPr>
          <w:rFonts w:ascii="Verdana" w:cs="Verdana" w:eastAsia="Verdana" w:hAnsi="Verdana"/>
        </w:rPr>
        <w:t xml:space="preserve">The recipient pays reverse charge tax in cash; it cannot be set off from the credit ledger. ITC is then available to the recipient, subject to the usual conditions. A self-invoice is needed where the supplier is unregistered (rule 47A).</w:t>
      </w:r>
    </w:p>
    <w:p>
      <w:pPr>
        <w:pStyle w:val="Heading1"/>
        <w:pageBreakBefore/>
        <w:spacing w:after="200" w:before="0"/>
      </w:pPr>
      <w:r>
        <w:rPr>
          <w:rFonts w:ascii="Verdana" w:cs="Verdana" w:eastAsia="Verdana" w:hAnsi="Verdana"/>
        </w:rPr>
        <w:t xml:space="preserve">Appendix D: Compliance Calendar</w:t>
      </w:r>
    </w:p>
    <w:p>
      <w:pPr>
        <w:spacing w:after="120" w:line="276"/>
        <w:jc w:val="both"/>
      </w:pPr>
      <w:r>
        <w:rPr>
          <w:rFonts w:ascii="Verdana" w:cs="Verdana" w:eastAsia="Verdana" w:hAnsi="Verdana"/>
        </w:rPr>
        <w:t xml:space="preserve">The regular due dates are listed below. QRMP is the quarterly return scheme for turnover up to Rs. 5 crore. Extended dates apply only where notified.</w:t>
      </w:r>
    </w:p>
    <w:p>
      <w:pPr>
        <w:pStyle w:val="Heading2"/>
        <w:keepNext/>
        <w:spacing w:after="120" w:before="240"/>
      </w:pPr>
      <w:r>
        <w:rPr>
          <w:rFonts w:ascii="Verdana" w:cs="Verdana" w:eastAsia="Verdana" w:hAnsi="Verdana"/>
        </w:rPr>
        <w:t xml:space="preserve">Monthly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5"/>
        <w:gridCol w:w="4317"/>
        <w:gridCol w:w="3816"/>
      </w:tblGrid>
      <w:tr>
        <w:trPr>
          <w:cantSplit/>
          <w:tblHeader/>
        </w:trPr>
        <w:tc>
          <w:tcPr>
            <w:tcW w:type="dxa" w:w="150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Due date</w:t>
            </w:r>
          </w:p>
        </w:tc>
        <w:tc>
          <w:tcPr>
            <w:tcW w:type="dxa" w:w="431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Return or payment</w:t>
            </w:r>
          </w:p>
        </w:tc>
        <w:tc>
          <w:tcPr>
            <w:tcW w:type="dxa" w:w="3816"/>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Who</w:t>
            </w:r>
          </w:p>
        </w:tc>
      </w:tr>
      <w:tr>
        <w:trPr>
          <w:cantSplit/>
        </w:trPr>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10th</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GSTR-7 (TDS) and GSTR-8 (TCS)</w:t>
            </w:r>
          </w:p>
        </w:tc>
        <w:tc>
          <w:tcPr>
            <w:tcW w:type="dxa" w:w="38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Government deductors; e-commerce operators</w:t>
            </w:r>
          </w:p>
        </w:tc>
      </w:tr>
      <w:tr>
        <w:trPr>
          <w:cantSplit/>
        </w:trPr>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11th</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GSTR-1</w:t>
            </w:r>
          </w:p>
        </w:tc>
        <w:tc>
          <w:tcPr>
            <w:tcW w:type="dxa" w:w="38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Monthly filers</w:t>
            </w:r>
          </w:p>
        </w:tc>
      </w:tr>
      <w:tr>
        <w:trPr>
          <w:cantSplit/>
        </w:trPr>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13th</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IFF (optional, first two months of quarter)</w:t>
            </w:r>
          </w:p>
        </w:tc>
        <w:tc>
          <w:tcPr>
            <w:tcW w:type="dxa" w:w="38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QRMP taxpayers</w:t>
            </w:r>
          </w:p>
        </w:tc>
      </w:tr>
      <w:tr>
        <w:trPr>
          <w:cantSplit/>
        </w:trPr>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13th</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GSTR-5 and GSTR-6</w:t>
            </w:r>
          </w:p>
        </w:tc>
        <w:tc>
          <w:tcPr>
            <w:tcW w:type="dxa" w:w="38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Non-resident taxable persons; ISDs</w:t>
            </w:r>
          </w:p>
        </w:tc>
      </w:tr>
      <w:tr>
        <w:trPr>
          <w:cantSplit/>
        </w:trPr>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20th</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GSTR-3B</w:t>
            </w:r>
          </w:p>
        </w:tc>
        <w:tc>
          <w:tcPr>
            <w:tcW w:type="dxa" w:w="38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Monthly filers</w:t>
            </w:r>
          </w:p>
        </w:tc>
      </w:tr>
      <w:tr>
        <w:trPr>
          <w:cantSplit/>
        </w:trPr>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20th</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GSTR-5A</w:t>
            </w:r>
          </w:p>
        </w:tc>
        <w:tc>
          <w:tcPr>
            <w:tcW w:type="dxa" w:w="38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OIDAR suppliers outside India</w:t>
            </w:r>
          </w:p>
        </w:tc>
      </w:tr>
      <w:tr>
        <w:trPr>
          <w:cantSplit/>
        </w:trPr>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25th</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PMT-06 (first two months of quarter)</w:t>
            </w:r>
          </w:p>
        </w:tc>
        <w:tc>
          <w:tcPr>
            <w:tcW w:type="dxa" w:w="381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QRMP taxpayers</w:t>
            </w:r>
          </w:p>
        </w:tc>
      </w:tr>
    </w:tbl>
    <w:p>
      <w:pPr>
        <w:spacing w:after="60"/>
      </w:pPr>
    </w:p>
    <w:p>
      <w:pPr>
        <w:pStyle w:val="Heading2"/>
        <w:keepNext/>
        <w:spacing w:after="120" w:before="240"/>
      </w:pPr>
      <w:r>
        <w:rPr>
          <w:rFonts w:ascii="Verdana" w:cs="Verdana" w:eastAsia="Verdana" w:hAnsi="Verdana"/>
        </w:rPr>
        <w:t xml:space="preserve">Quarterly, half-yearly and annual</w:t>
      </w:r>
    </w:p>
    <w:p>
      <w:pPr>
        <w:spacing w:after="120" w:line="276"/>
        <w:jc w:val="both"/>
      </w:pPr>
      <w:r>
        <w:rPr>
          <w:rFonts w:ascii="Verdana" w:cs="Verdana" w:eastAsia="Verdana" w:hAnsi="Verdana"/>
        </w:rPr>
        <w:t xml:space="preserve">Quarterly returns fall due in the month after the quarter ends. Half-yearly and annual returns are listed with their fixed 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4015"/>
        <w:gridCol w:w="2612"/>
      </w:tblGrid>
      <w:tr>
        <w:trPr>
          <w:cantSplit/>
          <w:tblHeader/>
        </w:trPr>
        <w:tc>
          <w:tcPr>
            <w:tcW w:type="dxa" w:w="301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Due date</w:t>
            </w:r>
          </w:p>
        </w:tc>
        <w:tc>
          <w:tcPr>
            <w:tcW w:type="dxa" w:w="401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Return</w:t>
            </w:r>
          </w:p>
        </w:tc>
        <w:tc>
          <w:tcPr>
            <w:tcW w:type="dxa" w:w="261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Who</w:t>
            </w:r>
          </w:p>
        </w:tc>
      </w:tr>
      <w:tr>
        <w:trPr>
          <w:cantSplit/>
        </w:trPr>
        <w:tc>
          <w:tcPr>
            <w:tcW w:type="dxa" w:w="30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13th of month after quarter</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GSTR-1</w:t>
            </w:r>
          </w:p>
        </w:tc>
        <w:tc>
          <w:tcPr>
            <w:tcW w:type="dxa" w:w="26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QRMP taxpayers</w:t>
            </w:r>
          </w:p>
        </w:tc>
      </w:tr>
      <w:tr>
        <w:trPr>
          <w:cantSplit/>
        </w:trPr>
        <w:tc>
          <w:tcPr>
            <w:tcW w:type="dxa" w:w="30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18th of month after quarter</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CMP-08</w:t>
            </w:r>
          </w:p>
        </w:tc>
        <w:tc>
          <w:tcPr>
            <w:tcW w:type="dxa" w:w="26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Composition taxpayers</w:t>
            </w:r>
          </w:p>
        </w:tc>
      </w:tr>
      <w:tr>
        <w:trPr>
          <w:cantSplit/>
        </w:trPr>
        <w:tc>
          <w:tcPr>
            <w:tcW w:type="dxa" w:w="30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22nd or 24th of month after quarter (by State)</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GSTR-3B</w:t>
            </w:r>
          </w:p>
        </w:tc>
        <w:tc>
          <w:tcPr>
            <w:tcW w:type="dxa" w:w="26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QRMP taxpayers</w:t>
            </w:r>
          </w:p>
        </w:tc>
      </w:tr>
      <w:tr>
        <w:trPr>
          <w:cantSplit/>
        </w:trPr>
        <w:tc>
          <w:tcPr>
            <w:tcW w:type="dxa" w:w="30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25 October and 25 April</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ITC-04 (half-yearly)</w:t>
            </w:r>
          </w:p>
        </w:tc>
        <w:tc>
          <w:tcPr>
            <w:tcW w:type="dxa" w:w="26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Principals with AATO above Rs. 5 crore</w:t>
            </w:r>
          </w:p>
        </w:tc>
      </w:tr>
      <w:tr>
        <w:trPr>
          <w:cantSplit/>
        </w:trPr>
        <w:tc>
          <w:tcPr>
            <w:tcW w:type="dxa" w:w="30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25 April</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ITC-04 (annual)</w:t>
            </w:r>
          </w:p>
        </w:tc>
        <w:tc>
          <w:tcPr>
            <w:tcW w:type="dxa" w:w="26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Other principals</w:t>
            </w:r>
          </w:p>
        </w:tc>
      </w:tr>
      <w:tr>
        <w:trPr>
          <w:cantSplit/>
        </w:trPr>
        <w:tc>
          <w:tcPr>
            <w:tcW w:type="dxa" w:w="30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June</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GSTR-4 (annual)</w:t>
            </w:r>
          </w:p>
        </w:tc>
        <w:tc>
          <w:tcPr>
            <w:tcW w:type="dxa" w:w="26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Composition taxpayers</w:t>
            </w:r>
          </w:p>
        </w:tc>
      </w:tr>
      <w:tr>
        <w:trPr>
          <w:cantSplit/>
        </w:trPr>
        <w:tc>
          <w:tcPr>
            <w:tcW w:type="dxa" w:w="30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November</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Last date for ITC, credit notes and GSTR-1 corrections of previous year</w:t>
            </w:r>
          </w:p>
        </w:tc>
        <w:tc>
          <w:tcPr>
            <w:tcW w:type="dxa" w:w="26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 regular taxpayers</w:t>
            </w:r>
          </w:p>
        </w:tc>
      </w:tr>
      <w:tr>
        <w:trPr>
          <w:cantSplit/>
        </w:trPr>
        <w:tc>
          <w:tcPr>
            <w:tcW w:type="dxa" w:w="30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December</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GSTR-9 and GSTR-9C</w:t>
            </w:r>
          </w:p>
        </w:tc>
        <w:tc>
          <w:tcPr>
            <w:tcW w:type="dxa" w:w="26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GSTR-9C where turnover above Rs. 5 crore</w:t>
            </w:r>
          </w:p>
        </w:tc>
      </w:tr>
      <w:tr>
        <w:trPr>
          <w:cantSplit/>
        </w:trPr>
        <w:tc>
          <w:tcPr>
            <w:tcW w:type="dxa" w:w="30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Before 1 April (by 31 March)</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CMP-02 to opt for composition; LUT in RFD-11; GTA option for forward charge</w:t>
            </w:r>
          </w:p>
        </w:tc>
        <w:tc>
          <w:tcPr>
            <w:tcW w:type="dxa" w:w="26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 applicable</w:t>
            </w:r>
          </w:p>
        </w:tc>
      </w:tr>
      <w:tr>
        <w:trPr>
          <w:cantSplit/>
        </w:trPr>
        <w:tc>
          <w:tcPr>
            <w:tcW w:type="dxa" w:w="30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Within 3 months of cancellation</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GSTR-10 (final return)</w:t>
            </w:r>
          </w:p>
        </w:tc>
        <w:tc>
          <w:tcPr>
            <w:tcW w:type="dxa" w:w="26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Persons whose registration is cancelled</w:t>
            </w:r>
          </w:p>
        </w:tc>
      </w:tr>
    </w:tbl>
    <w:p>
      <w:pPr>
        <w:spacing w:after="60"/>
      </w:pPr>
    </w:p>
    <w:p>
      <w:pPr>
        <w:pStyle w:val="Heading2"/>
        <w:keepNext/>
        <w:spacing w:after="120" w:before="240"/>
      </w:pPr>
      <w:r>
        <w:rPr>
          <w:rFonts w:ascii="Verdana" w:cs="Verdana" w:eastAsia="Verdana" w:hAnsi="Verdana"/>
        </w:rPr>
        <w:t xml:space="preserve">Month-by-month planner for FY 2026-27</w:t>
      </w:r>
    </w:p>
    <w:p>
      <w:pPr>
        <w:spacing w:after="120" w:line="276"/>
        <w:jc w:val="both"/>
      </w:pPr>
      <w:r>
        <w:rPr>
          <w:rFonts w:ascii="Verdana" w:cs="Verdana" w:eastAsia="Verdana" w:hAnsi="Verdana"/>
        </w:rPr>
        <w:t xml:space="preserve">This planner adds the year-specific events to the routine dates above. The routine monthly dates (10th, 11th, 13th, 20th, 25th) are not repeated in every row.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7831"/>
      </w:tblGrid>
      <w:tr>
        <w:trPr>
          <w:cantSplit/>
          <w:tblHeader/>
        </w:trPr>
        <w:tc>
          <w:tcPr>
            <w:tcW w:type="dxa" w:w="180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Month</w:t>
            </w:r>
          </w:p>
        </w:tc>
        <w:tc>
          <w:tcPr>
            <w:tcW w:type="dxa" w:w="783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Key events</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April 2026</w:t>
            </w:r>
          </w:p>
        </w:tc>
        <w:tc>
          <w:tcPr>
            <w:tcW w:type="dxa" w:w="78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 Apr: GSTR-1 (QRMP) for Jan to Mar 2026. 18 Apr: CMP-08 for Q4. 22/24 Apr: GSTR-3B (QRMP) Q4. 25 Apr: ITC-04. 30 Apr: last date to opt into QRMP for Apr to Jun.</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May 2026</w:t>
            </w:r>
          </w:p>
        </w:tc>
        <w:tc>
          <w:tcPr>
            <w:tcW w:type="dxa" w:w="78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Routine returns. Start FY 2025-26 annual return reconciliations.</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June 2026</w:t>
            </w:r>
          </w:p>
        </w:tc>
        <w:tc>
          <w:tcPr>
            <w:tcW w:type="dxa" w:w="78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Jun: GSTR-4 for FY 2025-26 (composition taxpayers).</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July 2026</w:t>
            </w:r>
          </w:p>
        </w:tc>
        <w:tc>
          <w:tcPr>
            <w:tcW w:type="dxa" w:w="78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 Jul: GSTR-1 (QRMP) Q1. 18 Jul: CMP-08 Q1. 22/24 Jul: GSTR-3B (QRMP) Q1.</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August 2026</w:t>
            </w:r>
          </w:p>
        </w:tc>
        <w:tc>
          <w:tcPr>
            <w:tcW w:type="dxa" w:w="78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Routine returns. Chase vendors with pending FY 2025-26 invoices not in GSTR-2B.</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September 2026</w:t>
            </w:r>
          </w:p>
        </w:tc>
        <w:tc>
          <w:tcPr>
            <w:tcW w:type="dxa" w:w="78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Sep: date for rule 37A check (suppliers who have not filed GSTR-3B for FY 2025-26).</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October 2026</w:t>
            </w:r>
          </w:p>
        </w:tc>
        <w:tc>
          <w:tcPr>
            <w:tcW w:type="dxa" w:w="78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 Oct: GSTR-1 (QRMP) Q2. 18 Oct: CMP-08 Q2. 22/24 Oct: GSTR-3B (QRMP) Q2. 25 Oct: ITC-04 half-year (AATO above Rs. 5 crore).</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November 2026</w:t>
            </w:r>
          </w:p>
        </w:tc>
        <w:tc>
          <w:tcPr>
            <w:tcW w:type="dxa" w:w="78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Nov: last date for FY 2025-26 ITC (section 16(4)), credit notes (section 34(2)), GSTR-1 corrections and rule 37A reversals.</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December 2026</w:t>
            </w:r>
          </w:p>
        </w:tc>
        <w:tc>
          <w:tcPr>
            <w:tcW w:type="dxa" w:w="78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Dec: GSTR-9 and GSTR-9C for FY 2025-26.</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January 2027</w:t>
            </w:r>
          </w:p>
        </w:tc>
        <w:tc>
          <w:tcPr>
            <w:tcW w:type="dxa" w:w="78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13 Jan: GSTR-1 (QRMP) Q3. 18 Jan: CMP-08 Q3. 22/24 Jan: GSTR-3B (QRMP) Q3. 31 Jan: last date to opt into QRMP for Jan to Mar.</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February 2027</w:t>
            </w:r>
          </w:p>
        </w:tc>
        <w:tc>
          <w:tcPr>
            <w:tcW w:type="dxa" w:w="78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QRMP option window for Apr to Jun 2027 opens on 1 Feb.</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March 2027</w:t>
            </w:r>
          </w:p>
        </w:tc>
        <w:tc>
          <w:tcPr>
            <w:tcW w:type="dxa" w:w="78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31 Mar: CMP-02 for FY 2027-28, LUT for FY 2027-28, GTA option for FY 2027-28.</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E8B3A" w:sz="24"/>
              <w:bottom w:val="none" w:color="FFFFFF" w:sz="0"/>
              <w:right w:val="none" w:color="FFFFFF" w:sz="0"/>
            </w:tcBorders>
            <w:shd w:fill="EEF6EE" w:color="auto" w:val="clear"/>
            <w:tcMar>
              <w:top w:type="dxa" w:w="110"/>
              <w:left w:type="dxa" w:w="200"/>
              <w:bottom w:type="dxa" w:w="110"/>
              <w:right w:type="dxa" w:w="200"/>
            </w:tcMar>
          </w:tcPr>
          <w:p>
            <w:pPr>
              <w:keepNext/>
              <w:spacing w:after="80"/>
            </w:pPr>
            <w:r>
              <w:rPr>
                <w:rFonts w:ascii="Verdana" w:cs="Verdana" w:eastAsia="Verdana" w:hAnsi="Verdana"/>
                <w:b/>
                <w:bCs/>
                <w:color w:val="4E8B3A"/>
                <w:sz w:val="21"/>
                <w:szCs w:val="21"/>
              </w:rPr>
              <w:t xml:space="preserve">Practice note</w:t>
            </w:r>
          </w:p>
          <w:p>
            <w:pPr>
              <w:spacing w:after="60" w:line="260"/>
            </w:pPr>
            <w:r>
              <w:rPr>
                <w:rFonts w:ascii="Verdana" w:cs="Verdana" w:eastAsia="Verdana" w:hAnsi="Verdana"/>
                <w:sz w:val="20"/>
                <w:szCs w:val="20"/>
              </w:rPr>
              <w:t xml:space="preserve">Keep one tracker for all GSTINs of the group, with the person responsible and the ARN. Late fees usually arise from a forgotten GSTIN in a smaller State.</w:t>
            </w:r>
          </w:p>
        </w:tc>
      </w:tr>
    </w:tbl>
    <w:p>
      <w:pPr>
        <w:pStyle w:val="Heading1"/>
        <w:pageBreakBefore/>
        <w:spacing w:after="200" w:before="0"/>
      </w:pPr>
      <w:r>
        <w:rPr>
          <w:rFonts w:ascii="Verdana" w:cs="Verdana" w:eastAsia="Verdana" w:hAnsi="Verdana"/>
        </w:rPr>
        <w:t xml:space="preserve">Appendix E: Digest of Rulings</w:t>
      </w:r>
    </w:p>
    <w:p>
      <w:pPr>
        <w:spacing w:after="120" w:line="276"/>
        <w:jc w:val="both"/>
      </w:pPr>
      <w:r>
        <w:rPr>
          <w:rFonts w:ascii="Verdana" w:cs="Verdana" w:eastAsia="Verdana" w:hAnsi="Verdana"/>
        </w:rPr>
        <w:t xml:space="preserve">The table lists the rulings discussed in this guide, in the order in which they first appear. Rulings under the pre-GST laws (service tax, central excise, VAT and sales tax) are included where the principle carries over to GST. Court: SC is the Supreme Court and HC a High Court.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3800"/>
        <w:gridCol w:w="1438"/>
      </w:tblGrid>
      <w:tr>
        <w:trPr>
          <w:cantSplit/>
          <w:tblHeader/>
        </w:trPr>
        <w:tc>
          <w:tcPr>
            <w:tcW w:type="dxa" w:w="31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Case</w:t>
            </w:r>
          </w:p>
        </w:tc>
        <w:tc>
          <w:tcPr>
            <w:tcW w:type="dxa" w:w="13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Court and year</w:t>
            </w:r>
          </w:p>
        </w:tc>
        <w:tc>
          <w:tcPr>
            <w:tcW w:type="dxa" w:w="380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Principle</w:t>
            </w:r>
          </w:p>
        </w:tc>
        <w:tc>
          <w:tcPr>
            <w:tcW w:type="dxa" w:w="143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Relevant to</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Commissioner of Central Excise v. Ratan Melting and Wire Industries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2008</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Circulars bind the department but not the courts or taxpayers; a circular contrary to the statute has no legal effect</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Interpretation; circulars</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Commissioner of Customs v. Dilip Kumar and Co.</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2018</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Exemption notifications are construed strictly; burden on claimant; ambiguity resolved in favour of revenue</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Interpretation; exemptions</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Tata Consultancy Services v. State of Andhra Pradesh</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2004</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Canned software on a medium is goods; intangible property capable of being bought, sold, transmitted and stored can be goods</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Definitions; goods and services</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State of West Bengal v. Calcutta Club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2019</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Doctrine of mutuality applies to members' clubs, including incorporated clubs; no sales tax or service tax on supplies to members under the earlier law</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clubs and associations</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Indian Medical Association v. Union of India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Kerala HC, 2025</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2(17)(e) and 7(1)(aa) with its Explanation declared unconstitutional for lack of legislative competence; Union's appeal pending in the Supreme Court</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clubs and associations</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GE T and D India Ltd. v. Deputy Commissioner of Central Excise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Madras HC, 2019</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Notice pay recovered from employees is not consideration for any service of tolerating an act; not liable to service tax</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employee recoveries</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Bharat Sanchar Nigam Ltd. v. Union of India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2006</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Composite contracts outside Article 366(29A) are tested by the dominant nature of the transaction; aspect theory cannot be used to split them</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Composite and mixed supply</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Larsen and Toubro Ltd. v. State of Karnataka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2013</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Works contracts can be split to tax the goods element; dominant intention test does not apply; construction of flats under pre-completion agreements is a works contract</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Composite and mixed supply; works contracts</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Dunlop India Ltd. v. Union of India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1976</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 article with a reasonable claim to a specific entry should not be put in a residuary entry; common commercial meaning governs tariff entries</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Classification</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HPL Chemicals Ltd. v. Commissioner of Central Excise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2006</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Burden of proving the classification claimed by the department is on the revenue; residuary heading is the last resort</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Classification</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Material Recycling Association of India v. Union of India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Gujarat HC, 2020</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13(8)(b) of the IGST Act fixing place of supply of intermediary services at location of supplier upheld</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Place of supply; intermediary</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Dharmendra M. Jani v. Union of India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Bombay HC, 2023</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After a split verdict, sections 13(8)(b) and 8(2) of the IGST Act upheld as valid</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Place of supply; intermediary</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Ernst and Young Ltd. v. Additional Commissioner, CGST Appeals-II, Delhi</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Delhi HC, 2023</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Services supplied on own account to overseas group firms are not intermediary services; separate legal entities are not establishments of the same person; export refund allowed</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Intermediary; export of services</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Union of India v. Cosmo Films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2023</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Pre-import condition for IGST exemption on imports under advance authorisation (13 October 2017 to 9 January 2019) upheld; relief through payment and refund or credit</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Imports; advance authorisation</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Bhandari Scrap Traders v. Union of India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2026</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16(2)(c) upheld; SLP against Gujarat High Court dismissed; VAT bona fide purchaser rulings do not carry over; credit restored when supplier pays</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supplier default</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Diya Agencies v. State Tax Officer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Kerala HC, 2023</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Sections 16(2)(c) and 16(4) upheld; ITC is a concession subject to conditions</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conditions and time limit</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Thirumalakonda Plywoods v. Assistant Commissioner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Andhra Pradesh HC, 2023</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Time limit in section 16(4) upheld as a valid condition</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time limit</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Arise India Ltd. v. Commissioner of Trade and Taxes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Delhi HC, 2017</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Bona fide purchaser not to be denied credit for seller's default under Delhi VAT</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bona fide purchaser (VAT)</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Jayam and Co. v. Assistant Commissioner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2016</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Input tax credit is a concession available only on the statutory conditions</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nature of credit</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Eicher Motors Ltd. v. Union of India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1999</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Modvat credit validly taken is indefeasible and cannot be lapsed by a later rule</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nature of credit</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Collector of Central Excise v. Dai Ichi Karkaria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1999</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Credit validly taken is as good as tax paid</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nature of credit</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Union of India v. Bharti Airtel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2021</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GSTR-3B is self-assessed on own records; no rectification of earlier returns outside the scheme because GSTR-2A was not available</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returns</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Riddhi Siddhi Enterprises v. Commissioner of Goods and Services Tax</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Delhi HC, 2024</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Retrospective cancellation of registration cannot be mechanical; the order must record reasons and objective material for the earlier date</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Registration; cancellation</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Hindustan Steel Ltd. v. State of Orissa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1969</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Penalty not automatic for technical or venial breach or bona fide belief</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Penalty; e-way bill</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Danish Hassan v. Union Territory of Jammu and Kashmir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J&amp;K and Ladakh HC, 2026</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Seven-day limit for notice under section 129(3) is mandatory; notice issued after the limit vitiated detention proceedings</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E-way bill; detention</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GMG Electric v. Commissioner of State Tax</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GSTAT, Ernakulam Bench, 2026</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Order under section 129(3) passed beyond seven days of notice is void; limit mandatory</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E-way bill; detention</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Ranbaxy Laboratories Ltd. v. Union of India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2011</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delayed refund runs from expiry of statutory period after application, not from order date</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Refunds; interest</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Mafatlal Industries Ltd. v. Union of India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1997</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Refund only where burden of tax not passed on (unjust enrichment)</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Refunds; unjust enrichment</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Gujarat Chamber of Commerce and Industry v. Union of India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Gujarat HC, 2025 (SLP dismissed, SC, 2026)</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Assignment of leasehold rights in land is akin to transfer of immovable property and not a supply of service</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Real estate; Schedule III</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BirlaNu Ltd. v. Union of India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Telangana HC, 2025</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Rule 39(1)(a), so far as it required ISD credit to be distributed in the same month, held beyond section 20 (as it stood before 1 April 2025); audit report and show cause notice quashed</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Audit; input service distributor</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Pushpam Pharmaceuticals Co. v. Collector of Central Excise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1995</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Suppression means deliberate withholding of information to evade duty, not mere omission or bona fide belief</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Demands; extended period</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Uniworth Textiles Ltd. v. Commissioner of Central Excise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2013</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Mere non-payment of duty is not suppression or wilful misstatement; conscious withholding must be shown</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Demands; extended period</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Radha Krishan Industries v. State of Himachal Pradesh</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2021</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Provisional attachment is drastic; needs tangible material, the Commissioner's own opinion, hearing on objections and a reasoned order</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Recovery; provisional attachment</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Radhika Agarwal v. Union of India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2025</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Power of arrest upheld subject to recorded reasons to believe, written grounds and anticipatory bail; no coercive recovery during search</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Search; arrest</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P.V. Ramana Reddy v. Union of India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Telangana HC, 2019</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Arrest for offences under section 132 can be made before the tax liability is adjudicated</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Search; arrest</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Columbia Sportswear Co. v. Director of Income Tax</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2012</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 advance ruling can be challenged in a writ petition under Articles 226 and 227 (Income-tax Act; principle applied to GST rulings)</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Advance rulings; writ</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Assistant Commissioner of State Tax v. Commercial Steel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2021</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Writ is not a substitute for statutory appeal except for breach of fundamental rights or natural justice, lack of jurisdiction or vires challenge</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Appeals; writ</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Singh Enterprises v. Commissioner of Central Excise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2008</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Appellate authority cannot condone delay beyond the period the statute allows</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Appeals; limitation</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Collector, Land Acquisition, Anantnag v. Mst. Katiji</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1987</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Sufficient cause for condonation of delay to be read liberally to advance substantial justice</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Appeals; condonation</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Union of India v. Dharmendra Textile Processors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2008</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Civil penalty for breach of a statutory obligation does not need mens rea unless the provision requires it</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Penalties; mens rea</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Union of India v. Mohit Minerals (P)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2022</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 Council recommendations are persuasive, not binding; IGST under reverse charge on ocean freight in CIF imports struck down as it offends section 8</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Constitution; imports</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Safari Retreats (P) Ltd. v. Chief Commissioner of CGST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2024</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Plant or machinery in section 17(5)(d) to be tested by functionality; overcome by retrospective amendment in Finance Act, 2025</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Input tax credit; blocked credits</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Commissioner of Customs, Central Excise and Service Tax v. Northern Operating Systems (P)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2022</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Secondment of employees by an overseas group company is supply of manpower service by that company to the Indian entity</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import of services</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Kone Elevator India (P) Ltd. v. State of Tamil Nadu</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2014</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and installation of lifts is a works contract, not a sale (Constitution Bench)</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Composite and mixed supply; works contracts</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Union of India v. VKC Footsteps India (P)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2021</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Rule 89(5) upheld; inverted duty refund limited to ITC on inputs, excluding input services</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Rates; inverted duty refund</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Union of India v. Intercontinental Consultants and Technocrats (P)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2018</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Reimbursable expenses could not be included in value of taxable service under service tax; under GST only genuine pure agent costs stay out</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Value of supply</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Commissioner of Service Tax v. Bhayana Builders (P)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2018</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Materials supplied free by the service recipient are not part of the gross amount charged</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Value of supply; free supplies</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Suncraft Energy (P) Ltd. v. Assistant Commissioner, State Tax</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Calcutta HC, 2023</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Credit not to be denied only for GSTR-2A mismatch without first proceeding against defaulting supplier; now subject to Bhandari Scrap Traders</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supplier default</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Additional Commissioner v. Safecon Lifesciences (P)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2026</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Revenue SLP dismissed; extended period cannot be invoked against buyer only because supplier registration was cancelled retrospectively, without proof of buyer's fraud</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retrospective cancellation</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Samay Alloys India (P) Ltd. v. State of Gujarat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Gujarat HC, 2022</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Rule 86A permits blocking only of credit available in the ledger; no negative blocking (Revenue SLP in Union of India v. K.K. Alloys, against a similar Punjab and Haryana High Court ruling, dismissed by the Supreme Court in June 2026)</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blocking of credit</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 Quest Merchandising India (P) Ltd. v. Government of NCT of Delhi</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Delhi HC, 2017</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9(2)(g) of Delhi VAT Act read down to protect bona fide purchasing dealers</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bona fide purchaser (VAT)</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State of Karnataka v. Ecom Gill Coffee Trading (P)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2023</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Burden on dealer to prove genuineness of purchase; invoices and cheque payment alone not enough (KVAT)</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burden of proof</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Assistant Commissioner (ST) v. Satyam Shivam Papers (P)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2022</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presumption of evasion where e-way bill validity lapsed due to external factors; State's SLP dismissed with costs</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E-way bill; detention</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Central Board of Indirect Taxes and Customs v. Aberdare Technologies (P)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2025</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Bona fide clerical errors in GSTR-1 may be corrected after the time limit where no revenue loss; portal limits no bar</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Returns; rectification</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Directorate General of Goods and Services Tax Intelligence v. Gameskraft Technologies (P)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2026</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Online platforms where players stake money supply actionable claims in betting and gambling; 28% on full stake value upheld; 2023 amendments clarificatory</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Online gaming; valuation</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Ghanashyam Mishra and Sons (P) Ltd. v. Edelweiss Asset Reconstruction Co.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2021</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Approved resolution plan extinguishes all claims not in the plan, including Government dues</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Insolvency; recovery</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Commissioner of Central Excise v. Brindavan Beverages (P)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2007</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Show cause notice is the foundation of the case; vague notice is bad and the order cannot go beyond it</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Demands; show cause notice</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Armour Security (India) Ltd. v. Commissioner, CGST, Delhi East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2025</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6(2)(b) bars the other administration once one has issued a show cause notice on the same subject matter; summons and inquiry are not proceedings</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Demands; parallel proceedings</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Assistant Commissioner (CT) LTU v. Glaxo Smith Kline Consumer Health Care Ltd.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 2020</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High Court should not entertain a writ to bypass an appeal period, including the condonable period, that has expired</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Appeals; limitation</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Reckitt Benckiser India (P) Ltd. v. Union of India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Delhi HC, 2024</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171 and the anti-profiteering rules upheld; methodology depends on facts; individual orders open to challenge</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Anti-profiteering</w:t>
            </w:r>
          </w:p>
        </w:tc>
      </w:tr>
    </w:tbl>
    <w:p>
      <w:pPr>
        <w:pStyle w:val="Heading1"/>
        <w:pageBreakBefore/>
        <w:spacing w:after="200" w:before="0"/>
      </w:pPr>
      <w:r>
        <w:rPr>
          <w:rFonts w:ascii="Verdana" w:cs="Verdana" w:eastAsia="Verdana" w:hAnsi="Verdana"/>
        </w:rPr>
        <w:t xml:space="preserve">Appendix F: GST Forms Guide</w:t>
      </w:r>
    </w:p>
    <w:p>
      <w:pPr>
        <w:spacing w:after="120" w:line="276"/>
        <w:jc w:val="both"/>
      </w:pPr>
      <w:r>
        <w:rPr>
          <w:rFonts w:ascii="Verdana" w:cs="Verdana" w:eastAsia="Verdana" w:hAnsi="Verdana"/>
        </w:rPr>
        <w:t xml:space="preserve">Forms are grouped by prefix and filed on the common portal.</w:t>
      </w:r>
    </w:p>
    <w:p>
      <w:pPr>
        <w:pStyle w:val="Heading2"/>
        <w:keepNext/>
        <w:spacing w:after="120" w:before="240"/>
      </w:pPr>
      <w:r>
        <w:rPr>
          <w:rFonts w:ascii="Verdana" w:cs="Verdana" w:eastAsia="Verdana" w:hAnsi="Verdana"/>
        </w:rPr>
        <w:t xml:space="preserve">Registration (REG)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Form</w:t>
            </w:r>
          </w:p>
        </w:tc>
        <w:tc>
          <w:tcPr>
            <w:tcW w:type="dxa" w:w="722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Purpose</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REG-01</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Application for registration</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REG-06</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Registration certificate</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REG-14</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Application for amendment</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REG-16</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Application for cancellation by the taxpayer</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REG-17, REG-18</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Notice for cancellation by officer; reply</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REG-19</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Order of cancellation</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REG-21, REG-22</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Application for revocation; order of revocation</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REG-31</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Intimation of suspension or proposed cancellation</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REG-32</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Withdrawal from the rule 14A option</w:t>
            </w:r>
          </w:p>
        </w:tc>
      </w:tr>
    </w:tbl>
    <w:p>
      <w:pPr>
        <w:spacing w:after="60"/>
      </w:pPr>
    </w:p>
    <w:p>
      <w:pPr>
        <w:pStyle w:val="Heading2"/>
        <w:keepNext/>
        <w:spacing w:after="120" w:before="240"/>
      </w:pPr>
      <w:r>
        <w:rPr>
          <w:rFonts w:ascii="Verdana" w:cs="Verdana" w:eastAsia="Verdana" w:hAnsi="Verdana"/>
        </w:rPr>
        <w:t xml:space="preserve">Returns (GSTR)</w:t>
      </w:r>
    </w:p>
    <w:p>
      <w:pPr>
        <w:spacing w:after="120" w:line="276"/>
        <w:jc w:val="both"/>
      </w:pPr>
      <w:r>
        <w:rPr>
          <w:rFonts w:ascii="Verdana" w:cs="Verdana" w:eastAsia="Verdana" w:hAnsi="Verdana"/>
        </w:rPr>
        <w:t xml:space="preserve">Return forms are the ones handled every month. GSTR-2A and GSTR-2B are system-generated statements, not returns.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Form</w:t>
            </w:r>
          </w:p>
        </w:tc>
        <w:tc>
          <w:tcPr>
            <w:tcW w:type="dxa" w:w="722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Purpose</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GSTR-1 and GSTR-1A</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Outward supplies; amendment of current period GSTR-1 before GSTR-3B</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GSTR-2A, GSTR-2B</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Dynamic and static statements of inward supplies and ITC</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GSTR-3B</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Summary return and tax payment</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GSTR-4</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Annual return of composition taxpayer</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GSTR-5, GSTR-5A</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Non-resident taxable person; OIDAR supplier</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GSTR-6</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Input Service Distributor</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GSTR-7, GSTR-8</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 deductor; TCS collector (ECO)</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GSTR-9, GSTR-9C</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Annual return; reconciliation statement</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GSTR-10</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Final return on cancellation</w:t>
            </w:r>
          </w:p>
        </w:tc>
      </w:tr>
    </w:tbl>
    <w:p>
      <w:pPr>
        <w:spacing w:after="60"/>
      </w:pPr>
    </w:p>
    <w:p>
      <w:pPr>
        <w:pStyle w:val="Heading2"/>
        <w:keepNext/>
        <w:spacing w:after="120" w:before="240"/>
      </w:pPr>
      <w:r>
        <w:rPr>
          <w:rFonts w:ascii="Verdana" w:cs="Verdana" w:eastAsia="Verdana" w:hAnsi="Verdana"/>
        </w:rPr>
        <w:t xml:space="preserve">Credit, payment and refund (ITC, PMT, RFD)</w:t>
      </w:r>
    </w:p>
    <w:p>
      <w:pPr>
        <w:spacing w:after="120" w:line="276"/>
        <w:jc w:val="both"/>
      </w:pPr>
      <w:r>
        <w:rPr>
          <w:rFonts w:ascii="Verdana" w:cs="Verdana" w:eastAsia="Verdana" w:hAnsi="Verdana"/>
        </w:rPr>
        <w:t xml:space="preserve">These forms deal with the movement of credit, cash and refunds.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Form</w:t>
            </w:r>
          </w:p>
        </w:tc>
        <w:tc>
          <w:tcPr>
            <w:tcW w:type="dxa" w:w="7229"/>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Purpose</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ITC-01</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Claim of ITC under section 18(1) on new registration or exit from composition</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ITC-02</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of ITC on sale, merger or amalgamation</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ITC-03</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Reversal of ITC on opting for composition or supplies becoming exempt</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ITC-04</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sent to and received from job workers</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PMT-06</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Challan for deposit of tax, interest, fee</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PMT-09</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Transfer of amount between heads in the cash ledger</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RFD-01</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Refund application</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RFD-02, RFD-03</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Acknowledgement; deficiency memo</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RFD-04, RFD-06</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Provisional refund order; final refund order</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RFD-11</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Letter of Undertaking or bond for exports without payment of tax</w:t>
            </w:r>
          </w:p>
        </w:tc>
      </w:tr>
    </w:tbl>
    <w:p>
      <w:pPr>
        <w:spacing w:after="60"/>
      </w:pPr>
    </w:p>
    <w:p>
      <w:pPr>
        <w:pStyle w:val="Heading2"/>
        <w:keepNext/>
        <w:spacing w:after="120" w:before="240"/>
      </w:pPr>
      <w:r>
        <w:rPr>
          <w:rFonts w:ascii="Verdana" w:cs="Verdana" w:eastAsia="Verdana" w:hAnsi="Verdana"/>
        </w:rPr>
        <w:t xml:space="preserve">Demand, scrutiny and audit (DRC, ASMT, ADT)</w:t>
      </w:r>
    </w:p>
    <w:p>
      <w:pPr>
        <w:spacing w:after="120" w:line="276"/>
        <w:jc w:val="both"/>
      </w:pPr>
      <w:r>
        <w:rPr>
          <w:rFonts w:ascii="Verdana" w:cs="Verdana" w:eastAsia="Verdana" w:hAnsi="Verdana"/>
        </w:rPr>
        <w:t xml:space="preserve">These are the notice and order forms. Always check the form number: it tells you which section the officer is acting under.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1"/>
        <w:gridCol w:w="6827"/>
      </w:tblGrid>
      <w:tr>
        <w:trPr>
          <w:cantSplit/>
          <w:tblHeader/>
        </w:trPr>
        <w:tc>
          <w:tcPr>
            <w:tcW w:type="dxa" w:w="281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Form</w:t>
            </w:r>
          </w:p>
        </w:tc>
        <w:tc>
          <w:tcPr>
            <w:tcW w:type="dxa" w:w="682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Purpose</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DRC-01A</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Pre-notice intimation of tax ascertained</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DRC-01</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Summary of show cause notice</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DRC-01B, DRC-01C</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Intimation of GSTR-1 v. GSTR-3B gap; ITC gap against GSTR-2B</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DRC-03</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Voluntary payment or payment against intimation</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DRC-03A</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Linking a DRC-03 payment to a demand order</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DRC-06</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Reply to show cause notice</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DRC-07</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Summary of order (becomes the recovery demand)</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DRC-13</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Garnishee notice to a third person</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DRC-20</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Application for instalments</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DRC-22</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Provisional attachment</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ASMT-10, ASMT-11, ASMT-12</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Scrutiny notice; reply; order accepting reply</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ASMT-13, ASMT-14</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Best judgement assessment of non-filer; notice to unregistered person</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ADT-01, ADT-02</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Notice of departmental audit; audit report</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ADT-03, ADT-04</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Direction for special audit; its findings</w:t>
            </w:r>
          </w:p>
        </w:tc>
      </w:tr>
    </w:tbl>
    <w:p>
      <w:pPr>
        <w:spacing w:after="60"/>
      </w:pPr>
    </w:p>
    <w:p>
      <w:pPr>
        <w:pStyle w:val="Heading2"/>
        <w:keepNext/>
        <w:spacing w:after="120" w:before="240"/>
      </w:pPr>
      <w:r>
        <w:rPr>
          <w:rFonts w:ascii="Verdana" w:cs="Verdana" w:eastAsia="Verdana" w:hAnsi="Verdana"/>
        </w:rPr>
        <w:t xml:space="preserve">Appeals, movement, inspection, composition and special procedure</w:t>
      </w:r>
    </w:p>
    <w:p>
      <w:pPr>
        <w:spacing w:after="120" w:line="276"/>
        <w:jc w:val="both"/>
      </w:pPr>
      <w:r>
        <w:rPr>
          <w:rFonts w:ascii="Verdana" w:cs="Verdana" w:eastAsia="Verdana" w:hAnsi="Verdana"/>
        </w:rPr>
        <w:t xml:space="preserve">The remaining groups cover disputes, goods in transit, searches, composition and the section 128A waiver scheme.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cantSplit/>
          <w:tblHeader/>
        </w:trPr>
        <w:tc>
          <w:tcPr>
            <w:tcW w:type="dxa" w:w="261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Form</w:t>
            </w:r>
          </w:p>
        </w:tc>
        <w:tc>
          <w:tcPr>
            <w:tcW w:type="dxa" w:w="702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Purpose</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APL-01</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Appeal to Appellate Authority</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APL-04</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Summary of appellate order</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APL-05, APL-06</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Appeal to Appellate Tribunal; cross-objections</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MOV-01, MOV-02</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Statement of person in charge; order for physical verification</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MOV-04</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Physical verification report</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MOV-06, MOV-07</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Detention order; notice under section 129</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MOV-09</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Order of demand of penalty under section 129</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INS-01</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Authorisation for inspection or search</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INS-02, INS-03</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Seizure order; prohibition order</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CMP-02, CMP-03</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Intimation to opt for composition; stock details</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CMP-04</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Intimation of withdrawal from composition</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CMP-08</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Quarterly statement of composition taxpayer</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SPL-01, SPL-02</w:t>
            </w:r>
          </w:p>
        </w:tc>
        <w:tc>
          <w:tcPr>
            <w:tcW w:type="dxa" w:w="70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Application for waiver under section 128A (against notice; against order)</w:t>
            </w:r>
          </w:p>
        </w:tc>
      </w:tr>
    </w:tbl>
    <w:p>
      <w:pPr>
        <w:pStyle w:val="Heading1"/>
        <w:pageBreakBefore/>
        <w:spacing w:after="200" w:before="0"/>
      </w:pPr>
      <w:r>
        <w:rPr>
          <w:rFonts w:ascii="Verdana" w:cs="Verdana" w:eastAsia="Verdana" w:hAnsi="Verdana"/>
        </w:rPr>
        <w:t xml:space="preserve">Appendix G: Practice Questions with Answers</w:t>
      </w:r>
    </w:p>
    <w:p>
      <w:pPr>
        <w:spacing w:after="120" w:line="276"/>
        <w:jc w:val="both"/>
      </w:pPr>
      <w:r>
        <w:rPr>
          <w:rFonts w:ascii="Verdana" w:cs="Verdana" w:eastAsia="Verdana" w:hAnsi="Verdana"/>
        </w:rPr>
        <w:t xml:space="preserve">The questions cover the whole book. Numerical answers show the working. Rates are post-GST 2.0 unless stated.</w:t>
      </w:r>
    </w:p>
    <w:p>
      <w:pPr>
        <w:pStyle w:val="Heading2"/>
        <w:keepNext/>
        <w:spacing w:after="120" w:before="240"/>
      </w:pPr>
      <w:r>
        <w:rPr>
          <w:rFonts w:ascii="Verdana" w:cs="Verdana" w:eastAsia="Verdana" w:hAnsi="Verdana"/>
        </w:rPr>
        <w:t xml:space="preserve">Constitution, supply and levy</w:t>
      </w:r>
    </w:p>
    <w:p>
      <w:pPr>
        <w:spacing w:after="120" w:line="276"/>
        <w:jc w:val="both"/>
      </w:pPr>
      <w:r>
        <w:rPr>
          <w:rFonts w:ascii="Verdana" w:cs="Verdana" w:eastAsia="Verdana" w:hAnsi="Verdana"/>
          <w:b/>
          <w:bCs/>
        </w:rPr>
        <w:t xml:space="preserve">Q 1.</w:t>
      </w:r>
      <w:r>
        <w:rPr>
          <w:rFonts w:ascii="Verdana" w:cs="Verdana" w:eastAsia="Verdana" w:hAnsi="Verdana"/>
        </w:rPr>
        <w:t xml:space="preserve"> Which Articles of the Constitution support GST?</w:t>
      </w:r>
    </w:p>
    <w:p>
      <w:pPr>
        <w:spacing w:after="120" w:line="276"/>
        <w:jc w:val="both"/>
      </w:pPr>
      <w:r>
        <w:rPr>
          <w:rFonts w:ascii="Verdana" w:cs="Verdana" w:eastAsia="Verdana" w:hAnsi="Verdana"/>
          <w:b/>
          <w:bCs/>
        </w:rPr>
        <w:t xml:space="preserve">Answer:</w:t>
      </w:r>
      <w:r>
        <w:rPr>
          <w:rFonts w:ascii="Verdana" w:cs="Verdana" w:eastAsia="Verdana" w:hAnsi="Verdana"/>
        </w:rPr>
        <w:t xml:space="preserve"> Article 246A (power to make GST laws; inter-State supply for Parliament alone), Article 269A (IGST), Article 279A (GST Council) and Article 366(12A) (definition, excluding alcoholic liquor for human consumption).</w:t>
      </w:r>
    </w:p>
    <w:p>
      <w:pPr>
        <w:spacing w:after="120" w:line="276"/>
        <w:jc w:val="both"/>
      </w:pPr>
      <w:r>
        <w:rPr>
          <w:rFonts w:ascii="Verdana" w:cs="Verdana" w:eastAsia="Verdana" w:hAnsi="Verdana"/>
          <w:b/>
          <w:bCs/>
        </w:rPr>
        <w:t xml:space="preserve">Q 2.</w:t>
      </w:r>
      <w:r>
        <w:rPr>
          <w:rFonts w:ascii="Verdana" w:cs="Verdana" w:eastAsia="Verdana" w:hAnsi="Verdana"/>
        </w:rPr>
        <w:t xml:space="preserve"> Are petrol and diesel outside GST?</w:t>
      </w:r>
    </w:p>
    <w:p>
      <w:pPr>
        <w:spacing w:after="120" w:line="276"/>
        <w:jc w:val="both"/>
      </w:pPr>
      <w:r>
        <w:rPr>
          <w:rFonts w:ascii="Verdana" w:cs="Verdana" w:eastAsia="Verdana" w:hAnsi="Verdana"/>
          <w:b/>
          <w:bCs/>
        </w:rPr>
        <w:t xml:space="preserve">Answer:</w:t>
      </w:r>
      <w:r>
        <w:rPr>
          <w:rFonts w:ascii="Verdana" w:cs="Verdana" w:eastAsia="Verdana" w:hAnsi="Verdana"/>
        </w:rPr>
        <w:t xml:space="preserve"> Not in law. They are within GST, but tax applies only from a date the Council recommends, and none has been notified.</w:t>
      </w:r>
    </w:p>
    <w:p>
      <w:pPr>
        <w:spacing w:after="120" w:line="276"/>
        <w:jc w:val="both"/>
      </w:pPr>
      <w:r>
        <w:rPr>
          <w:rFonts w:ascii="Verdana" w:cs="Verdana" w:eastAsia="Verdana" w:hAnsi="Verdana"/>
          <w:b/>
          <w:bCs/>
        </w:rPr>
        <w:t xml:space="preserve">Q 3.</w:t>
      </w:r>
      <w:r>
        <w:rPr>
          <w:rFonts w:ascii="Verdana" w:cs="Verdana" w:eastAsia="Verdana" w:hAnsi="Verdana"/>
        </w:rPr>
        <w:t xml:space="preserve"> Are GST Council recommendations binding on Parliament and States?</w:t>
      </w:r>
    </w:p>
    <w:p>
      <w:pPr>
        <w:spacing w:after="120" w:line="276"/>
        <w:jc w:val="both"/>
      </w:pPr>
      <w:r>
        <w:rPr>
          <w:rFonts w:ascii="Verdana" w:cs="Verdana" w:eastAsia="Verdana" w:hAnsi="Verdana"/>
          <w:b/>
          <w:bCs/>
        </w:rPr>
        <w:t xml:space="preserve">Answer:</w:t>
      </w:r>
      <w:r>
        <w:rPr>
          <w:rFonts w:ascii="Verdana" w:cs="Verdana" w:eastAsia="Verdana" w:hAnsi="Verdana"/>
        </w:rPr>
        <w:t xml:space="preserve"> No. They are persuasive only (Mohit Minerals, Supreme Court, 2022).</w:t>
      </w:r>
    </w:p>
    <w:p>
      <w:pPr>
        <w:spacing w:after="120" w:line="276"/>
        <w:jc w:val="both"/>
      </w:pPr>
      <w:r>
        <w:rPr>
          <w:rFonts w:ascii="Verdana" w:cs="Verdana" w:eastAsia="Verdana" w:hAnsi="Verdana"/>
          <w:b/>
          <w:bCs/>
        </w:rPr>
        <w:t xml:space="preserve">Q 4.</w:t>
      </w:r>
      <w:r>
        <w:rPr>
          <w:rFonts w:ascii="Verdana" w:cs="Verdana" w:eastAsia="Verdana" w:hAnsi="Verdana"/>
        </w:rPr>
        <w:t xml:space="preserve"> Which taxes apply to an intra-State supply in Chandigarh?</w:t>
      </w:r>
    </w:p>
    <w:p>
      <w:pPr>
        <w:spacing w:after="120" w:line="276"/>
        <w:jc w:val="both"/>
      </w:pPr>
      <w:r>
        <w:rPr>
          <w:rFonts w:ascii="Verdana" w:cs="Verdana" w:eastAsia="Verdana" w:hAnsi="Verdana"/>
          <w:b/>
          <w:bCs/>
        </w:rPr>
        <w:t xml:space="preserve">Answer:</w:t>
      </w:r>
      <w:r>
        <w:rPr>
          <w:rFonts w:ascii="Verdana" w:cs="Verdana" w:eastAsia="Verdana" w:hAnsi="Verdana"/>
        </w:rPr>
        <w:t xml:space="preserve"> CGST and UTGST, as Chandigarh has no legislature.</w:t>
      </w:r>
    </w:p>
    <w:p>
      <w:pPr>
        <w:spacing w:after="120" w:line="276"/>
        <w:jc w:val="both"/>
      </w:pPr>
      <w:r>
        <w:rPr>
          <w:rFonts w:ascii="Verdana" w:cs="Verdana" w:eastAsia="Verdana" w:hAnsi="Verdana"/>
          <w:b/>
          <w:bCs/>
        </w:rPr>
        <w:t xml:space="preserve">Q 5.</w:t>
      </w:r>
      <w:r>
        <w:rPr>
          <w:rFonts w:ascii="Verdana" w:cs="Verdana" w:eastAsia="Verdana" w:hAnsi="Verdana"/>
        </w:rPr>
        <w:t xml:space="preserve"> Kiran Traders of Gujarat supplies only goods within the State. Turnover is Rs. 32 lakh. It does not deal in goods excluded from the higher limit, such as ice cream, pan masala or tobacco. Is registration needed?</w:t>
      </w:r>
    </w:p>
    <w:p>
      <w:pPr>
        <w:spacing w:after="120" w:line="276"/>
        <w:jc w:val="both"/>
      </w:pPr>
      <w:r>
        <w:rPr>
          <w:rFonts w:ascii="Verdana" w:cs="Verdana" w:eastAsia="Verdana" w:hAnsi="Verdana"/>
          <w:b/>
          <w:bCs/>
        </w:rPr>
        <w:t xml:space="preserve">Answer:</w:t>
      </w:r>
      <w:r>
        <w:rPr>
          <w:rFonts w:ascii="Verdana" w:cs="Verdana" w:eastAsia="Verdana" w:hAnsi="Verdana"/>
        </w:rPr>
        <w:t xml:space="preserve"> No. The threshold for exclusive suppliers of goods is Rs. 40 lakh, unless a section 24 category (such as inter-State supply) applies.</w:t>
      </w:r>
    </w:p>
    <w:p>
      <w:pPr>
        <w:spacing w:after="120" w:line="276"/>
        <w:jc w:val="both"/>
      </w:pPr>
      <w:r>
        <w:rPr>
          <w:rFonts w:ascii="Verdana" w:cs="Verdana" w:eastAsia="Verdana" w:hAnsi="Verdana"/>
          <w:b/>
          <w:bCs/>
        </w:rPr>
        <w:t xml:space="preserve">Q 6.</w:t>
      </w:r>
      <w:r>
        <w:rPr>
          <w:rFonts w:ascii="Verdana" w:cs="Verdana" w:eastAsia="Verdana" w:hAnsi="Verdana"/>
        </w:rPr>
        <w:t xml:space="preserve"> Find the aggregate turnover: taxable intra-State supplies Rs. 30 lakh, exempt supplies Rs. 8 lakh, exports Rs. 5 lakh, supplies to own branch in another State Rs. 4 lakh, inward supplies under reverse charge Rs. 2 lakh, GST charged Rs. 5.4 lakh.</w:t>
      </w:r>
    </w:p>
    <w:p>
      <w:pPr>
        <w:spacing w:after="120" w:line="276"/>
        <w:jc w:val="both"/>
      </w:pPr>
      <w:r>
        <w:rPr>
          <w:rFonts w:ascii="Verdana" w:cs="Verdana" w:eastAsia="Verdana" w:hAnsi="Verdana"/>
          <w:b/>
          <w:bCs/>
        </w:rPr>
        <w:t xml:space="preserve">Answer:</w:t>
      </w:r>
      <w:r>
        <w:rPr>
          <w:rFonts w:ascii="Verdana" w:cs="Verdana" w:eastAsia="Verdana" w:hAnsi="Verdana"/>
        </w:rPr>
        <w:t xml:space="preserve"> Aggregate turnover under section 2(6) includes taxable, exempt, export and inter-State supplies between distinct persons on the same PAN, and excludes taxes and inward reverse charge supplies.</w:t>
      </w:r>
    </w:p>
    <w:p>
      <w:pPr>
        <w:spacing w:after="120" w:line="276"/>
        <w:jc w:val="both"/>
      </w:pPr>
      <w:r>
        <w:rPr>
          <w:rFonts w:ascii="Verdana" w:cs="Verdana" w:eastAsia="Verdana" w:hAnsi="Verdana"/>
        </w:rPr>
        <w:t xml:space="preserve">Rs. 30 lakh + Rs. 8 lakh + Rs. 5 lakh + Rs. 4 lakh = Rs. 47 lakh.</w:t>
      </w:r>
    </w:p>
    <w:p>
      <w:pPr>
        <w:spacing w:after="120" w:line="276"/>
        <w:jc w:val="both"/>
      </w:pPr>
      <w:r>
        <w:rPr>
          <w:rFonts w:ascii="Verdana" w:cs="Verdana" w:eastAsia="Verdana" w:hAnsi="Verdana"/>
          <w:b/>
          <w:bCs/>
        </w:rPr>
        <w:t xml:space="preserve">Q 7.</w:t>
      </w:r>
      <w:r>
        <w:rPr>
          <w:rFonts w:ascii="Verdana" w:cs="Verdana" w:eastAsia="Verdana" w:hAnsi="Verdana"/>
        </w:rPr>
        <w:t xml:space="preserve"> An employer gives an employee a Diwali gift worth Rs. 60,000. Is it a supply?</w:t>
      </w:r>
    </w:p>
    <w:p>
      <w:pPr>
        <w:spacing w:after="120" w:line="276"/>
        <w:jc w:val="both"/>
      </w:pPr>
      <w:r>
        <w:rPr>
          <w:rFonts w:ascii="Verdana" w:cs="Verdana" w:eastAsia="Verdana" w:hAnsi="Verdana"/>
          <w:b/>
          <w:bCs/>
        </w:rPr>
        <w:t xml:space="preserve">Answer:</w:t>
      </w:r>
      <w:r>
        <w:rPr>
          <w:rFonts w:ascii="Verdana" w:cs="Verdana" w:eastAsia="Verdana" w:hAnsi="Verdana"/>
        </w:rPr>
        <w:t xml:space="preserve"> Yes. Only gifts up to Rs. 50,000 per employee per year escape para 2 of Schedule I. ITC on gifts is in any case blocked by section 17(5)(h).</w:t>
      </w:r>
    </w:p>
    <w:p>
      <w:pPr>
        <w:spacing w:after="120" w:line="276"/>
        <w:jc w:val="both"/>
      </w:pPr>
      <w:r>
        <w:rPr>
          <w:rFonts w:ascii="Verdana" w:cs="Verdana" w:eastAsia="Verdana" w:hAnsi="Verdana"/>
          <w:b/>
          <w:bCs/>
        </w:rPr>
        <w:t xml:space="preserve">Q 8.</w:t>
      </w:r>
      <w:r>
        <w:rPr>
          <w:rFonts w:ascii="Verdana" w:cs="Verdana" w:eastAsia="Verdana" w:hAnsi="Verdana"/>
        </w:rPr>
        <w:t xml:space="preserve"> Patel Engineering sends goods from its Gujarat factory to its own Maharashtra depot. Is this a supply?</w:t>
      </w:r>
    </w:p>
    <w:p>
      <w:pPr>
        <w:spacing w:after="120" w:line="276"/>
        <w:jc w:val="both"/>
      </w:pPr>
      <w:r>
        <w:rPr>
          <w:rFonts w:ascii="Verdana" w:cs="Verdana" w:eastAsia="Verdana" w:hAnsi="Verdana"/>
          <w:b/>
          <w:bCs/>
        </w:rPr>
        <w:t xml:space="preserve">Answer:</w:t>
      </w:r>
      <w:r>
        <w:rPr>
          <w:rFonts w:ascii="Verdana" w:cs="Verdana" w:eastAsia="Verdana" w:hAnsi="Verdana"/>
        </w:rPr>
        <w:t xml:space="preserve"> Yes. The registrations are distinct persons, and para 2 of Schedule I applies. IGST is payable; value is under rule 28, and where the depot can claim full ITC the invoice value is accepted.</w:t>
      </w:r>
    </w:p>
    <w:p>
      <w:pPr>
        <w:spacing w:after="120" w:line="276"/>
        <w:jc w:val="both"/>
      </w:pPr>
      <w:r>
        <w:rPr>
          <w:rFonts w:ascii="Verdana" w:cs="Verdana" w:eastAsia="Verdana" w:hAnsi="Verdana"/>
          <w:b/>
          <w:bCs/>
        </w:rPr>
        <w:t xml:space="preserve">Q 9.</w:t>
      </w:r>
      <w:r>
        <w:rPr>
          <w:rFonts w:ascii="Verdana" w:cs="Verdana" w:eastAsia="Verdana" w:hAnsi="Verdana"/>
        </w:rPr>
        <w:t xml:space="preserve"> A festive box contains chocolates (5%), dry fruits (5%) and an aerated sugary drink (40%), sold for one price. What rate applies?</w:t>
      </w:r>
    </w:p>
    <w:p>
      <w:pPr>
        <w:spacing w:after="120" w:line="276"/>
        <w:jc w:val="both"/>
      </w:pPr>
      <w:r>
        <w:rPr>
          <w:rFonts w:ascii="Verdana" w:cs="Verdana" w:eastAsia="Verdana" w:hAnsi="Verdana"/>
          <w:b/>
          <w:bCs/>
        </w:rPr>
        <w:t xml:space="preserve">Answer:</w:t>
      </w:r>
      <w:r>
        <w:rPr>
          <w:rFonts w:ascii="Verdana" w:cs="Verdana" w:eastAsia="Verdana" w:hAnsi="Verdana"/>
        </w:rPr>
        <w:t xml:space="preserve"> Mixed supply under section 8(b): the whole box is taxed at the highest rate, 40%. Selling the drink separately avoids this.</w:t>
      </w:r>
    </w:p>
    <w:p>
      <w:pPr>
        <w:spacing w:after="120" w:line="276"/>
        <w:jc w:val="both"/>
      </w:pPr>
      <w:r>
        <w:rPr>
          <w:rFonts w:ascii="Verdana" w:cs="Verdana" w:eastAsia="Verdana" w:hAnsi="Verdana"/>
          <w:b/>
          <w:bCs/>
        </w:rPr>
        <w:t xml:space="preserve">Q 10.</w:t>
      </w:r>
      <w:r>
        <w:rPr>
          <w:rFonts w:ascii="Verdana" w:cs="Verdana" w:eastAsia="Verdana" w:hAnsi="Verdana"/>
        </w:rPr>
        <w:t xml:space="preserve"> Is the sale of land a supply?</w:t>
      </w:r>
    </w:p>
    <w:p>
      <w:pPr>
        <w:spacing w:after="120" w:line="276"/>
        <w:jc w:val="both"/>
      </w:pPr>
      <w:r>
        <w:rPr>
          <w:rFonts w:ascii="Verdana" w:cs="Verdana" w:eastAsia="Verdana" w:hAnsi="Verdana"/>
          <w:b/>
          <w:bCs/>
        </w:rPr>
        <w:t xml:space="preserve">Answer:</w:t>
      </w:r>
      <w:r>
        <w:rPr>
          <w:rFonts w:ascii="Verdana" w:cs="Verdana" w:eastAsia="Verdana" w:hAnsi="Verdana"/>
        </w:rPr>
        <w:t xml:space="preserve"> No. Para 5 of Schedule III covers it (and completed buildings).</w:t>
      </w:r>
    </w:p>
    <w:p>
      <w:pPr>
        <w:spacing w:after="120" w:line="276"/>
        <w:jc w:val="both"/>
      </w:pPr>
      <w:r>
        <w:rPr>
          <w:rFonts w:ascii="Verdana" w:cs="Verdana" w:eastAsia="Verdana" w:hAnsi="Verdana"/>
          <w:b/>
          <w:bCs/>
        </w:rPr>
        <w:t xml:space="preserve">Q 11.</w:t>
      </w:r>
      <w:r>
        <w:rPr>
          <w:rFonts w:ascii="Verdana" w:cs="Verdana" w:eastAsia="Verdana" w:hAnsi="Verdana"/>
        </w:rPr>
        <w:t xml:space="preserve"> Are actionable claims taxable?</w:t>
      </w:r>
    </w:p>
    <w:p>
      <w:pPr>
        <w:spacing w:after="120" w:line="276"/>
        <w:jc w:val="both"/>
      </w:pPr>
      <w:r>
        <w:rPr>
          <w:rFonts w:ascii="Verdana" w:cs="Verdana" w:eastAsia="Verdana" w:hAnsi="Verdana"/>
          <w:b/>
          <w:bCs/>
        </w:rPr>
        <w:t xml:space="preserve">Answer:</w:t>
      </w:r>
      <w:r>
        <w:rPr>
          <w:rFonts w:ascii="Verdana" w:cs="Verdana" w:eastAsia="Verdana" w:hAnsi="Verdana"/>
        </w:rPr>
        <w:t xml:space="preserve"> No, except betting, casinos, gambling, horse racing, lottery and online money gaming, taxed at 40%.</w:t>
      </w:r>
    </w:p>
    <w:p>
      <w:pPr>
        <w:spacing w:after="120" w:line="276"/>
        <w:jc w:val="both"/>
      </w:pPr>
      <w:r>
        <w:rPr>
          <w:rFonts w:ascii="Verdana" w:cs="Verdana" w:eastAsia="Verdana" w:hAnsi="Verdana"/>
          <w:b/>
          <w:bCs/>
        </w:rPr>
        <w:t xml:space="preserve">Q 12.</w:t>
      </w:r>
      <w:r>
        <w:rPr>
          <w:rFonts w:ascii="Verdana" w:cs="Verdana" w:eastAsia="Verdana" w:hAnsi="Verdana"/>
        </w:rPr>
        <w:t xml:space="preserve"> Is salary paid to an employee subject to GST?</w:t>
      </w:r>
    </w:p>
    <w:p>
      <w:pPr>
        <w:spacing w:after="120" w:line="276"/>
        <w:jc w:val="both"/>
      </w:pPr>
      <w:r>
        <w:rPr>
          <w:rFonts w:ascii="Verdana" w:cs="Verdana" w:eastAsia="Verdana" w:hAnsi="Verdana"/>
          <w:b/>
          <w:bCs/>
        </w:rPr>
        <w:t xml:space="preserve">Answer:</w:t>
      </w:r>
      <w:r>
        <w:rPr>
          <w:rFonts w:ascii="Verdana" w:cs="Verdana" w:eastAsia="Verdana" w:hAnsi="Verdana"/>
        </w:rPr>
        <w:t xml:space="preserve"> No. Para 1 of Schedule III.</w:t>
      </w:r>
    </w:p>
    <w:p>
      <w:pPr>
        <w:spacing w:after="120" w:line="276"/>
        <w:jc w:val="both"/>
      </w:pPr>
      <w:r>
        <w:rPr>
          <w:rFonts w:ascii="Verdana" w:cs="Verdana" w:eastAsia="Verdana" w:hAnsi="Verdana"/>
          <w:b/>
          <w:bCs/>
        </w:rPr>
        <w:t xml:space="preserve">Q 13.</w:t>
      </w:r>
      <w:r>
        <w:rPr>
          <w:rFonts w:ascii="Verdana" w:cs="Verdana" w:eastAsia="Verdana" w:hAnsi="Verdana"/>
        </w:rPr>
        <w:t xml:space="preserve"> How are gift vouchers treated after the Finance Act, 2025?</w:t>
      </w:r>
    </w:p>
    <w:p>
      <w:pPr>
        <w:spacing w:after="120" w:line="276"/>
        <w:jc w:val="both"/>
      </w:pPr>
      <w:r>
        <w:rPr>
          <w:rFonts w:ascii="Verdana" w:cs="Verdana" w:eastAsia="Verdana" w:hAnsi="Verdana"/>
          <w:b/>
          <w:bCs/>
        </w:rPr>
        <w:t xml:space="preserve">Answer:</w:t>
      </w:r>
      <w:r>
        <w:rPr>
          <w:rFonts w:ascii="Verdana" w:cs="Verdana" w:eastAsia="Verdana" w:hAnsi="Verdana"/>
        </w:rPr>
        <w:t xml:space="preserve"> Vouchers are neither goods nor services (Circular 243/37/2024-GST); tax arises on the underlying supply. Sections 12(4) and 13(4) were omitted.</w:t>
      </w:r>
    </w:p>
    <w:p>
      <w:pPr>
        <w:spacing w:after="120" w:line="276"/>
        <w:jc w:val="both"/>
      </w:pPr>
      <w:r>
        <w:rPr>
          <w:rFonts w:ascii="Verdana" w:cs="Verdana" w:eastAsia="Verdana" w:hAnsi="Verdana"/>
          <w:b/>
          <w:bCs/>
        </w:rPr>
        <w:t xml:space="preserve">Q 14.</w:t>
      </w:r>
      <w:r>
        <w:rPr>
          <w:rFonts w:ascii="Verdana" w:cs="Verdana" w:eastAsia="Verdana" w:hAnsi="Verdana"/>
        </w:rPr>
        <w:t xml:space="preserve"> A company pays sitting fees to an independent director. Who pays GST?</w:t>
      </w:r>
    </w:p>
    <w:p>
      <w:pPr>
        <w:spacing w:after="120" w:line="276"/>
        <w:jc w:val="both"/>
      </w:pPr>
      <w:r>
        <w:rPr>
          <w:rFonts w:ascii="Verdana" w:cs="Verdana" w:eastAsia="Verdana" w:hAnsi="Verdana"/>
          <w:b/>
          <w:bCs/>
        </w:rPr>
        <w:t xml:space="preserve">Answer:</w:t>
      </w:r>
      <w:r>
        <w:rPr>
          <w:rFonts w:ascii="Verdana" w:cs="Verdana" w:eastAsia="Verdana" w:hAnsi="Verdana"/>
        </w:rPr>
        <w:t xml:space="preserve"> The company, under reverse charge (Circular 140/10/2020).</w:t>
      </w:r>
    </w:p>
    <w:p>
      <w:pPr>
        <w:spacing w:after="120" w:line="276"/>
        <w:jc w:val="both"/>
      </w:pPr>
      <w:r>
        <w:rPr>
          <w:rFonts w:ascii="Verdana" w:cs="Verdana" w:eastAsia="Verdana" w:hAnsi="Verdana"/>
          <w:b/>
          <w:bCs/>
        </w:rPr>
        <w:t xml:space="preserve">Q 15.</w:t>
      </w:r>
      <w:r>
        <w:rPr>
          <w:rFonts w:ascii="Verdana" w:cs="Verdana" w:eastAsia="Verdana" w:hAnsi="Verdana"/>
        </w:rPr>
        <w:t xml:space="preserve"> Mehta and Co., a firm of advocates, bills Rs. 2,00,000 to a company whose turnover is above the registration threshold. Who pays GST and how much?</w:t>
      </w:r>
    </w:p>
    <w:p>
      <w:pPr>
        <w:spacing w:after="120" w:line="276"/>
        <w:jc w:val="both"/>
      </w:pPr>
      <w:r>
        <w:rPr>
          <w:rFonts w:ascii="Verdana" w:cs="Verdana" w:eastAsia="Verdana" w:hAnsi="Verdana"/>
          <w:b/>
          <w:bCs/>
        </w:rPr>
        <w:t xml:space="preserve">Answer:</w:t>
      </w:r>
      <w:r>
        <w:rPr>
          <w:rFonts w:ascii="Verdana" w:cs="Verdana" w:eastAsia="Verdana" w:hAnsi="Verdana"/>
        </w:rPr>
        <w:t xml:space="preserve"> The company pays under reverse charge at 18%: Rs. 2,00,000 x 18% = Rs. 36,000 (CGST Rs. 18,000 + SGST Rs. 18,000 if intra-State).</w:t>
      </w:r>
    </w:p>
    <w:p>
      <w:pPr>
        <w:spacing w:after="120" w:line="276"/>
        <w:jc w:val="both"/>
      </w:pPr>
      <w:r>
        <w:rPr>
          <w:rFonts w:ascii="Verdana" w:cs="Verdana" w:eastAsia="Verdana" w:hAnsi="Verdana"/>
          <w:b/>
          <w:bCs/>
        </w:rPr>
        <w:t xml:space="preserve">Q 16.</w:t>
      </w:r>
      <w:r>
        <w:rPr>
          <w:rFonts w:ascii="Verdana" w:cs="Verdana" w:eastAsia="Verdana" w:hAnsi="Verdana"/>
        </w:rPr>
        <w:t xml:space="preserve"> A registered trader rents a shop from an unregistered landlord for Rs. 50,000 a month. Is GST payable?</w:t>
      </w:r>
    </w:p>
    <w:p>
      <w:pPr>
        <w:spacing w:after="120" w:line="276"/>
        <w:jc w:val="both"/>
      </w:pPr>
      <w:r>
        <w:rPr>
          <w:rFonts w:ascii="Verdana" w:cs="Verdana" w:eastAsia="Verdana" w:hAnsi="Verdana"/>
          <w:b/>
          <w:bCs/>
        </w:rPr>
        <w:t xml:space="preserve">Answer:</w:t>
      </w:r>
      <w:r>
        <w:rPr>
          <w:rFonts w:ascii="Verdana" w:cs="Verdana" w:eastAsia="Verdana" w:hAnsi="Verdana"/>
        </w:rPr>
        <w:t xml:space="preserve"> Yes, under reverse charge from 10 October 2024: Rs. 50,000 x 18% = Rs. 9,000 a month, paid by the tenant. Check later exclusions.</w:t>
      </w:r>
    </w:p>
    <w:p>
      <w:pPr>
        <w:spacing w:after="120" w:line="276"/>
        <w:jc w:val="both"/>
      </w:pPr>
      <w:r>
        <w:rPr>
          <w:rFonts w:ascii="Verdana" w:cs="Verdana" w:eastAsia="Verdana" w:hAnsi="Verdana"/>
          <w:b/>
          <w:bCs/>
        </w:rPr>
        <w:t xml:space="preserve">Q 17.</w:t>
      </w:r>
      <w:r>
        <w:rPr>
          <w:rFonts w:ascii="Verdana" w:cs="Verdana" w:eastAsia="Verdana" w:hAnsi="Verdana"/>
        </w:rPr>
        <w:t xml:space="preserve"> A company pays freight of Rs. 80,000 to a GTA that has not opted for forward charge. What tax is due?</w:t>
      </w:r>
    </w:p>
    <w:p>
      <w:pPr>
        <w:spacing w:after="120" w:line="276"/>
        <w:jc w:val="both"/>
      </w:pPr>
      <w:r>
        <w:rPr>
          <w:rFonts w:ascii="Verdana" w:cs="Verdana" w:eastAsia="Verdana" w:hAnsi="Verdana"/>
          <w:b/>
          <w:bCs/>
        </w:rPr>
        <w:t xml:space="preserve">Answer:</w:t>
      </w:r>
      <w:r>
        <w:rPr>
          <w:rFonts w:ascii="Verdana" w:cs="Verdana" w:eastAsia="Verdana" w:hAnsi="Verdana"/>
        </w:rPr>
        <w:t xml:space="preserve"> At 5% under reverse charge: Rs. 80,000 x 5% = Rs. 4,000 (CGST Rs. 2,000 + SGST Rs. 2,000), paid by the company in cash.</w:t>
      </w:r>
    </w:p>
    <w:p>
      <w:pPr>
        <w:spacing w:after="120" w:line="276"/>
        <w:jc w:val="both"/>
      </w:pPr>
      <w:r>
        <w:rPr>
          <w:rFonts w:ascii="Verdana" w:cs="Verdana" w:eastAsia="Verdana" w:hAnsi="Verdana"/>
        </w:rPr>
        <w:t xml:space="preserve">Had the GTA opted for 18% forward charge, it would charge Rs. 14,400 and claim its own ITC.</w:t>
      </w:r>
    </w:p>
    <w:p>
      <w:pPr>
        <w:spacing w:after="120" w:line="276"/>
        <w:jc w:val="both"/>
      </w:pPr>
      <w:r>
        <w:rPr>
          <w:rFonts w:ascii="Verdana" w:cs="Verdana" w:eastAsia="Verdana" w:hAnsi="Verdana"/>
          <w:b/>
          <w:bCs/>
        </w:rPr>
        <w:t xml:space="preserve">Q 18.</w:t>
      </w:r>
      <w:r>
        <w:rPr>
          <w:rFonts w:ascii="Verdana" w:cs="Verdana" w:eastAsia="Verdana" w:hAnsi="Verdana"/>
        </w:rPr>
        <w:t xml:space="preserve"> Neha Traders, a composition trader, has taxable turnover of Rs. 30 lakh in a quarter. Compute the tax.</w:t>
      </w:r>
    </w:p>
    <w:p>
      <w:pPr>
        <w:spacing w:after="120" w:line="276"/>
        <w:jc w:val="both"/>
      </w:pPr>
      <w:r>
        <w:rPr>
          <w:rFonts w:ascii="Verdana" w:cs="Verdana" w:eastAsia="Verdana" w:hAnsi="Verdana"/>
          <w:b/>
          <w:bCs/>
        </w:rPr>
        <w:t xml:space="preserve">Answer:</w:t>
      </w:r>
      <w:r>
        <w:rPr>
          <w:rFonts w:ascii="Verdana" w:cs="Verdana" w:eastAsia="Verdana" w:hAnsi="Verdana"/>
        </w:rPr>
        <w:t xml:space="preserve"> Rs. 30,00,000 x 1% = Rs. 30,000 (Rs. 15,000 + Rs. 15,000), through CMP-08.</w:t>
      </w:r>
    </w:p>
    <w:p>
      <w:pPr>
        <w:spacing w:after="120" w:line="276"/>
        <w:jc w:val="both"/>
      </w:pPr>
      <w:r>
        <w:rPr>
          <w:rFonts w:ascii="Verdana" w:cs="Verdana" w:eastAsia="Verdana" w:hAnsi="Verdana"/>
          <w:b/>
          <w:bCs/>
        </w:rPr>
        <w:t xml:space="preserve">Q 19.</w:t>
      </w:r>
      <w:r>
        <w:rPr>
          <w:rFonts w:ascii="Verdana" w:cs="Verdana" w:eastAsia="Verdana" w:hAnsi="Verdana"/>
        </w:rPr>
        <w:t xml:space="preserve"> A small consultant opts under section 10(2A). Quarterly turnover is Rs. 9,00,000. Compute the tax.</w:t>
      </w:r>
    </w:p>
    <w:p>
      <w:pPr>
        <w:spacing w:after="120" w:line="276"/>
        <w:jc w:val="both"/>
      </w:pPr>
      <w:r>
        <w:rPr>
          <w:rFonts w:ascii="Verdana" w:cs="Verdana" w:eastAsia="Verdana" w:hAnsi="Verdana"/>
          <w:b/>
          <w:bCs/>
        </w:rPr>
        <w:t xml:space="preserve">Answer:</w:t>
      </w:r>
      <w:r>
        <w:rPr>
          <w:rFonts w:ascii="Verdana" w:cs="Verdana" w:eastAsia="Verdana" w:hAnsi="Verdana"/>
        </w:rPr>
        <w:t xml:space="preserve"> Rate 6% (3% + 3%): Rs. 9,00,000 x 6% = Rs. 54,000 (CGST Rs. 27,000 + SGST Rs. 27,000).</w:t>
      </w:r>
    </w:p>
    <w:p>
      <w:pPr>
        <w:spacing w:after="120" w:line="276"/>
        <w:jc w:val="both"/>
      </w:pPr>
      <w:r>
        <w:rPr>
          <w:rFonts w:ascii="Verdana" w:cs="Verdana" w:eastAsia="Verdana" w:hAnsi="Verdana"/>
          <w:b/>
          <w:bCs/>
        </w:rPr>
        <w:t xml:space="preserve">Q 20.</w:t>
      </w:r>
      <w:r>
        <w:rPr>
          <w:rFonts w:ascii="Verdana" w:cs="Verdana" w:eastAsia="Verdana" w:hAnsi="Verdana"/>
        </w:rPr>
        <w:t xml:space="preserve"> Can a composition dealer sell through an e-commerce operator?</w:t>
      </w:r>
    </w:p>
    <w:p>
      <w:pPr>
        <w:spacing w:after="120" w:line="276"/>
        <w:jc w:val="both"/>
      </w:pPr>
      <w:r>
        <w:rPr>
          <w:rFonts w:ascii="Verdana" w:cs="Verdana" w:eastAsia="Verdana" w:hAnsi="Verdana"/>
          <w:b/>
          <w:bCs/>
        </w:rPr>
        <w:t xml:space="preserve">Answer:</w:t>
      </w:r>
      <w:r>
        <w:rPr>
          <w:rFonts w:ascii="Verdana" w:cs="Verdana" w:eastAsia="Verdana" w:hAnsi="Verdana"/>
        </w:rPr>
        <w:t xml:space="preserve"> Yes, for intra-State supply of goods, from 1 October 2023.</w:t>
      </w:r>
    </w:p>
    <w:p>
      <w:pPr>
        <w:spacing w:after="120" w:line="276"/>
        <w:jc w:val="both"/>
      </w:pPr>
      <w:r>
        <w:rPr>
          <w:rFonts w:ascii="Verdana" w:cs="Verdana" w:eastAsia="Verdana" w:hAnsi="Verdana"/>
          <w:b/>
          <w:bCs/>
        </w:rPr>
        <w:t xml:space="preserve">Q 21.</w:t>
      </w:r>
      <w:r>
        <w:rPr>
          <w:rFonts w:ascii="Verdana" w:cs="Verdana" w:eastAsia="Verdana" w:hAnsi="Verdana"/>
        </w:rPr>
        <w:t xml:space="preserve"> A standalone restaurant sells food through a food delivery app. Who pays GST?</w:t>
      </w:r>
    </w:p>
    <w:p>
      <w:pPr>
        <w:spacing w:after="120" w:line="276"/>
        <w:jc w:val="both"/>
      </w:pPr>
      <w:r>
        <w:rPr>
          <w:rFonts w:ascii="Verdana" w:cs="Verdana" w:eastAsia="Verdana" w:hAnsi="Verdana"/>
          <w:b/>
          <w:bCs/>
        </w:rPr>
        <w:t xml:space="preserve">Answer:</w:t>
      </w:r>
      <w:r>
        <w:rPr>
          <w:rFonts w:ascii="Verdana" w:cs="Verdana" w:eastAsia="Verdana" w:hAnsi="Verdana"/>
        </w:rPr>
        <w:t xml:space="preserve"> The ECO, at 5%, under section 9(5).</w:t>
      </w:r>
    </w:p>
    <w:p>
      <w:pPr>
        <w:spacing w:after="120" w:line="276"/>
        <w:jc w:val="both"/>
      </w:pPr>
      <w:r>
        <w:rPr>
          <w:rFonts w:ascii="Verdana" w:cs="Verdana" w:eastAsia="Verdana" w:hAnsi="Verdana"/>
          <w:b/>
          <w:bCs/>
        </w:rPr>
        <w:t xml:space="preserve">Q 22.</w:t>
      </w:r>
      <w:r>
        <w:rPr>
          <w:rFonts w:ascii="Verdana" w:cs="Verdana" w:eastAsia="Verdana" w:hAnsi="Verdana"/>
        </w:rPr>
        <w:t xml:space="preserve"> Compute GST on two nights at a hotel room tariff of (a) Rs. 7,000 per night and (b) Rs. 8,000 per night.</w:t>
      </w:r>
    </w:p>
    <w:p>
      <w:pPr>
        <w:spacing w:after="120" w:line="276"/>
        <w:jc w:val="both"/>
      </w:pPr>
      <w:r>
        <w:rPr>
          <w:rFonts w:ascii="Verdana" w:cs="Verdana" w:eastAsia="Verdana" w:hAnsi="Verdana"/>
          <w:b/>
          <w:bCs/>
        </w:rPr>
        <w:t xml:space="preserve">Answer:</w:t>
      </w:r>
      <w:r>
        <w:rPr>
          <w:rFonts w:ascii="Verdana" w:cs="Verdana" w:eastAsia="Verdana" w:hAnsi="Verdana"/>
        </w:rPr>
        <w:t xml:space="preserve"> (a) Rs. 14,000 x 5% = Rs. 700 (Rs. 350 + Rs. 350), without ITC to the hotel.</w:t>
      </w:r>
    </w:p>
    <w:p>
      <w:pPr>
        <w:spacing w:after="120" w:line="276"/>
        <w:jc w:val="both"/>
      </w:pPr>
      <w:r>
        <w:rPr>
          <w:rFonts w:ascii="Verdana" w:cs="Verdana" w:eastAsia="Verdana" w:hAnsi="Verdana"/>
        </w:rPr>
        <w:t xml:space="preserve">(b) Rs. 16,000 x 18% = Rs. 2,880 (Rs. 1,440 + Rs. 1,440), with ITC.</w:t>
      </w:r>
    </w:p>
    <w:p>
      <w:pPr>
        <w:pStyle w:val="Heading2"/>
        <w:keepNext/>
        <w:spacing w:after="120" w:before="240"/>
      </w:pPr>
      <w:r>
        <w:rPr>
          <w:rFonts w:ascii="Verdana" w:cs="Verdana" w:eastAsia="Verdana" w:hAnsi="Verdana"/>
        </w:rPr>
        <w:t xml:space="preserve">Time, value and place of supply</w:t>
      </w:r>
    </w:p>
    <w:p>
      <w:pPr>
        <w:spacing w:after="120" w:line="276"/>
        <w:jc w:val="both"/>
      </w:pPr>
      <w:r>
        <w:rPr>
          <w:rFonts w:ascii="Verdana" w:cs="Verdana" w:eastAsia="Verdana" w:hAnsi="Verdana"/>
          <w:b/>
          <w:bCs/>
        </w:rPr>
        <w:t xml:space="preserve">Q 23.</w:t>
      </w:r>
      <w:r>
        <w:rPr>
          <w:rFonts w:ascii="Verdana" w:cs="Verdana" w:eastAsia="Verdana" w:hAnsi="Verdana"/>
        </w:rPr>
        <w:t xml:space="preserve"> Is GST payable on advance received for supply of goods?</w:t>
      </w:r>
    </w:p>
    <w:p>
      <w:pPr>
        <w:spacing w:after="120" w:line="276"/>
        <w:jc w:val="both"/>
      </w:pPr>
      <w:r>
        <w:rPr>
          <w:rFonts w:ascii="Verdana" w:cs="Verdana" w:eastAsia="Verdana" w:hAnsi="Verdana"/>
          <w:b/>
          <w:bCs/>
        </w:rPr>
        <w:t xml:space="preserve">Answer:</w:t>
      </w:r>
      <w:r>
        <w:rPr>
          <w:rFonts w:ascii="Verdana" w:cs="Verdana" w:eastAsia="Verdana" w:hAnsi="Verdana"/>
        </w:rPr>
        <w:t xml:space="preserve"> No (except for composition taxpayers). For services, it is.</w:t>
      </w:r>
    </w:p>
    <w:p>
      <w:pPr>
        <w:spacing w:after="120" w:line="276"/>
        <w:jc w:val="both"/>
      </w:pPr>
      <w:r>
        <w:rPr>
          <w:rFonts w:ascii="Verdana" w:cs="Verdana" w:eastAsia="Verdana" w:hAnsi="Verdana"/>
          <w:b/>
          <w:bCs/>
        </w:rPr>
        <w:t xml:space="preserve">Q 24.</w:t>
      </w:r>
      <w:r>
        <w:rPr>
          <w:rFonts w:ascii="Verdana" w:cs="Verdana" w:eastAsia="Verdana" w:hAnsi="Verdana"/>
        </w:rPr>
        <w:t xml:space="preserve"> Rahul Consultants receives an advance of Rs. 1,18,000 (inclusive of 18% GST) on 10 June for services. What tax is due and when?</w:t>
      </w:r>
    </w:p>
    <w:p>
      <w:pPr>
        <w:spacing w:after="120" w:line="276"/>
        <w:jc w:val="both"/>
      </w:pPr>
      <w:r>
        <w:rPr>
          <w:rFonts w:ascii="Verdana" w:cs="Verdana" w:eastAsia="Verdana" w:hAnsi="Verdana"/>
          <w:b/>
          <w:bCs/>
        </w:rPr>
        <w:t xml:space="preserve">Answer:</w:t>
      </w:r>
      <w:r>
        <w:rPr>
          <w:rFonts w:ascii="Verdana" w:cs="Verdana" w:eastAsia="Verdana" w:hAnsi="Verdana"/>
        </w:rPr>
        <w:t xml:space="preserve"> Time of supply is the date of receipt, 10 June, as it is earlier than the invoice.</w:t>
      </w:r>
    </w:p>
    <w:p>
      <w:pPr>
        <w:spacing w:after="120" w:line="276"/>
        <w:jc w:val="both"/>
      </w:pPr>
      <w:r>
        <w:rPr>
          <w:rFonts w:ascii="Verdana" w:cs="Verdana" w:eastAsia="Verdana" w:hAnsi="Verdana"/>
        </w:rPr>
        <w:t xml:space="preserve">Tax = Rs. 1,18,000 x 18/118 = Rs. 18,000. A receipt voucher is issued.</w:t>
      </w:r>
    </w:p>
    <w:p>
      <w:pPr>
        <w:spacing w:after="120" w:line="276"/>
        <w:jc w:val="both"/>
      </w:pPr>
      <w:r>
        <w:rPr>
          <w:rFonts w:ascii="Verdana" w:cs="Verdana" w:eastAsia="Verdana" w:hAnsi="Verdana"/>
          <w:b/>
          <w:bCs/>
        </w:rPr>
        <w:t xml:space="preserve">Q 25.</w:t>
      </w:r>
      <w:r>
        <w:rPr>
          <w:rFonts w:ascii="Verdana" w:cs="Verdana" w:eastAsia="Verdana" w:hAnsi="Verdana"/>
        </w:rPr>
        <w:t xml:space="preserve"> Under reverse charge, invoice dated 1 May, payment made 20 May. What is the time of supply for services?</w:t>
      </w:r>
    </w:p>
    <w:p>
      <w:pPr>
        <w:spacing w:after="120" w:line="276"/>
        <w:jc w:val="both"/>
      </w:pPr>
      <w:r>
        <w:rPr>
          <w:rFonts w:ascii="Verdana" w:cs="Verdana" w:eastAsia="Verdana" w:hAnsi="Verdana"/>
          <w:b/>
          <w:bCs/>
        </w:rPr>
        <w:t xml:space="preserve">Answer:</w:t>
      </w:r>
      <w:r>
        <w:rPr>
          <w:rFonts w:ascii="Verdana" w:cs="Verdana" w:eastAsia="Verdana" w:hAnsi="Verdana"/>
        </w:rPr>
        <w:t xml:space="preserve"> 20 May, the date of payment (section 13(3)).</w:t>
      </w:r>
    </w:p>
    <w:p>
      <w:pPr>
        <w:spacing w:after="120" w:line="276"/>
        <w:jc w:val="both"/>
      </w:pPr>
      <w:r>
        <w:rPr>
          <w:rFonts w:ascii="Verdana" w:cs="Verdana" w:eastAsia="Verdana" w:hAnsi="Verdana"/>
          <w:b/>
          <w:bCs/>
        </w:rPr>
        <w:t xml:space="preserve">Q 26.</w:t>
      </w:r>
      <w:r>
        <w:rPr>
          <w:rFonts w:ascii="Verdana" w:cs="Verdana" w:eastAsia="Verdana" w:hAnsi="Verdana"/>
        </w:rPr>
        <w:t xml:space="preserve"> A 43-inch television was delivered on 15 September 2025, invoiced on 16 September 2025 and paid for on 25 September 2025. The rate fell from 28% to 18% on 22 September 2025. Which rate applies?</w:t>
      </w:r>
    </w:p>
    <w:p>
      <w:pPr>
        <w:spacing w:after="120" w:line="276"/>
        <w:jc w:val="both"/>
      </w:pPr>
      <w:r>
        <w:rPr>
          <w:rFonts w:ascii="Verdana" w:cs="Verdana" w:eastAsia="Verdana" w:hAnsi="Verdana"/>
          <w:b/>
          <w:bCs/>
        </w:rPr>
        <w:t xml:space="preserve">Answer:</w:t>
      </w:r>
      <w:r>
        <w:rPr>
          <w:rFonts w:ascii="Verdana" w:cs="Verdana" w:eastAsia="Verdana" w:hAnsi="Verdana"/>
        </w:rPr>
        <w:t xml:space="preserve"> Section 14(a)(ii): supply before the change, invoice before, payment after. Time of supply is the invoice date, so the old rate of 28% applies.</w:t>
      </w:r>
    </w:p>
    <w:p>
      <w:pPr>
        <w:spacing w:after="120" w:line="276"/>
        <w:jc w:val="both"/>
      </w:pPr>
      <w:r>
        <w:rPr>
          <w:rFonts w:ascii="Verdana" w:cs="Verdana" w:eastAsia="Verdana" w:hAnsi="Verdana"/>
          <w:b/>
          <w:bCs/>
        </w:rPr>
        <w:t xml:space="preserve">Q 27.</w:t>
      </w:r>
      <w:r>
        <w:rPr>
          <w:rFonts w:ascii="Verdana" w:cs="Verdana" w:eastAsia="Verdana" w:hAnsi="Verdana"/>
        </w:rPr>
        <w:t xml:space="preserve"> Compute GST: list price Rs. 5,00,000, trade discount 10% shown on invoice, packing Rs. 5,000, freight by supplier to buyer's site Rs. 10,000.</w:t>
      </w:r>
    </w:p>
    <w:p>
      <w:pPr>
        <w:spacing w:after="120" w:line="276"/>
        <w:jc w:val="both"/>
      </w:pPr>
      <w:r>
        <w:rPr>
          <w:rFonts w:ascii="Verdana" w:cs="Verdana" w:eastAsia="Verdana" w:hAnsi="Verdana"/>
          <w:b/>
          <w:bCs/>
        </w:rPr>
        <w:t xml:space="preserve">Answer:</w:t>
      </w:r>
      <w:r>
        <w:rPr>
          <w:rFonts w:ascii="Verdana" w:cs="Verdana" w:eastAsia="Verdana" w:hAnsi="Verdana"/>
        </w:rPr>
        <w:t xml:space="preserve"> Value = Rs. 4,50,000 + Rs. 5,000 + Rs. 10,000 = Rs. 4,65,000 (discount on invoice excluded under section 15(3)(a); packing and freight form part of the composite supply).</w:t>
      </w:r>
    </w:p>
    <w:p>
      <w:pPr>
        <w:spacing w:after="120" w:line="276"/>
        <w:jc w:val="both"/>
      </w:pPr>
      <w:r>
        <w:rPr>
          <w:rFonts w:ascii="Verdana" w:cs="Verdana" w:eastAsia="Verdana" w:hAnsi="Verdana"/>
        </w:rPr>
        <w:t xml:space="preserve">GST at 18% = Rs. 83,700.</w:t>
      </w:r>
    </w:p>
    <w:p>
      <w:pPr>
        <w:spacing w:after="120" w:line="276"/>
        <w:jc w:val="both"/>
      </w:pPr>
      <w:r>
        <w:rPr>
          <w:rFonts w:ascii="Verdana" w:cs="Verdana" w:eastAsia="Verdana" w:hAnsi="Verdana"/>
          <w:b/>
          <w:bCs/>
        </w:rPr>
        <w:t xml:space="preserve">Q 28.</w:t>
      </w:r>
      <w:r>
        <w:rPr>
          <w:rFonts w:ascii="Verdana" w:cs="Verdana" w:eastAsia="Verdana" w:hAnsi="Verdana"/>
        </w:rPr>
        <w:t xml:space="preserve"> Can a supplier now reduce value for post-sale discounts without a prior agreement?</w:t>
      </w:r>
    </w:p>
    <w:p>
      <w:pPr>
        <w:spacing w:after="120" w:line="276"/>
        <w:jc w:val="both"/>
      </w:pPr>
      <w:r>
        <w:rPr>
          <w:rFonts w:ascii="Verdana" w:cs="Verdana" w:eastAsia="Verdana" w:hAnsi="Verdana"/>
          <w:b/>
          <w:bCs/>
        </w:rPr>
        <w:t xml:space="preserve">Answer:</w:t>
      </w:r>
      <w:r>
        <w:rPr>
          <w:rFonts w:ascii="Verdana" w:cs="Verdana" w:eastAsia="Verdana" w:hAnsi="Verdana"/>
        </w:rPr>
        <w:t xml:space="preserve"> Not yet. The Finance Act, 2026 amendment to section 15(3)(b) is not notified; the old conditions apply.</w:t>
      </w:r>
    </w:p>
    <w:p>
      <w:pPr>
        <w:spacing w:after="120" w:line="276"/>
        <w:jc w:val="both"/>
      </w:pPr>
      <w:r>
        <w:rPr>
          <w:rFonts w:ascii="Verdana" w:cs="Verdana" w:eastAsia="Verdana" w:hAnsi="Verdana"/>
          <w:b/>
          <w:bCs/>
        </w:rPr>
        <w:t xml:space="preserve">Q 29.</w:t>
      </w:r>
      <w:r>
        <w:rPr>
          <w:rFonts w:ascii="Verdana" w:cs="Verdana" w:eastAsia="Verdana" w:hAnsi="Verdana"/>
        </w:rPr>
        <w:t xml:space="preserve"> A customs broker pays customs duty for a client and recovers it. Is it part of the value of the broker's service?</w:t>
      </w:r>
    </w:p>
    <w:p>
      <w:pPr>
        <w:spacing w:after="120" w:line="276"/>
        <w:jc w:val="both"/>
      </w:pPr>
      <w:r>
        <w:rPr>
          <w:rFonts w:ascii="Verdana" w:cs="Verdana" w:eastAsia="Verdana" w:hAnsi="Verdana"/>
          <w:b/>
          <w:bCs/>
        </w:rPr>
        <w:t xml:space="preserve">Answer:</w:t>
      </w:r>
      <w:r>
        <w:rPr>
          <w:rFonts w:ascii="Verdana" w:cs="Verdana" w:eastAsia="Verdana" w:hAnsi="Verdana"/>
        </w:rPr>
        <w:t xml:space="preserve"> No, if rule 33 pure agent conditions are met.</w:t>
      </w:r>
    </w:p>
    <w:p>
      <w:pPr>
        <w:spacing w:after="120" w:line="276"/>
        <w:jc w:val="both"/>
      </w:pPr>
      <w:r>
        <w:rPr>
          <w:rFonts w:ascii="Verdana" w:cs="Verdana" w:eastAsia="Verdana" w:hAnsi="Verdana"/>
          <w:b/>
          <w:bCs/>
        </w:rPr>
        <w:t xml:space="preserve">Q 30.</w:t>
      </w:r>
      <w:r>
        <w:rPr>
          <w:rFonts w:ascii="Verdana" w:cs="Verdana" w:eastAsia="Verdana" w:hAnsi="Verdana"/>
        </w:rPr>
        <w:t xml:space="preserve"> A holding company gives a corporate guarantee of Rs. 20 crore for its subsidiary's loan without charging a fee. What is the value?</w:t>
      </w:r>
    </w:p>
    <w:p>
      <w:pPr>
        <w:spacing w:after="120" w:line="276"/>
        <w:jc w:val="both"/>
      </w:pPr>
      <w:r>
        <w:rPr>
          <w:rFonts w:ascii="Verdana" w:cs="Verdana" w:eastAsia="Verdana" w:hAnsi="Verdana"/>
          <w:b/>
          <w:bCs/>
        </w:rPr>
        <w:t xml:space="preserve">Answer:</w:t>
      </w:r>
      <w:r>
        <w:rPr>
          <w:rFonts w:ascii="Verdana" w:cs="Verdana" w:eastAsia="Verdana" w:hAnsi="Verdana"/>
        </w:rPr>
        <w:t xml:space="preserve"> Rule 28(2): 1% of the guarantee amount per year or actual consideration, whichever is higher, that is Rs. 20 lakh; GST at 18% is Rs. 3,60,000. Where the subsidiary is eligible for full ITC, the proviso to rule 28(2), inserted in 2024 and explained in Circular 225/19/2024-GST, allows the invoice value to be taken as the value.</w:t>
      </w:r>
    </w:p>
    <w:p>
      <w:pPr>
        <w:spacing w:after="120" w:line="276"/>
        <w:jc w:val="both"/>
      </w:pPr>
      <w:r>
        <w:rPr>
          <w:rFonts w:ascii="Verdana" w:cs="Verdana" w:eastAsia="Verdana" w:hAnsi="Verdana"/>
          <w:b/>
          <w:bCs/>
        </w:rPr>
        <w:t xml:space="preserve">Q 31.</w:t>
      </w:r>
      <w:r>
        <w:rPr>
          <w:rFonts w:ascii="Verdana" w:cs="Verdana" w:eastAsia="Verdana" w:hAnsi="Verdana"/>
        </w:rPr>
        <w:t xml:space="preserve"> Delhi supplier sells goods to a Mumbai buyer, who asks them to be shipped to its customer in Ahmedabad. What is the place of supply of the Delhi supplier's sale?</w:t>
      </w:r>
    </w:p>
    <w:p>
      <w:pPr>
        <w:spacing w:after="120" w:line="276"/>
        <w:jc w:val="both"/>
      </w:pPr>
      <w:r>
        <w:rPr>
          <w:rFonts w:ascii="Verdana" w:cs="Verdana" w:eastAsia="Verdana" w:hAnsi="Verdana"/>
          <w:b/>
          <w:bCs/>
        </w:rPr>
        <w:t xml:space="preserve">Answer:</w:t>
      </w:r>
      <w:r>
        <w:rPr>
          <w:rFonts w:ascii="Verdana" w:cs="Verdana" w:eastAsia="Verdana" w:hAnsi="Verdana"/>
        </w:rPr>
        <w:t xml:space="preserve"> Maharashtra, under section 10(1)(b) of the IGST Act. IGST applies.</w:t>
      </w:r>
    </w:p>
    <w:p>
      <w:pPr>
        <w:spacing w:after="120" w:line="276"/>
        <w:jc w:val="both"/>
      </w:pPr>
      <w:r>
        <w:rPr>
          <w:rFonts w:ascii="Verdana" w:cs="Verdana" w:eastAsia="Verdana" w:hAnsi="Verdana"/>
          <w:b/>
          <w:bCs/>
        </w:rPr>
        <w:t xml:space="preserve">Q 32.</w:t>
      </w:r>
      <w:r>
        <w:rPr>
          <w:rFonts w:ascii="Verdana" w:cs="Verdana" w:eastAsia="Verdana" w:hAnsi="Verdana"/>
        </w:rPr>
        <w:t xml:space="preserve"> A Pune architect designs a building in Goa for a Pune client. What is the place of supply?</w:t>
      </w:r>
    </w:p>
    <w:p>
      <w:pPr>
        <w:spacing w:after="120" w:line="276"/>
        <w:jc w:val="both"/>
      </w:pPr>
      <w:r>
        <w:rPr>
          <w:rFonts w:ascii="Verdana" w:cs="Verdana" w:eastAsia="Verdana" w:hAnsi="Verdana"/>
          <w:b/>
          <w:bCs/>
        </w:rPr>
        <w:t xml:space="preserve">Answer:</w:t>
      </w:r>
      <w:r>
        <w:rPr>
          <w:rFonts w:ascii="Verdana" w:cs="Verdana" w:eastAsia="Verdana" w:hAnsi="Verdana"/>
        </w:rPr>
        <w:t xml:space="preserve"> Goa (section 12(3) of the IGST Act). IGST applies.</w:t>
      </w:r>
    </w:p>
    <w:p>
      <w:pPr>
        <w:spacing w:after="120" w:line="276"/>
        <w:jc w:val="both"/>
      </w:pPr>
      <w:r>
        <w:rPr>
          <w:rFonts w:ascii="Verdana" w:cs="Verdana" w:eastAsia="Verdana" w:hAnsi="Verdana"/>
          <w:b/>
          <w:bCs/>
        </w:rPr>
        <w:t xml:space="preserve">Q 33.</w:t>
      </w:r>
      <w:r>
        <w:rPr>
          <w:rFonts w:ascii="Verdana" w:cs="Verdana" w:eastAsia="Verdana" w:hAnsi="Verdana"/>
        </w:rPr>
        <w:t xml:space="preserve"> What is the place of supply for admission to a concert?</w:t>
      </w:r>
    </w:p>
    <w:p>
      <w:pPr>
        <w:spacing w:after="120" w:line="276"/>
        <w:jc w:val="both"/>
      </w:pPr>
      <w:r>
        <w:rPr>
          <w:rFonts w:ascii="Verdana" w:cs="Verdana" w:eastAsia="Verdana" w:hAnsi="Verdana"/>
          <w:b/>
          <w:bCs/>
        </w:rPr>
        <w:t xml:space="preserve">Answer:</w:t>
      </w:r>
      <w:r>
        <w:rPr>
          <w:rFonts w:ascii="Verdana" w:cs="Verdana" w:eastAsia="Verdana" w:hAnsi="Verdana"/>
        </w:rPr>
        <w:t xml:space="preserve"> Where the event is held (section 12(6) of the IGST Act).</w:t>
      </w:r>
    </w:p>
    <w:p>
      <w:pPr>
        <w:spacing w:after="120" w:line="276"/>
        <w:jc w:val="both"/>
      </w:pPr>
      <w:r>
        <w:rPr>
          <w:rFonts w:ascii="Verdana" w:cs="Verdana" w:eastAsia="Verdana" w:hAnsi="Verdana"/>
          <w:b/>
          <w:bCs/>
        </w:rPr>
        <w:t xml:space="preserve">Q 34.</w:t>
      </w:r>
      <w:r>
        <w:rPr>
          <w:rFonts w:ascii="Verdana" w:cs="Verdana" w:eastAsia="Verdana" w:hAnsi="Verdana"/>
        </w:rPr>
        <w:t xml:space="preserve"> An Indian agent arranges sales for a German exporter and receives commission in euro. Is it an export after 30 March 2026?</w:t>
      </w:r>
    </w:p>
    <w:p>
      <w:pPr>
        <w:spacing w:after="120" w:line="276"/>
        <w:jc w:val="both"/>
      </w:pPr>
      <w:r>
        <w:rPr>
          <w:rFonts w:ascii="Verdana" w:cs="Verdana" w:eastAsia="Verdana" w:hAnsi="Verdana"/>
          <w:b/>
          <w:bCs/>
        </w:rPr>
        <w:t xml:space="preserve">Answer:</w:t>
      </w:r>
      <w:r>
        <w:rPr>
          <w:rFonts w:ascii="Verdana" w:cs="Verdana" w:eastAsia="Verdana" w:hAnsi="Verdana"/>
        </w:rPr>
        <w:t xml:space="preserve"> Yes, if section 2(6) conditions are met. With section 13(8)(b) omitted, the place of supply is Germany.</w:t>
      </w:r>
    </w:p>
    <w:p>
      <w:pPr>
        <w:spacing w:after="120" w:line="276"/>
        <w:jc w:val="both"/>
      </w:pPr>
      <w:r>
        <w:rPr>
          <w:rFonts w:ascii="Verdana" w:cs="Verdana" w:eastAsia="Verdana" w:hAnsi="Verdana"/>
          <w:b/>
          <w:bCs/>
        </w:rPr>
        <w:t xml:space="preserve">Q 35.</w:t>
      </w:r>
      <w:r>
        <w:rPr>
          <w:rFonts w:ascii="Verdana" w:cs="Verdana" w:eastAsia="Verdana" w:hAnsi="Verdana"/>
        </w:rPr>
        <w:t xml:space="preserve"> List the conditions for export of services.</w:t>
      </w:r>
    </w:p>
    <w:p>
      <w:pPr>
        <w:spacing w:after="120" w:line="276"/>
        <w:jc w:val="both"/>
      </w:pPr>
      <w:r>
        <w:rPr>
          <w:rFonts w:ascii="Verdana" w:cs="Verdana" w:eastAsia="Verdana" w:hAnsi="Verdana"/>
          <w:b/>
          <w:bCs/>
        </w:rPr>
        <w:t xml:space="preserve">Answer:</w:t>
      </w:r>
      <w:r>
        <w:rPr>
          <w:rFonts w:ascii="Verdana" w:cs="Verdana" w:eastAsia="Verdana" w:hAnsi="Verdana"/>
        </w:rPr>
        <w:t xml:space="preserve"> Section 2(6) of the IGST Act: supplier in India; recipient outside India; place of supply outside India; payment in convertible foreign exchange or in Indian rupees where RBI permits; supplier and recipient not merely establishments of the same person.</w:t>
      </w:r>
    </w:p>
    <w:p>
      <w:pPr>
        <w:spacing w:after="120" w:line="276"/>
        <w:jc w:val="both"/>
      </w:pPr>
      <w:r>
        <w:rPr>
          <w:rFonts w:ascii="Verdana" w:cs="Verdana" w:eastAsia="Verdana" w:hAnsi="Verdana"/>
          <w:b/>
          <w:bCs/>
        </w:rPr>
        <w:t xml:space="preserve">Q 36.</w:t>
      </w:r>
      <w:r>
        <w:rPr>
          <w:rFonts w:ascii="Verdana" w:cs="Verdana" w:eastAsia="Verdana" w:hAnsi="Verdana"/>
        </w:rPr>
        <w:t xml:space="preserve"> An Indian company receives staff on secondment from its foreign parent. Is GST payable?</w:t>
      </w:r>
    </w:p>
    <w:p>
      <w:pPr>
        <w:spacing w:after="120" w:line="276"/>
        <w:jc w:val="both"/>
      </w:pPr>
      <w:r>
        <w:rPr>
          <w:rFonts w:ascii="Verdana" w:cs="Verdana" w:eastAsia="Verdana" w:hAnsi="Verdana"/>
          <w:b/>
          <w:bCs/>
        </w:rPr>
        <w:t xml:space="preserve">Answer:</w:t>
      </w:r>
      <w:r>
        <w:rPr>
          <w:rFonts w:ascii="Verdana" w:cs="Verdana" w:eastAsia="Verdana" w:hAnsi="Verdana"/>
        </w:rPr>
        <w:t xml:space="preserve"> Yes, under reverse charge (Northern Operating Systems, Supreme Court, 2022). Circular 210/4/2024 accepts the declared value where full ITC is available.</w:t>
      </w:r>
    </w:p>
    <w:p>
      <w:pPr>
        <w:pStyle w:val="Heading2"/>
        <w:keepNext/>
        <w:spacing w:after="120" w:before="240"/>
      </w:pPr>
      <w:r>
        <w:rPr>
          <w:rFonts w:ascii="Verdana" w:cs="Verdana" w:eastAsia="Verdana" w:hAnsi="Verdana"/>
        </w:rPr>
        <w:t xml:space="preserve">Input tax credit</w:t>
      </w:r>
    </w:p>
    <w:p>
      <w:pPr>
        <w:spacing w:after="120" w:line="276"/>
        <w:jc w:val="both"/>
      </w:pPr>
      <w:r>
        <w:rPr>
          <w:rFonts w:ascii="Verdana" w:cs="Verdana" w:eastAsia="Verdana" w:hAnsi="Verdana"/>
          <w:b/>
          <w:bCs/>
        </w:rPr>
        <w:t xml:space="preserve">Q 37.</w:t>
      </w:r>
      <w:r>
        <w:rPr>
          <w:rFonts w:ascii="Verdana" w:cs="Verdana" w:eastAsia="Verdana" w:hAnsi="Verdana"/>
        </w:rPr>
        <w:t xml:space="preserve"> What are the conditions under section 16(2)?</w:t>
      </w:r>
    </w:p>
    <w:p>
      <w:pPr>
        <w:spacing w:after="120" w:line="276"/>
        <w:jc w:val="both"/>
      </w:pPr>
      <w:r>
        <w:rPr>
          <w:rFonts w:ascii="Verdana" w:cs="Verdana" w:eastAsia="Verdana" w:hAnsi="Verdana"/>
          <w:b/>
          <w:bCs/>
        </w:rPr>
        <w:t xml:space="preserve">Answer:</w:t>
      </w:r>
      <w:r>
        <w:rPr>
          <w:rFonts w:ascii="Verdana" w:cs="Verdana" w:eastAsia="Verdana" w:hAnsi="Verdana"/>
        </w:rPr>
        <w:t xml:space="preserve"> Tax invoice or debit note; goods or services received; invoice appears in GSTR-2B (section 16(2)(aa)); tax actually paid by the supplier; recipient has filed the return. The time limit in section 16(4) also applies.</w:t>
      </w:r>
    </w:p>
    <w:p>
      <w:pPr>
        <w:spacing w:after="120" w:line="276"/>
        <w:jc w:val="both"/>
      </w:pPr>
      <w:r>
        <w:rPr>
          <w:rFonts w:ascii="Verdana" w:cs="Verdana" w:eastAsia="Verdana" w:hAnsi="Verdana"/>
          <w:b/>
          <w:bCs/>
        </w:rPr>
        <w:t xml:space="preserve">Q 38.</w:t>
      </w:r>
      <w:r>
        <w:rPr>
          <w:rFonts w:ascii="Verdana" w:cs="Verdana" w:eastAsia="Verdana" w:hAnsi="Verdana"/>
        </w:rPr>
        <w:t xml:space="preserve"> An invoice dated 10 January 2026 for Rs. 1,00,000 plus GST Rs. 18,000 is unpaid. When is ITC reversed?</w:t>
      </w:r>
    </w:p>
    <w:p>
      <w:pPr>
        <w:spacing w:after="120" w:line="276"/>
        <w:jc w:val="both"/>
      </w:pPr>
      <w:r>
        <w:rPr>
          <w:rFonts w:ascii="Verdana" w:cs="Verdana" w:eastAsia="Verdana" w:hAnsi="Verdana"/>
          <w:b/>
          <w:bCs/>
        </w:rPr>
        <w:t xml:space="preserve">Answer:</w:t>
      </w:r>
      <w:r>
        <w:rPr>
          <w:rFonts w:ascii="Verdana" w:cs="Verdana" w:eastAsia="Verdana" w:hAnsi="Verdana"/>
        </w:rPr>
        <w:t xml:space="preserve"> Rule 37: if not paid within 180 days of the invoice date, Rs. 18,000 is reversed in the return for the month in which 180 days expire (July 2026), with interest under section 50 where the credit was utilised. It is re-availed on payment.</w:t>
      </w:r>
    </w:p>
    <w:p>
      <w:pPr>
        <w:spacing w:after="120" w:line="276"/>
        <w:jc w:val="both"/>
      </w:pPr>
      <w:r>
        <w:rPr>
          <w:rFonts w:ascii="Verdana" w:cs="Verdana" w:eastAsia="Verdana" w:hAnsi="Verdana"/>
          <w:b/>
          <w:bCs/>
        </w:rPr>
        <w:t xml:space="preserve">Q 39.</w:t>
      </w:r>
      <w:r>
        <w:rPr>
          <w:rFonts w:ascii="Verdana" w:cs="Verdana" w:eastAsia="Verdana" w:hAnsi="Verdana"/>
        </w:rPr>
        <w:t xml:space="preserve"> Is ITC available on a 7-seater car used by sales staff?</w:t>
      </w:r>
    </w:p>
    <w:p>
      <w:pPr>
        <w:spacing w:after="120" w:line="276"/>
        <w:jc w:val="both"/>
      </w:pPr>
      <w:r>
        <w:rPr>
          <w:rFonts w:ascii="Verdana" w:cs="Verdana" w:eastAsia="Verdana" w:hAnsi="Verdana"/>
          <w:b/>
          <w:bCs/>
        </w:rPr>
        <w:t xml:space="preserve">Answer:</w:t>
      </w:r>
      <w:r>
        <w:rPr>
          <w:rFonts w:ascii="Verdana" w:cs="Verdana" w:eastAsia="Verdana" w:hAnsi="Verdana"/>
        </w:rPr>
        <w:t xml:space="preserve"> No. Section 17(5)(a) blocks ITC on motor vehicles for transport of persons with seating capacity up to 13 including the driver, except when used for further supply of such vehicles, passenger transport or training in driving.</w:t>
      </w:r>
    </w:p>
    <w:p>
      <w:pPr>
        <w:spacing w:after="120" w:line="276"/>
        <w:jc w:val="both"/>
      </w:pPr>
      <w:r>
        <w:rPr>
          <w:rFonts w:ascii="Verdana" w:cs="Verdana" w:eastAsia="Verdana" w:hAnsi="Verdana"/>
          <w:b/>
          <w:bCs/>
        </w:rPr>
        <w:t xml:space="preserve">Q 40.</w:t>
      </w:r>
      <w:r>
        <w:rPr>
          <w:rFonts w:ascii="Verdana" w:cs="Verdana" w:eastAsia="Verdana" w:hAnsi="Verdana"/>
        </w:rPr>
        <w:t xml:space="preserve"> Can ITC be claimed on construction of a mall to be let out?</w:t>
      </w:r>
    </w:p>
    <w:p>
      <w:pPr>
        <w:spacing w:after="120" w:line="276"/>
        <w:jc w:val="both"/>
      </w:pPr>
      <w:r>
        <w:rPr>
          <w:rFonts w:ascii="Verdana" w:cs="Verdana" w:eastAsia="Verdana" w:hAnsi="Verdana"/>
          <w:b/>
          <w:bCs/>
        </w:rPr>
        <w:t xml:space="preserve">Answer:</w:t>
      </w:r>
      <w:r>
        <w:rPr>
          <w:rFonts w:ascii="Verdana" w:cs="Verdana" w:eastAsia="Verdana" w:hAnsi="Verdana"/>
        </w:rPr>
        <w:t xml:space="preserve"> No. The Finance Act, 2025 amendment to section 17(5)(d) undid Safari Retreats retrospectively.</w:t>
      </w:r>
    </w:p>
    <w:p>
      <w:pPr>
        <w:spacing w:after="120" w:line="276"/>
        <w:jc w:val="both"/>
      </w:pPr>
      <w:r>
        <w:rPr>
          <w:rFonts w:ascii="Verdana" w:cs="Verdana" w:eastAsia="Verdana" w:hAnsi="Verdana"/>
          <w:b/>
          <w:bCs/>
        </w:rPr>
        <w:t xml:space="preserve">Q 41.</w:t>
      </w:r>
      <w:r>
        <w:rPr>
          <w:rFonts w:ascii="Verdana" w:cs="Verdana" w:eastAsia="Verdana" w:hAnsi="Verdana"/>
        </w:rPr>
        <w:t xml:space="preserve"> Common ITC on inputs and input services is Rs. 3,00,000. Exempt turnover is Rs. 20 lakh, total turnover Rs. 1.2 crore. Inputs are also partly used for non-business purposes. Compute eligible credit under rule 42.</w:t>
      </w:r>
    </w:p>
    <w:p>
      <w:pPr>
        <w:spacing w:after="120" w:line="276"/>
        <w:jc w:val="both"/>
      </w:pPr>
      <w:r>
        <w:rPr>
          <w:rFonts w:ascii="Verdana" w:cs="Verdana" w:eastAsia="Verdana" w:hAnsi="Verdana"/>
          <w:b/>
          <w:bCs/>
        </w:rPr>
        <w:t xml:space="preserve">Answer:</w:t>
      </w:r>
      <w:r>
        <w:rPr>
          <w:rFonts w:ascii="Verdana" w:cs="Verdana" w:eastAsia="Verdana" w:hAnsi="Verdana"/>
        </w:rPr>
        <w:t xml:space="preserve"> D1 = Rs. 3,00,000 x 20/120 = Rs. 50,000.</w:t>
      </w:r>
    </w:p>
    <w:p>
      <w:pPr>
        <w:spacing w:after="120" w:line="276"/>
        <w:jc w:val="both"/>
      </w:pPr>
      <w:r>
        <w:rPr>
          <w:rFonts w:ascii="Verdana" w:cs="Verdana" w:eastAsia="Verdana" w:hAnsi="Verdana"/>
        </w:rPr>
        <w:t xml:space="preserve">D2 = 5% of Rs. 3,00,000 = Rs. 15,000.</w:t>
      </w:r>
    </w:p>
    <w:p>
      <w:pPr>
        <w:spacing w:after="120" w:line="276"/>
        <w:jc w:val="both"/>
      </w:pPr>
      <w:r>
        <w:rPr>
          <w:rFonts w:ascii="Verdana" w:cs="Verdana" w:eastAsia="Verdana" w:hAnsi="Verdana"/>
        </w:rPr>
        <w:t xml:space="preserve">Eligible common credit = Rs. 3,00,000 less Rs. 50,000 less Rs. 15,000 = Rs. 2,35,000.</w:t>
      </w:r>
    </w:p>
    <w:p>
      <w:pPr>
        <w:spacing w:after="120" w:line="276"/>
        <w:jc w:val="both"/>
      </w:pPr>
      <w:r>
        <w:rPr>
          <w:rFonts w:ascii="Verdana" w:cs="Verdana" w:eastAsia="Verdana" w:hAnsi="Verdana"/>
          <w:b/>
          <w:bCs/>
        </w:rPr>
        <w:t xml:space="preserve">Q 42.</w:t>
      </w:r>
      <w:r>
        <w:rPr>
          <w:rFonts w:ascii="Verdana" w:cs="Verdana" w:eastAsia="Verdana" w:hAnsi="Verdana"/>
        </w:rPr>
        <w:t xml:space="preserve"> ITC on a common capital asset is Rs. 1,80,000. Exempt turnover is 25% of total. Compute monthly reversal under rule 43.</w:t>
      </w:r>
    </w:p>
    <w:p>
      <w:pPr>
        <w:spacing w:after="120" w:line="276"/>
        <w:jc w:val="both"/>
      </w:pPr>
      <w:r>
        <w:rPr>
          <w:rFonts w:ascii="Verdana" w:cs="Verdana" w:eastAsia="Verdana" w:hAnsi="Verdana"/>
          <w:b/>
          <w:bCs/>
        </w:rPr>
        <w:t xml:space="preserve">Answer:</w:t>
      </w:r>
      <w:r>
        <w:rPr>
          <w:rFonts w:ascii="Verdana" w:cs="Verdana" w:eastAsia="Verdana" w:hAnsi="Verdana"/>
        </w:rPr>
        <w:t xml:space="preserve"> Useful life 60 months. Tm = Rs. 1,80,000 / 60 = Rs. 3,000 per month.</w:t>
      </w:r>
    </w:p>
    <w:p>
      <w:pPr>
        <w:spacing w:after="120" w:line="276"/>
        <w:jc w:val="both"/>
      </w:pPr>
      <w:r>
        <w:rPr>
          <w:rFonts w:ascii="Verdana" w:cs="Verdana" w:eastAsia="Verdana" w:hAnsi="Verdana"/>
        </w:rPr>
        <w:t xml:space="preserve">Te = 25% x Rs. 3,000 = Rs. 750 per month, reversed in each month's return.</w:t>
      </w:r>
    </w:p>
    <w:p>
      <w:pPr>
        <w:spacing w:after="120" w:line="276"/>
        <w:jc w:val="both"/>
      </w:pPr>
      <w:r>
        <w:rPr>
          <w:rFonts w:ascii="Verdana" w:cs="Verdana" w:eastAsia="Verdana" w:hAnsi="Verdana"/>
          <w:b/>
          <w:bCs/>
        </w:rPr>
        <w:t xml:space="preserve">Q 43.</w:t>
      </w:r>
      <w:r>
        <w:rPr>
          <w:rFonts w:ascii="Verdana" w:cs="Verdana" w:eastAsia="Verdana" w:hAnsi="Verdana"/>
        </w:rPr>
        <w:t xml:space="preserve"> When can a supplier reduce output tax for a credit note?</w:t>
      </w:r>
    </w:p>
    <w:p>
      <w:pPr>
        <w:spacing w:after="120" w:line="276"/>
        <w:jc w:val="both"/>
      </w:pPr>
      <w:r>
        <w:rPr>
          <w:rFonts w:ascii="Verdana" w:cs="Verdana" w:eastAsia="Verdana" w:hAnsi="Verdana"/>
          <w:b/>
          <w:bCs/>
        </w:rPr>
        <w:t xml:space="preserve">Answer:</w:t>
      </w:r>
      <w:r>
        <w:rPr>
          <w:rFonts w:ascii="Verdana" w:cs="Verdana" w:eastAsia="Verdana" w:hAnsi="Verdana"/>
        </w:rPr>
        <w:t xml:space="preserve"> Only if the recipient has reversed the ITC (section 34(2)).</w:t>
      </w:r>
    </w:p>
    <w:p>
      <w:pPr>
        <w:spacing w:after="120" w:line="276"/>
        <w:jc w:val="both"/>
      </w:pPr>
      <w:r>
        <w:rPr>
          <w:rFonts w:ascii="Verdana" w:cs="Verdana" w:eastAsia="Verdana" w:hAnsi="Verdana"/>
          <w:b/>
          <w:bCs/>
        </w:rPr>
        <w:t xml:space="preserve">Q 44.</w:t>
      </w:r>
      <w:r>
        <w:rPr>
          <w:rFonts w:ascii="Verdana" w:cs="Verdana" w:eastAsia="Verdana" w:hAnsi="Verdana"/>
        </w:rPr>
        <w:t xml:space="preserve"> Output tax is Rs. 10,00,000 in a month and taxable value exceeds Rs. 50 lakh. How much must be paid in cash under rule 86B?</w:t>
      </w:r>
    </w:p>
    <w:p>
      <w:pPr>
        <w:spacing w:after="120" w:line="276"/>
        <w:jc w:val="both"/>
      </w:pPr>
      <w:r>
        <w:rPr>
          <w:rFonts w:ascii="Verdana" w:cs="Verdana" w:eastAsia="Verdana" w:hAnsi="Verdana"/>
          <w:b/>
          <w:bCs/>
        </w:rPr>
        <w:t xml:space="preserve">Answer:</w:t>
      </w:r>
      <w:r>
        <w:rPr>
          <w:rFonts w:ascii="Verdana" w:cs="Verdana" w:eastAsia="Verdana" w:hAnsi="Verdana"/>
        </w:rPr>
        <w:t xml:space="preserve"> Rs. 10,000 (1%), unless an exception applies.</w:t>
      </w:r>
    </w:p>
    <w:p>
      <w:pPr>
        <w:spacing w:after="120" w:line="276"/>
        <w:jc w:val="both"/>
      </w:pPr>
      <w:r>
        <w:rPr>
          <w:rFonts w:ascii="Verdana" w:cs="Verdana" w:eastAsia="Verdana" w:hAnsi="Verdana"/>
          <w:b/>
          <w:bCs/>
        </w:rPr>
        <w:t xml:space="preserve">Q 45.</w:t>
      </w:r>
      <w:r>
        <w:rPr>
          <w:rFonts w:ascii="Verdana" w:cs="Verdana" w:eastAsia="Verdana" w:hAnsi="Verdana"/>
        </w:rPr>
        <w:t xml:space="preserve"> Liability: IGST Rs. 1,00,000, CGST Rs. 60,000, SGST Rs. 60,000. Credit: IGST Rs. 1,50,000, CGST Rs. 30,000, SGST Rs. 40,000. Set off.</w:t>
      </w:r>
    </w:p>
    <w:p>
      <w:pPr>
        <w:spacing w:after="120" w:line="276"/>
        <w:jc w:val="both"/>
      </w:pPr>
      <w:r>
        <w:rPr>
          <w:rFonts w:ascii="Verdana" w:cs="Verdana" w:eastAsia="Verdana" w:hAnsi="Verdana"/>
          <w:b/>
          <w:bCs/>
        </w:rPr>
        <w:t xml:space="preserve">Answer:</w:t>
      </w:r>
      <w:r>
        <w:rPr>
          <w:rFonts w:ascii="Verdana" w:cs="Verdana" w:eastAsia="Verdana" w:hAnsi="Verdana"/>
        </w:rPr>
        <w:t xml:space="preserve"> IGST credit first: Rs. 1,00,000 against IGST; balance Rs. 50,000 against CGST Rs. 30,000 and SGST Rs. 20,000.</w:t>
      </w:r>
    </w:p>
    <w:p>
      <w:pPr>
        <w:spacing w:after="120" w:line="276"/>
        <w:jc w:val="both"/>
      </w:pPr>
      <w:r>
        <w:rPr>
          <w:rFonts w:ascii="Verdana" w:cs="Verdana" w:eastAsia="Verdana" w:hAnsi="Verdana"/>
        </w:rPr>
        <w:t xml:space="preserve">CGST credit Rs. 30,000 against CGST; SGST credit Rs. 40,000 against SGST.</w:t>
      </w:r>
    </w:p>
    <w:p>
      <w:pPr>
        <w:spacing w:after="120" w:line="276"/>
        <w:jc w:val="both"/>
      </w:pPr>
      <w:r>
        <w:rPr>
          <w:rFonts w:ascii="Verdana" w:cs="Verdana" w:eastAsia="Verdana" w:hAnsi="Verdana"/>
        </w:rPr>
        <w:t xml:space="preserve">Total CGST Rs. 60,000 and SGST Rs. 60,000 are met. Cash payable: nil.</w:t>
      </w:r>
    </w:p>
    <w:p>
      <w:pPr>
        <w:spacing w:after="120" w:line="276"/>
        <w:jc w:val="both"/>
      </w:pPr>
      <w:r>
        <w:rPr>
          <w:rFonts w:ascii="Verdana" w:cs="Verdana" w:eastAsia="Verdana" w:hAnsi="Verdana"/>
          <w:b/>
          <w:bCs/>
        </w:rPr>
        <w:t xml:space="preserve">Q 46.</w:t>
      </w:r>
      <w:r>
        <w:rPr>
          <w:rFonts w:ascii="Verdana" w:cs="Verdana" w:eastAsia="Verdana" w:hAnsi="Verdana"/>
        </w:rPr>
        <w:t xml:space="preserve"> Is ISD registration optional?</w:t>
      </w:r>
    </w:p>
    <w:p>
      <w:pPr>
        <w:spacing w:after="120" w:line="276"/>
        <w:jc w:val="both"/>
      </w:pPr>
      <w:r>
        <w:rPr>
          <w:rFonts w:ascii="Verdana" w:cs="Verdana" w:eastAsia="Verdana" w:hAnsi="Verdana"/>
          <w:b/>
          <w:bCs/>
        </w:rPr>
        <w:t xml:space="preserve">Answer:</w:t>
      </w:r>
      <w:r>
        <w:rPr>
          <w:rFonts w:ascii="Verdana" w:cs="Verdana" w:eastAsia="Verdana" w:hAnsi="Verdana"/>
        </w:rPr>
        <w:t xml:space="preserve"> No. It is mandatory from 1 April 2025.</w:t>
      </w:r>
    </w:p>
    <w:p>
      <w:pPr>
        <w:spacing w:after="120" w:line="276"/>
        <w:jc w:val="both"/>
      </w:pPr>
      <w:r>
        <w:rPr>
          <w:rFonts w:ascii="Verdana" w:cs="Verdana" w:eastAsia="Verdana" w:hAnsi="Verdana"/>
          <w:b/>
          <w:bCs/>
        </w:rPr>
        <w:t xml:space="preserve">Q 47.</w:t>
      </w:r>
      <w:r>
        <w:rPr>
          <w:rFonts w:ascii="Verdana" w:cs="Verdana" w:eastAsia="Verdana" w:hAnsi="Verdana"/>
        </w:rPr>
        <w:t xml:space="preserve"> On new registration, can a business claim ITC on opening stock?</w:t>
      </w:r>
    </w:p>
    <w:p>
      <w:pPr>
        <w:spacing w:after="120" w:line="276"/>
        <w:jc w:val="both"/>
      </w:pPr>
      <w:r>
        <w:rPr>
          <w:rFonts w:ascii="Verdana" w:cs="Verdana" w:eastAsia="Verdana" w:hAnsi="Verdana"/>
          <w:b/>
          <w:bCs/>
        </w:rPr>
        <w:t xml:space="preserve">Answer:</w:t>
      </w:r>
      <w:r>
        <w:rPr>
          <w:rFonts w:ascii="Verdana" w:cs="Verdana" w:eastAsia="Verdana" w:hAnsi="Verdana"/>
        </w:rPr>
        <w:t xml:space="preserve"> Yes, under section 18(1)(a) through ITC-01, if registration was applied for within 30 days; invoices older than one year are excluded.</w:t>
      </w:r>
    </w:p>
    <w:p>
      <w:pPr>
        <w:spacing w:after="120" w:line="276"/>
        <w:jc w:val="both"/>
      </w:pPr>
      <w:r>
        <w:rPr>
          <w:rFonts w:ascii="Verdana" w:cs="Verdana" w:eastAsia="Verdana" w:hAnsi="Verdana"/>
          <w:b/>
          <w:bCs/>
        </w:rPr>
        <w:t xml:space="preserve">Q 48.</w:t>
      </w:r>
      <w:r>
        <w:rPr>
          <w:rFonts w:ascii="Verdana" w:cs="Verdana" w:eastAsia="Verdana" w:hAnsi="Verdana"/>
        </w:rPr>
        <w:t xml:space="preserve"> Inputs sent to a job worker on 1 June 2025 have not returned by 1 June 2026. What follows?</w:t>
      </w:r>
    </w:p>
    <w:p>
      <w:pPr>
        <w:spacing w:after="120" w:line="276"/>
        <w:jc w:val="both"/>
      </w:pPr>
      <w:r>
        <w:rPr>
          <w:rFonts w:ascii="Verdana" w:cs="Verdana" w:eastAsia="Verdana" w:hAnsi="Verdana"/>
          <w:b/>
          <w:bCs/>
        </w:rPr>
        <w:t xml:space="preserve">Answer:</w:t>
      </w:r>
      <w:r>
        <w:rPr>
          <w:rFonts w:ascii="Verdana" w:cs="Verdana" w:eastAsia="Verdana" w:hAnsi="Verdana"/>
        </w:rPr>
        <w:t xml:space="preserve"> They are deemed supplied on 1 June 2025 (section 143); tax is payable with interest.</w:t>
      </w:r>
    </w:p>
    <w:p>
      <w:pPr>
        <w:spacing w:after="120" w:line="276"/>
        <w:jc w:val="both"/>
      </w:pPr>
      <w:r>
        <w:rPr>
          <w:rFonts w:ascii="Verdana" w:cs="Verdana" w:eastAsia="Verdana" w:hAnsi="Verdana"/>
          <w:b/>
          <w:bCs/>
        </w:rPr>
        <w:t xml:space="preserve">Q 49.</w:t>
      </w:r>
      <w:r>
        <w:rPr>
          <w:rFonts w:ascii="Verdana" w:cs="Verdana" w:eastAsia="Verdana" w:hAnsi="Verdana"/>
        </w:rPr>
        <w:t xml:space="preserve"> Can a buyer be denied ITC when the supplier has not paid the tax?</w:t>
      </w:r>
    </w:p>
    <w:p>
      <w:pPr>
        <w:spacing w:after="120" w:line="276"/>
        <w:jc w:val="both"/>
      </w:pPr>
      <w:r>
        <w:rPr>
          <w:rFonts w:ascii="Verdana" w:cs="Verdana" w:eastAsia="Verdana" w:hAnsi="Verdana"/>
          <w:b/>
          <w:bCs/>
        </w:rPr>
        <w:t xml:space="preserve">Answer:</w:t>
      </w:r>
      <w:r>
        <w:rPr>
          <w:rFonts w:ascii="Verdana" w:cs="Verdana" w:eastAsia="Verdana" w:hAnsi="Verdana"/>
        </w:rPr>
        <w:t xml:space="preserve"> Yes. In Bhandari Scrap Traders (Supreme Court, 24 July 2026) the Court dismissed the challenge and affirmed section 16(2)(c). ITC is restored when the supplier pays.</w:t>
      </w:r>
    </w:p>
    <w:p>
      <w:pPr>
        <w:spacing w:after="120" w:line="276"/>
        <w:jc w:val="both"/>
      </w:pPr>
      <w:r>
        <w:rPr>
          <w:rFonts w:ascii="Verdana" w:cs="Verdana" w:eastAsia="Verdana" w:hAnsi="Verdana"/>
          <w:b/>
          <w:bCs/>
        </w:rPr>
        <w:t xml:space="preserve">Q 50.</w:t>
      </w:r>
      <w:r>
        <w:rPr>
          <w:rFonts w:ascii="Verdana" w:cs="Verdana" w:eastAsia="Verdana" w:hAnsi="Verdana"/>
        </w:rPr>
        <w:t xml:space="preserve"> What is DRC-01C?</w:t>
      </w:r>
    </w:p>
    <w:p>
      <w:pPr>
        <w:spacing w:after="120" w:line="276"/>
        <w:jc w:val="both"/>
      </w:pPr>
      <w:r>
        <w:rPr>
          <w:rFonts w:ascii="Verdana" w:cs="Verdana" w:eastAsia="Verdana" w:hAnsi="Verdana"/>
          <w:b/>
          <w:bCs/>
        </w:rPr>
        <w:t xml:space="preserve">Answer:</w:t>
      </w:r>
      <w:r>
        <w:rPr>
          <w:rFonts w:ascii="Verdana" w:cs="Verdana" w:eastAsia="Verdana" w:hAnsi="Verdana"/>
        </w:rPr>
        <w:t xml:space="preserve"> Rule 88D intimation where ITC in GSTR-3B exceeds GSTR-2B for a period by more than Rs. 25 lakh and more than 20%; pay or explain within seven days, or GSTR-1 is blocked.</w:t>
      </w:r>
    </w:p>
    <w:p>
      <w:pPr>
        <w:pStyle w:val="Heading2"/>
        <w:keepNext/>
        <w:spacing w:after="120" w:before="240"/>
      </w:pPr>
      <w:r>
        <w:rPr>
          <w:rFonts w:ascii="Verdana" w:cs="Verdana" w:eastAsia="Verdana" w:hAnsi="Verdana"/>
        </w:rPr>
        <w:t xml:space="preserve">Registration, invoices and returns</w:t>
      </w:r>
    </w:p>
    <w:p>
      <w:pPr>
        <w:spacing w:after="120" w:line="276"/>
        <w:jc w:val="both"/>
      </w:pPr>
      <w:r>
        <w:rPr>
          <w:rFonts w:ascii="Verdana" w:cs="Verdana" w:eastAsia="Verdana" w:hAnsi="Verdana"/>
          <w:b/>
          <w:bCs/>
        </w:rPr>
        <w:t xml:space="preserve">Q 51.</w:t>
      </w:r>
      <w:r>
        <w:rPr>
          <w:rFonts w:ascii="Verdana" w:cs="Verdana" w:eastAsia="Verdana" w:hAnsi="Verdana"/>
        </w:rPr>
        <w:t xml:space="preserve"> A company's turnover crossed Rs. 5 crore in FY 2022-23 but fell to Rs. 4 crore later. Must it issue e-invoices?</w:t>
      </w:r>
    </w:p>
    <w:p>
      <w:pPr>
        <w:spacing w:after="120" w:line="276"/>
        <w:jc w:val="both"/>
      </w:pPr>
      <w:r>
        <w:rPr>
          <w:rFonts w:ascii="Verdana" w:cs="Verdana" w:eastAsia="Verdana" w:hAnsi="Verdana"/>
          <w:b/>
          <w:bCs/>
        </w:rPr>
        <w:t xml:space="preserve">Answer:</w:t>
      </w:r>
      <w:r>
        <w:rPr>
          <w:rFonts w:ascii="Verdana" w:cs="Verdana" w:eastAsia="Verdana" w:hAnsi="Verdana"/>
        </w:rPr>
        <w:t xml:space="preserve"> Yes. Crossing Rs. 5 crore in any year since 2017-18 is enough.</w:t>
      </w:r>
    </w:p>
    <w:p>
      <w:pPr>
        <w:spacing w:after="120" w:line="276"/>
        <w:jc w:val="both"/>
      </w:pPr>
      <w:r>
        <w:rPr>
          <w:rFonts w:ascii="Verdana" w:cs="Verdana" w:eastAsia="Verdana" w:hAnsi="Verdana"/>
          <w:b/>
          <w:bCs/>
        </w:rPr>
        <w:t xml:space="preserve">Q 52.</w:t>
      </w:r>
      <w:r>
        <w:rPr>
          <w:rFonts w:ascii="Verdana" w:cs="Verdana" w:eastAsia="Verdana" w:hAnsi="Verdana"/>
        </w:rPr>
        <w:t xml:space="preserve"> What is the time limit for issue of a service invoice?</w:t>
      </w:r>
    </w:p>
    <w:p>
      <w:pPr>
        <w:spacing w:after="120" w:line="276"/>
        <w:jc w:val="both"/>
      </w:pPr>
      <w:r>
        <w:rPr>
          <w:rFonts w:ascii="Verdana" w:cs="Verdana" w:eastAsia="Verdana" w:hAnsi="Verdana"/>
          <w:b/>
          <w:bCs/>
        </w:rPr>
        <w:t xml:space="preserve">Answer:</w:t>
      </w:r>
      <w:r>
        <w:rPr>
          <w:rFonts w:ascii="Verdana" w:cs="Verdana" w:eastAsia="Verdana" w:hAnsi="Verdana"/>
        </w:rPr>
        <w:t xml:space="preserve"> Within 30 days from supply (45 days for banks, insurers and NBFCs) under rule 47.</w:t>
      </w:r>
    </w:p>
    <w:p>
      <w:pPr>
        <w:spacing w:after="120" w:line="276"/>
        <w:jc w:val="both"/>
      </w:pPr>
      <w:r>
        <w:rPr>
          <w:rFonts w:ascii="Verdana" w:cs="Verdana" w:eastAsia="Verdana" w:hAnsi="Verdana"/>
          <w:b/>
          <w:bCs/>
        </w:rPr>
        <w:t xml:space="preserve">Q 53.</w:t>
      </w:r>
      <w:r>
        <w:rPr>
          <w:rFonts w:ascii="Verdana" w:cs="Verdana" w:eastAsia="Verdana" w:hAnsi="Verdana"/>
        </w:rPr>
        <w:t xml:space="preserve"> What is GSTR-1A?</w:t>
      </w:r>
    </w:p>
    <w:p>
      <w:pPr>
        <w:spacing w:after="120" w:line="276"/>
        <w:jc w:val="both"/>
      </w:pPr>
      <w:r>
        <w:rPr>
          <w:rFonts w:ascii="Verdana" w:cs="Verdana" w:eastAsia="Verdana" w:hAnsi="Verdana"/>
          <w:b/>
          <w:bCs/>
        </w:rPr>
        <w:t xml:space="preserve">Answer:</w:t>
      </w:r>
      <w:r>
        <w:rPr>
          <w:rFonts w:ascii="Verdana" w:cs="Verdana" w:eastAsia="Verdana" w:hAnsi="Verdana"/>
        </w:rPr>
        <w:t xml:space="preserve"> A form to amend the current period GSTR-1 before GSTR-3B, the route for corrections now that GSTR-3B is locked.</w:t>
      </w:r>
    </w:p>
    <w:p>
      <w:pPr>
        <w:spacing w:after="120" w:line="276"/>
        <w:jc w:val="both"/>
      </w:pPr>
      <w:r>
        <w:rPr>
          <w:rFonts w:ascii="Verdana" w:cs="Verdana" w:eastAsia="Verdana" w:hAnsi="Verdana"/>
          <w:b/>
          <w:bCs/>
        </w:rPr>
        <w:t xml:space="preserve">Q 54.</w:t>
      </w:r>
      <w:r>
        <w:rPr>
          <w:rFonts w:ascii="Verdana" w:cs="Verdana" w:eastAsia="Verdana" w:hAnsi="Verdana"/>
        </w:rPr>
        <w:t xml:space="preserve"> What happens if a recipient takes no action on an invoice in IMS?</w:t>
      </w:r>
    </w:p>
    <w:p>
      <w:pPr>
        <w:spacing w:after="120" w:line="276"/>
        <w:jc w:val="both"/>
      </w:pPr>
      <w:r>
        <w:rPr>
          <w:rFonts w:ascii="Verdana" w:cs="Verdana" w:eastAsia="Verdana" w:hAnsi="Verdana"/>
          <w:b/>
          <w:bCs/>
        </w:rPr>
        <w:t xml:space="preserve">Answer:</w:t>
      </w:r>
      <w:r>
        <w:rPr>
          <w:rFonts w:ascii="Verdana" w:cs="Verdana" w:eastAsia="Verdana" w:hAnsi="Verdana"/>
        </w:rPr>
        <w:t xml:space="preserve"> It is deemed accepted.</w:t>
      </w:r>
    </w:p>
    <w:p>
      <w:pPr>
        <w:spacing w:after="120" w:line="276"/>
        <w:jc w:val="both"/>
      </w:pPr>
      <w:r>
        <w:rPr>
          <w:rFonts w:ascii="Verdana" w:cs="Verdana" w:eastAsia="Verdana" w:hAnsi="Verdana"/>
          <w:b/>
          <w:bCs/>
        </w:rPr>
        <w:t xml:space="preserve">Q 55.</w:t>
      </w:r>
      <w:r>
        <w:rPr>
          <w:rFonts w:ascii="Verdana" w:cs="Verdana" w:eastAsia="Verdana" w:hAnsi="Verdana"/>
        </w:rPr>
        <w:t xml:space="preserve"> Can GSTR-3B for July 2023, due 20 August 2023, be filed in September 2026?</w:t>
      </w:r>
    </w:p>
    <w:p>
      <w:pPr>
        <w:spacing w:after="120" w:line="276"/>
        <w:jc w:val="both"/>
      </w:pPr>
      <w:r>
        <w:rPr>
          <w:rFonts w:ascii="Verdana" w:cs="Verdana" w:eastAsia="Verdana" w:hAnsi="Verdana"/>
          <w:b/>
          <w:bCs/>
        </w:rPr>
        <w:t xml:space="preserve">Answer:</w:t>
      </w:r>
      <w:r>
        <w:rPr>
          <w:rFonts w:ascii="Verdana" w:cs="Verdana" w:eastAsia="Verdana" w:hAnsi="Verdana"/>
        </w:rPr>
        <w:t xml:space="preserve"> No. The three-year bar applies.</w:t>
      </w:r>
    </w:p>
    <w:p>
      <w:pPr>
        <w:spacing w:after="120" w:line="276"/>
        <w:jc w:val="both"/>
      </w:pPr>
      <w:r>
        <w:rPr>
          <w:rFonts w:ascii="Verdana" w:cs="Verdana" w:eastAsia="Verdana" w:hAnsi="Verdana"/>
          <w:b/>
          <w:bCs/>
        </w:rPr>
        <w:t xml:space="preserve">Q 56.</w:t>
      </w:r>
      <w:r>
        <w:rPr>
          <w:rFonts w:ascii="Verdana" w:cs="Verdana" w:eastAsia="Verdana" w:hAnsi="Verdana"/>
        </w:rPr>
        <w:t xml:space="preserve"> Compute late fee: GSTR-3B filed 35 days late, turnover Rs. 80 lakh. And a nil GSTR-3B 40 days late.</w:t>
      </w:r>
    </w:p>
    <w:p>
      <w:pPr>
        <w:spacing w:after="120" w:line="276"/>
        <w:jc w:val="both"/>
      </w:pPr>
      <w:r>
        <w:rPr>
          <w:rFonts w:ascii="Verdana" w:cs="Verdana" w:eastAsia="Verdana" w:hAnsi="Verdana"/>
          <w:b/>
          <w:bCs/>
        </w:rPr>
        <w:t xml:space="preserve">Answer:</w:t>
      </w:r>
      <w:r>
        <w:rPr>
          <w:rFonts w:ascii="Verdana" w:cs="Verdana" w:eastAsia="Verdana" w:hAnsi="Verdana"/>
        </w:rPr>
        <w:t xml:space="preserve"> Non-nil: 35 x Rs. 50 = Rs. 1,750 (below the Rs. 2,000 cap for turnover up to Rs. 1.5 crore).</w:t>
      </w:r>
    </w:p>
    <w:p>
      <w:pPr>
        <w:spacing w:after="120" w:line="276"/>
        <w:jc w:val="both"/>
      </w:pPr>
      <w:r>
        <w:rPr>
          <w:rFonts w:ascii="Verdana" w:cs="Verdana" w:eastAsia="Verdana" w:hAnsi="Verdana"/>
        </w:rPr>
        <w:t xml:space="preserve">Nil: 40 x Rs. 20 = Rs. 800, capped at Rs. 500.</w:t>
      </w:r>
    </w:p>
    <w:p>
      <w:pPr>
        <w:spacing w:after="120" w:line="276"/>
        <w:jc w:val="both"/>
      </w:pPr>
      <w:r>
        <w:rPr>
          <w:rFonts w:ascii="Verdana" w:cs="Verdana" w:eastAsia="Verdana" w:hAnsi="Verdana"/>
          <w:b/>
          <w:bCs/>
        </w:rPr>
        <w:t xml:space="preserve">Q 57.</w:t>
      </w:r>
      <w:r>
        <w:rPr>
          <w:rFonts w:ascii="Verdana" w:cs="Verdana" w:eastAsia="Verdana" w:hAnsi="Verdana"/>
        </w:rPr>
        <w:t xml:space="preserve"> A QRMP taxpayer paid Rs. 3,00,000 in cash for the last quarter. What is the fixed sum for each of the first two months?</w:t>
      </w:r>
    </w:p>
    <w:p>
      <w:pPr>
        <w:spacing w:after="120" w:line="276"/>
        <w:jc w:val="both"/>
      </w:pPr>
      <w:r>
        <w:rPr>
          <w:rFonts w:ascii="Verdana" w:cs="Verdana" w:eastAsia="Verdana" w:hAnsi="Verdana"/>
          <w:b/>
          <w:bCs/>
        </w:rPr>
        <w:t xml:space="preserve">Answer:</w:t>
      </w:r>
      <w:r>
        <w:rPr>
          <w:rFonts w:ascii="Verdana" w:cs="Verdana" w:eastAsia="Verdana" w:hAnsi="Verdana"/>
        </w:rPr>
        <w:t xml:space="preserve"> 35% of cash paid in the last quarter: Rs. 3,00,000 x 35% = Rs. 1,05,000 per month through PMT-06 by the 25th.</w:t>
      </w:r>
    </w:p>
    <w:p>
      <w:pPr>
        <w:spacing w:after="120" w:line="276"/>
        <w:jc w:val="both"/>
      </w:pPr>
      <w:r>
        <w:rPr>
          <w:rFonts w:ascii="Verdana" w:cs="Verdana" w:eastAsia="Verdana" w:hAnsi="Verdana"/>
          <w:b/>
          <w:bCs/>
        </w:rPr>
        <w:t xml:space="preserve">Q 58.</w:t>
      </w:r>
      <w:r>
        <w:rPr>
          <w:rFonts w:ascii="Verdana" w:cs="Verdana" w:eastAsia="Verdana" w:hAnsi="Verdana"/>
        </w:rPr>
        <w:t xml:space="preserve"> Who must file GSTR-9 and GSTR-9C?</w:t>
      </w:r>
    </w:p>
    <w:p>
      <w:pPr>
        <w:spacing w:after="120" w:line="276"/>
        <w:jc w:val="both"/>
      </w:pPr>
      <w:r>
        <w:rPr>
          <w:rFonts w:ascii="Verdana" w:cs="Verdana" w:eastAsia="Verdana" w:hAnsi="Verdana"/>
          <w:b/>
          <w:bCs/>
        </w:rPr>
        <w:t xml:space="preserve">Answer:</w:t>
      </w:r>
      <w:r>
        <w:rPr>
          <w:rFonts w:ascii="Verdana" w:cs="Verdana" w:eastAsia="Verdana" w:hAnsi="Verdana"/>
        </w:rPr>
        <w:t xml:space="preserve"> GSTR-9 is optional up to Rs. 2 crore; GSTR-9C applies above Rs. 5 crore.</w:t>
      </w:r>
    </w:p>
    <w:p>
      <w:pPr>
        <w:spacing w:after="120" w:line="276"/>
        <w:jc w:val="both"/>
      </w:pPr>
      <w:r>
        <w:rPr>
          <w:rFonts w:ascii="Verdana" w:cs="Verdana" w:eastAsia="Verdana" w:hAnsi="Verdana"/>
          <w:b/>
          <w:bCs/>
        </w:rPr>
        <w:t xml:space="preserve">Q 59.</w:t>
      </w:r>
      <w:r>
        <w:rPr>
          <w:rFonts w:ascii="Verdana" w:cs="Verdana" w:eastAsia="Verdana" w:hAnsi="Verdana"/>
        </w:rPr>
        <w:t xml:space="preserve"> On voluntary cancellation, what happens to stock?</w:t>
      </w:r>
    </w:p>
    <w:p>
      <w:pPr>
        <w:spacing w:after="120" w:line="276"/>
        <w:jc w:val="both"/>
      </w:pPr>
      <w:r>
        <w:rPr>
          <w:rFonts w:ascii="Verdana" w:cs="Verdana" w:eastAsia="Verdana" w:hAnsi="Verdana"/>
          <w:b/>
          <w:bCs/>
        </w:rPr>
        <w:t xml:space="preserve">Answer:</w:t>
      </w:r>
      <w:r>
        <w:rPr>
          <w:rFonts w:ascii="Verdana" w:cs="Verdana" w:eastAsia="Verdana" w:hAnsi="Verdana"/>
        </w:rPr>
        <w:t xml:space="preserve"> ITC on stock and capital goods (or tax on their value, if higher) is paid under section 29(5).</w:t>
      </w:r>
    </w:p>
    <w:p>
      <w:pPr>
        <w:spacing w:after="120" w:line="276"/>
        <w:jc w:val="both"/>
      </w:pPr>
      <w:r>
        <w:rPr>
          <w:rFonts w:ascii="Verdana" w:cs="Verdana" w:eastAsia="Verdana" w:hAnsi="Verdana"/>
          <w:b/>
          <w:bCs/>
        </w:rPr>
        <w:t xml:space="preserve">Q 60.</w:t>
      </w:r>
      <w:r>
        <w:rPr>
          <w:rFonts w:ascii="Verdana" w:cs="Verdana" w:eastAsia="Verdana" w:hAnsi="Verdana"/>
        </w:rPr>
        <w:t xml:space="preserve"> What must a casual taxable person do?</w:t>
      </w:r>
    </w:p>
    <w:p>
      <w:pPr>
        <w:spacing w:after="120" w:line="276"/>
        <w:jc w:val="both"/>
      </w:pPr>
      <w:r>
        <w:rPr>
          <w:rFonts w:ascii="Verdana" w:cs="Verdana" w:eastAsia="Verdana" w:hAnsi="Verdana"/>
          <w:b/>
          <w:bCs/>
        </w:rPr>
        <w:t xml:space="preserve">Answer:</w:t>
      </w:r>
      <w:r>
        <w:rPr>
          <w:rFonts w:ascii="Verdana" w:cs="Verdana" w:eastAsia="Verdana" w:hAnsi="Verdana"/>
        </w:rPr>
        <w:t xml:space="preserve"> Register five days before starting and deposit estimated tax in advance.</w:t>
      </w:r>
    </w:p>
    <w:p>
      <w:pPr>
        <w:pStyle w:val="Heading2"/>
        <w:keepNext/>
        <w:spacing w:after="120" w:before="240"/>
      </w:pPr>
      <w:r>
        <w:rPr>
          <w:rFonts w:ascii="Verdana" w:cs="Verdana" w:eastAsia="Verdana" w:hAnsi="Verdana"/>
        </w:rPr>
        <w:t xml:space="preserve">Payment, interest and refunds</w:t>
      </w:r>
    </w:p>
    <w:p>
      <w:pPr>
        <w:spacing w:after="120" w:line="276"/>
        <w:jc w:val="both"/>
      </w:pPr>
      <w:r>
        <w:rPr>
          <w:rFonts w:ascii="Verdana" w:cs="Verdana" w:eastAsia="Verdana" w:hAnsi="Verdana"/>
          <w:b/>
          <w:bCs/>
        </w:rPr>
        <w:t xml:space="preserve">Q 61.</w:t>
      </w:r>
      <w:r>
        <w:rPr>
          <w:rFonts w:ascii="Verdana" w:cs="Verdana" w:eastAsia="Verdana" w:hAnsi="Verdana"/>
        </w:rPr>
        <w:t xml:space="preserve"> Tax payable Rs. 5,00,000; ITC used Rs. 3,20,000; cash paid Rs. 1,80,000 late by 16 days. Compute interest.</w:t>
      </w:r>
    </w:p>
    <w:p>
      <w:pPr>
        <w:spacing w:after="120" w:line="276"/>
        <w:jc w:val="both"/>
      </w:pPr>
      <w:r>
        <w:rPr>
          <w:rFonts w:ascii="Verdana" w:cs="Verdana" w:eastAsia="Verdana" w:hAnsi="Verdana"/>
          <w:b/>
          <w:bCs/>
        </w:rPr>
        <w:t xml:space="preserve">Answer:</w:t>
      </w:r>
      <w:r>
        <w:rPr>
          <w:rFonts w:ascii="Verdana" w:cs="Verdana" w:eastAsia="Verdana" w:hAnsi="Verdana"/>
        </w:rPr>
        <w:t xml:space="preserve"> Interest is on the net cash portion: Rs. 1,80,000 x 18% x 16/365 = Rs. 1,420.27, rounded to Rs. 1,420.</w:t>
      </w:r>
    </w:p>
    <w:p>
      <w:pPr>
        <w:spacing w:after="120" w:line="276"/>
        <w:jc w:val="both"/>
      </w:pPr>
      <w:r>
        <w:rPr>
          <w:rFonts w:ascii="Verdana" w:cs="Verdana" w:eastAsia="Verdana" w:hAnsi="Verdana"/>
          <w:b/>
          <w:bCs/>
        </w:rPr>
        <w:t xml:space="preserve">Q 62.</w:t>
      </w:r>
      <w:r>
        <w:rPr>
          <w:rFonts w:ascii="Verdana" w:cs="Verdana" w:eastAsia="Verdana" w:hAnsi="Verdana"/>
        </w:rPr>
        <w:t xml:space="preserve"> A refund of Rs. 10,00,000 was applied for on 1 April 2026 and paid on 15 July 2026. Compute interest.</w:t>
      </w:r>
    </w:p>
    <w:p>
      <w:pPr>
        <w:spacing w:after="120" w:line="276"/>
        <w:jc w:val="both"/>
      </w:pPr>
      <w:r>
        <w:rPr>
          <w:rFonts w:ascii="Verdana" w:cs="Verdana" w:eastAsia="Verdana" w:hAnsi="Verdana"/>
          <w:b/>
          <w:bCs/>
        </w:rPr>
        <w:t xml:space="preserve">Answer:</w:t>
      </w:r>
      <w:r>
        <w:rPr>
          <w:rFonts w:ascii="Verdana" w:cs="Verdana" w:eastAsia="Verdana" w:hAnsi="Verdana"/>
        </w:rPr>
        <w:t xml:space="preserve"> Section 56: interest at 6% after 60 days from the application date. Days from 1 April to 15 July = 105; beyond 60 days = 45 days.</w:t>
      </w:r>
    </w:p>
    <w:p>
      <w:pPr>
        <w:spacing w:after="120" w:line="276"/>
        <w:jc w:val="both"/>
      </w:pPr>
      <w:r>
        <w:rPr>
          <w:rFonts w:ascii="Verdana" w:cs="Verdana" w:eastAsia="Verdana" w:hAnsi="Verdana"/>
        </w:rPr>
        <w:t xml:space="preserve">Interest = Rs. 10,00,000 x 6% x 45/365 = Rs. 7,397.26, say Rs. 7,397.</w:t>
      </w:r>
    </w:p>
    <w:p>
      <w:pPr>
        <w:spacing w:after="120" w:line="276"/>
        <w:jc w:val="both"/>
      </w:pPr>
      <w:r>
        <w:rPr>
          <w:rFonts w:ascii="Verdana" w:cs="Verdana" w:eastAsia="Verdana" w:hAnsi="Verdana"/>
          <w:b/>
          <w:bCs/>
        </w:rPr>
        <w:t xml:space="preserve">Q 63.</w:t>
      </w:r>
      <w:r>
        <w:rPr>
          <w:rFonts w:ascii="Verdana" w:cs="Verdana" w:eastAsia="Verdana" w:hAnsi="Verdana"/>
        </w:rPr>
        <w:t xml:space="preserve"> Inverted duty refund: inverted rated turnover and adjusted total turnover Rs. 1 crore each; Net ITC (inputs) Rs. 12 lakh; ITC on inputs and input services Rs. 14 lakh; tax payable on the output Rs. 5 lakh. Compute the maximum refund.</w:t>
      </w:r>
    </w:p>
    <w:p>
      <w:pPr>
        <w:spacing w:after="120" w:line="276"/>
        <w:jc w:val="both"/>
      </w:pPr>
      <w:r>
        <w:rPr>
          <w:rFonts w:ascii="Verdana" w:cs="Verdana" w:eastAsia="Verdana" w:hAnsi="Verdana"/>
          <w:b/>
          <w:bCs/>
        </w:rPr>
        <w:t xml:space="preserve">Answer:</w:t>
      </w:r>
      <w:r>
        <w:rPr>
          <w:rFonts w:ascii="Verdana" w:cs="Verdana" w:eastAsia="Verdana" w:hAnsi="Verdana"/>
        </w:rPr>
        <w:t xml:space="preserve"> Rule 89(5): (Rs. 1 crore x Rs. 12 lakh / Rs. 1 crore) less (Rs. 5 lakh x 12/14).</w:t>
      </w:r>
    </w:p>
    <w:p>
      <w:pPr>
        <w:spacing w:after="120" w:line="276"/>
        <w:jc w:val="both"/>
      </w:pPr>
      <w:r>
        <w:rPr>
          <w:rFonts w:ascii="Verdana" w:cs="Verdana" w:eastAsia="Verdana" w:hAnsi="Verdana"/>
        </w:rPr>
        <w:t xml:space="preserve">= Rs. 12,00,000 less Rs. 4,28,571 = Rs. 7,71,429. Input services are excluded from Net ITC, as upheld in VKC Footsteps (Supreme Court, 2021).</w:t>
      </w:r>
    </w:p>
    <w:p>
      <w:pPr>
        <w:spacing w:after="120" w:line="276"/>
        <w:jc w:val="both"/>
      </w:pPr>
      <w:r>
        <w:rPr>
          <w:rFonts w:ascii="Verdana" w:cs="Verdana" w:eastAsia="Verdana" w:hAnsi="Verdana"/>
          <w:b/>
          <w:bCs/>
        </w:rPr>
        <w:t xml:space="preserve">Q 64.</w:t>
      </w:r>
      <w:r>
        <w:rPr>
          <w:rFonts w:ascii="Verdana" w:cs="Verdana" w:eastAsia="Verdana" w:hAnsi="Verdana"/>
        </w:rPr>
        <w:t xml:space="preserve"> Should an exporter use LUT or pay IGST?</w:t>
      </w:r>
    </w:p>
    <w:p>
      <w:pPr>
        <w:spacing w:after="120" w:line="276"/>
        <w:jc w:val="both"/>
      </w:pPr>
      <w:r>
        <w:rPr>
          <w:rFonts w:ascii="Verdana" w:cs="Verdana" w:eastAsia="Verdana" w:hAnsi="Verdana"/>
          <w:b/>
          <w:bCs/>
        </w:rPr>
        <w:t xml:space="preserve">Answer:</w:t>
      </w:r>
      <w:r>
        <w:rPr>
          <w:rFonts w:ascii="Verdana" w:cs="Verdana" w:eastAsia="Verdana" w:hAnsi="Verdana"/>
        </w:rPr>
        <w:t xml:space="preserve"> It depends on cash flow: LUT avoids paying tax; IGST route gives refund through the shipping bill.</w:t>
      </w:r>
    </w:p>
    <w:p>
      <w:pPr>
        <w:spacing w:after="120" w:line="276"/>
        <w:jc w:val="both"/>
      </w:pPr>
      <w:r>
        <w:rPr>
          <w:rFonts w:ascii="Verdana" w:cs="Verdana" w:eastAsia="Verdana" w:hAnsi="Verdana"/>
          <w:b/>
          <w:bCs/>
        </w:rPr>
        <w:t xml:space="preserve">Q 65.</w:t>
      </w:r>
      <w:r>
        <w:rPr>
          <w:rFonts w:ascii="Verdana" w:cs="Verdana" w:eastAsia="Verdana" w:hAnsi="Verdana"/>
        </w:rPr>
        <w:t xml:space="preserve"> What is unjust enrichment?</w:t>
      </w:r>
    </w:p>
    <w:p>
      <w:pPr>
        <w:spacing w:after="120" w:line="276"/>
        <w:jc w:val="both"/>
      </w:pPr>
      <w:r>
        <w:rPr>
          <w:rFonts w:ascii="Verdana" w:cs="Verdana" w:eastAsia="Verdana" w:hAnsi="Verdana"/>
          <w:b/>
          <w:bCs/>
        </w:rPr>
        <w:t xml:space="preserve">Answer:</w:t>
      </w:r>
      <w:r>
        <w:rPr>
          <w:rFonts w:ascii="Verdana" w:cs="Verdana" w:eastAsia="Verdana" w:hAnsi="Verdana"/>
        </w:rPr>
        <w:t xml:space="preserve"> Refund of tax passed on goes to the Consumer Welfare Fund (Mafatlal Industries, Supreme Court, 1997).</w:t>
      </w:r>
    </w:p>
    <w:p>
      <w:pPr>
        <w:spacing w:after="120" w:line="276"/>
        <w:jc w:val="both"/>
      </w:pPr>
      <w:r>
        <w:rPr>
          <w:rFonts w:ascii="Verdana" w:cs="Verdana" w:eastAsia="Verdana" w:hAnsi="Verdana"/>
          <w:b/>
          <w:bCs/>
        </w:rPr>
        <w:t xml:space="preserve">Q 66.</w:t>
      </w:r>
      <w:r>
        <w:rPr>
          <w:rFonts w:ascii="Verdana" w:cs="Verdana" w:eastAsia="Verdana" w:hAnsi="Verdana"/>
        </w:rPr>
        <w:t xml:space="preserve"> Goods cleared under LUT are not exported within three months of invoice. What follows?</w:t>
      </w:r>
    </w:p>
    <w:p>
      <w:pPr>
        <w:spacing w:after="120" w:line="276"/>
        <w:jc w:val="both"/>
      </w:pPr>
      <w:r>
        <w:rPr>
          <w:rFonts w:ascii="Verdana" w:cs="Verdana" w:eastAsia="Verdana" w:hAnsi="Verdana"/>
          <w:b/>
          <w:bCs/>
        </w:rPr>
        <w:t xml:space="preserve">Answer:</w:t>
      </w:r>
      <w:r>
        <w:rPr>
          <w:rFonts w:ascii="Verdana" w:cs="Verdana" w:eastAsia="Verdana" w:hAnsi="Verdana"/>
        </w:rPr>
        <w:t xml:space="preserve"> Rule 96A: tax is payable with interest under section 50, unless the period is extended.</w:t>
      </w:r>
    </w:p>
    <w:p>
      <w:pPr>
        <w:spacing w:after="120" w:line="276"/>
        <w:jc w:val="both"/>
      </w:pPr>
      <w:r>
        <w:rPr>
          <w:rFonts w:ascii="Verdana" w:cs="Verdana" w:eastAsia="Verdana" w:hAnsi="Verdana"/>
          <w:b/>
          <w:bCs/>
        </w:rPr>
        <w:t xml:space="preserve">Q 67.</w:t>
      </w:r>
      <w:r>
        <w:rPr>
          <w:rFonts w:ascii="Verdana" w:cs="Verdana" w:eastAsia="Verdana" w:hAnsi="Verdana"/>
        </w:rPr>
        <w:t xml:space="preserve"> A Government department awards a contract of Rs. 10,00,000 plus GST Rs. 1,80,000 to an intra-State supplier. Compute TDS.</w:t>
      </w:r>
    </w:p>
    <w:p>
      <w:pPr>
        <w:spacing w:after="120" w:line="276"/>
        <w:jc w:val="both"/>
      </w:pPr>
      <w:r>
        <w:rPr>
          <w:rFonts w:ascii="Verdana" w:cs="Verdana" w:eastAsia="Verdana" w:hAnsi="Verdana"/>
          <w:b/>
          <w:bCs/>
        </w:rPr>
        <w:t xml:space="preserve">Answer:</w:t>
      </w:r>
      <w:r>
        <w:rPr>
          <w:rFonts w:ascii="Verdana" w:cs="Verdana" w:eastAsia="Verdana" w:hAnsi="Verdana"/>
        </w:rPr>
        <w:t xml:space="preserve"> TDS at 2% on value excluding tax: Rs. 10,00,000 x 2% = Rs. 20,000 (CGST Rs. 10,000 + SGST Rs. 10,000).</w:t>
      </w:r>
    </w:p>
    <w:p>
      <w:pPr>
        <w:spacing w:after="120" w:line="276"/>
        <w:jc w:val="both"/>
      </w:pPr>
      <w:r>
        <w:rPr>
          <w:rFonts w:ascii="Verdana" w:cs="Verdana" w:eastAsia="Verdana" w:hAnsi="Verdana"/>
          <w:b/>
          <w:bCs/>
        </w:rPr>
        <w:t xml:space="preserve">Q 68.</w:t>
      </w:r>
      <w:r>
        <w:rPr>
          <w:rFonts w:ascii="Verdana" w:cs="Verdana" w:eastAsia="Verdana" w:hAnsi="Verdana"/>
        </w:rPr>
        <w:t xml:space="preserve"> Net taxable supplies by sellers through an ECO in a month are Rs. 40,00,000 (intra-State). Compute TCS.</w:t>
      </w:r>
    </w:p>
    <w:p>
      <w:pPr>
        <w:spacing w:after="120" w:line="276"/>
        <w:jc w:val="both"/>
      </w:pPr>
      <w:r>
        <w:rPr>
          <w:rFonts w:ascii="Verdana" w:cs="Verdana" w:eastAsia="Verdana" w:hAnsi="Verdana"/>
          <w:b/>
          <w:bCs/>
        </w:rPr>
        <w:t xml:space="preserve">Answer:</w:t>
      </w:r>
      <w:r>
        <w:rPr>
          <w:rFonts w:ascii="Verdana" w:cs="Verdana" w:eastAsia="Verdana" w:hAnsi="Verdana"/>
        </w:rPr>
        <w:t xml:space="preserve"> TCS at 0.5%: Rs. 20,000 (CGST Rs. 10,000 + SGST Rs. 10,000).</w:t>
      </w:r>
    </w:p>
    <w:p>
      <w:pPr>
        <w:pStyle w:val="Heading2"/>
        <w:keepNext/>
        <w:spacing w:after="120" w:before="240"/>
      </w:pPr>
      <w:r>
        <w:rPr>
          <w:rFonts w:ascii="Verdana" w:cs="Verdana" w:eastAsia="Verdana" w:hAnsi="Verdana"/>
        </w:rPr>
        <w:t xml:space="preserve">Demands, appeals and enforcement</w:t>
      </w:r>
    </w:p>
    <w:p>
      <w:pPr>
        <w:spacing w:after="120" w:line="276"/>
        <w:jc w:val="both"/>
      </w:pPr>
      <w:r>
        <w:rPr>
          <w:rFonts w:ascii="Verdana" w:cs="Verdana" w:eastAsia="Verdana" w:hAnsi="Verdana"/>
          <w:b/>
          <w:bCs/>
        </w:rPr>
        <w:t xml:space="preserve">Q 69.</w:t>
      </w:r>
      <w:r>
        <w:rPr>
          <w:rFonts w:ascii="Verdana" w:cs="Verdana" w:eastAsia="Verdana" w:hAnsi="Verdana"/>
        </w:rPr>
        <w:t xml:space="preserve"> For FY 2024-25, the annual return is due on 31 December 2025. By when must a section 74A notice issue?</w:t>
      </w:r>
    </w:p>
    <w:p>
      <w:pPr>
        <w:spacing w:after="120" w:line="276"/>
        <w:jc w:val="both"/>
      </w:pPr>
      <w:r>
        <w:rPr>
          <w:rFonts w:ascii="Verdana" w:cs="Verdana" w:eastAsia="Verdana" w:hAnsi="Verdana"/>
          <w:b/>
          <w:bCs/>
        </w:rPr>
        <w:t xml:space="preserve">Answer:</w:t>
      </w:r>
      <w:r>
        <w:rPr>
          <w:rFonts w:ascii="Verdana" w:cs="Verdana" w:eastAsia="Verdana" w:hAnsi="Verdana"/>
        </w:rPr>
        <w:t xml:space="preserve"> Within 42 months from that date, that is by 30 June 2029. The order must follow within 12 months of the notice (extendable by up to 6 months).</w:t>
      </w:r>
    </w:p>
    <w:p>
      <w:pPr>
        <w:spacing w:after="120" w:line="276"/>
        <w:jc w:val="both"/>
      </w:pPr>
      <w:r>
        <w:rPr>
          <w:rFonts w:ascii="Verdana" w:cs="Verdana" w:eastAsia="Verdana" w:hAnsi="Verdana"/>
          <w:b/>
          <w:bCs/>
        </w:rPr>
        <w:t xml:space="preserve">Q 70.</w:t>
      </w:r>
      <w:r>
        <w:rPr>
          <w:rFonts w:ascii="Verdana" w:cs="Verdana" w:eastAsia="Verdana" w:hAnsi="Verdana"/>
        </w:rPr>
        <w:t xml:space="preserve"> For FY 2023-24 (annual return due 31 December 2024), by when must a section 73 notice issue?</w:t>
      </w:r>
    </w:p>
    <w:p>
      <w:pPr>
        <w:spacing w:after="120" w:line="276"/>
        <w:jc w:val="both"/>
      </w:pPr>
      <w:r>
        <w:rPr>
          <w:rFonts w:ascii="Verdana" w:cs="Verdana" w:eastAsia="Verdana" w:hAnsi="Verdana"/>
          <w:b/>
          <w:bCs/>
        </w:rPr>
        <w:t xml:space="preserve">Answer:</w:t>
      </w:r>
      <w:r>
        <w:rPr>
          <w:rFonts w:ascii="Verdana" w:cs="Verdana" w:eastAsia="Verdana" w:hAnsi="Verdana"/>
        </w:rPr>
        <w:t xml:space="preserve"> Order within three years, that is by 31 December 2027; notice at least three months earlier, by 30 September 2027.</w:t>
      </w:r>
    </w:p>
    <w:p>
      <w:pPr>
        <w:spacing w:after="120" w:line="276"/>
        <w:jc w:val="both"/>
      </w:pPr>
      <w:r>
        <w:rPr>
          <w:rFonts w:ascii="Verdana" w:cs="Verdana" w:eastAsia="Verdana" w:hAnsi="Verdana"/>
          <w:b/>
          <w:bCs/>
        </w:rPr>
        <w:t xml:space="preserve">Q 71.</w:t>
      </w:r>
      <w:r>
        <w:rPr>
          <w:rFonts w:ascii="Verdana" w:cs="Verdana" w:eastAsia="Verdana" w:hAnsi="Verdana"/>
        </w:rPr>
        <w:t xml:space="preserve"> Tax of Rs. 8,00,000 is demanded under section 74A for fraud. Penalty if paid within 60 days of notice?</w:t>
      </w:r>
    </w:p>
    <w:p>
      <w:pPr>
        <w:spacing w:after="120" w:line="276"/>
        <w:jc w:val="both"/>
      </w:pPr>
      <w:r>
        <w:rPr>
          <w:rFonts w:ascii="Verdana" w:cs="Verdana" w:eastAsia="Verdana" w:hAnsi="Verdana"/>
          <w:b/>
          <w:bCs/>
        </w:rPr>
        <w:t xml:space="preserve">Answer:</w:t>
      </w:r>
      <w:r>
        <w:rPr>
          <w:rFonts w:ascii="Verdana" w:cs="Verdana" w:eastAsia="Verdana" w:hAnsi="Verdana"/>
        </w:rPr>
        <w:t xml:space="preserve"> 25% of tax: Rs. 2,00,000, plus tax and interest. If paid before notice, 15% (Rs. 1,20,000).</w:t>
      </w:r>
    </w:p>
    <w:p>
      <w:pPr>
        <w:spacing w:after="120" w:line="276"/>
        <w:jc w:val="both"/>
      </w:pPr>
      <w:r>
        <w:rPr>
          <w:rFonts w:ascii="Verdana" w:cs="Verdana" w:eastAsia="Verdana" w:hAnsi="Verdana"/>
          <w:b/>
          <w:bCs/>
        </w:rPr>
        <w:t xml:space="preserve">Q 72.</w:t>
      </w:r>
      <w:r>
        <w:rPr>
          <w:rFonts w:ascii="Verdana" w:cs="Verdana" w:eastAsia="Verdana" w:hAnsi="Verdana"/>
        </w:rPr>
        <w:t xml:space="preserve"> Disputed tax is Rs. 40 lakh (CGST Rs. 20 lakh + SGST Rs. 20 lakh). Compute pre-deposit for first appeal.</w:t>
      </w:r>
    </w:p>
    <w:p>
      <w:pPr>
        <w:spacing w:after="120" w:line="276"/>
        <w:jc w:val="both"/>
      </w:pPr>
      <w:r>
        <w:rPr>
          <w:rFonts w:ascii="Verdana" w:cs="Verdana" w:eastAsia="Verdana" w:hAnsi="Verdana"/>
          <w:b/>
          <w:bCs/>
        </w:rPr>
        <w:t xml:space="preserve">Answer:</w:t>
      </w:r>
      <w:r>
        <w:rPr>
          <w:rFonts w:ascii="Verdana" w:cs="Verdana" w:eastAsia="Verdana" w:hAnsi="Verdana"/>
        </w:rPr>
        <w:t xml:space="preserve"> 10% of disputed tax: Rs. 4,00,000 (Rs. 2,00,000 each).</w:t>
      </w:r>
    </w:p>
    <w:p>
      <w:pPr>
        <w:spacing w:after="120" w:line="276"/>
        <w:jc w:val="both"/>
      </w:pPr>
      <w:r>
        <w:rPr>
          <w:rFonts w:ascii="Verdana" w:cs="Verdana" w:eastAsia="Verdana" w:hAnsi="Verdana"/>
          <w:b/>
          <w:bCs/>
        </w:rPr>
        <w:t xml:space="preserve">Q 73.</w:t>
      </w:r>
      <w:r>
        <w:rPr>
          <w:rFonts w:ascii="Verdana" w:cs="Verdana" w:eastAsia="Verdana" w:hAnsi="Verdana"/>
        </w:rPr>
        <w:t xml:space="preserve"> When can a writ be filed instead of an appeal?</w:t>
      </w:r>
    </w:p>
    <w:p>
      <w:pPr>
        <w:spacing w:after="120" w:line="276"/>
        <w:jc w:val="both"/>
      </w:pPr>
      <w:r>
        <w:rPr>
          <w:rFonts w:ascii="Verdana" w:cs="Verdana" w:eastAsia="Verdana" w:hAnsi="Verdana"/>
          <w:b/>
          <w:bCs/>
        </w:rPr>
        <w:t xml:space="preserve">Answer:</w:t>
      </w:r>
      <w:r>
        <w:rPr>
          <w:rFonts w:ascii="Verdana" w:cs="Verdana" w:eastAsia="Verdana" w:hAnsi="Verdana"/>
        </w:rPr>
        <w:t xml:space="preserve"> Only in limited cases (Commercial Steel, Supreme Court, 2021).</w:t>
      </w:r>
    </w:p>
    <w:p>
      <w:pPr>
        <w:spacing w:after="120" w:line="276"/>
        <w:jc w:val="both"/>
      </w:pPr>
      <w:r>
        <w:rPr>
          <w:rFonts w:ascii="Verdana" w:cs="Verdana" w:eastAsia="Verdana" w:hAnsi="Verdana"/>
          <w:b/>
          <w:bCs/>
        </w:rPr>
        <w:t xml:space="preserve">Q 74.</w:t>
      </w:r>
      <w:r>
        <w:rPr>
          <w:rFonts w:ascii="Verdana" w:cs="Verdana" w:eastAsia="Verdana" w:hAnsi="Verdana"/>
        </w:rPr>
        <w:t xml:space="preserve"> The State has issued an SCN on an issue. Can the Centre issue one on the same issue?</w:t>
      </w:r>
    </w:p>
    <w:p>
      <w:pPr>
        <w:spacing w:after="120" w:line="276"/>
        <w:jc w:val="both"/>
      </w:pPr>
      <w:r>
        <w:rPr>
          <w:rFonts w:ascii="Verdana" w:cs="Verdana" w:eastAsia="Verdana" w:hAnsi="Verdana"/>
          <w:b/>
          <w:bCs/>
        </w:rPr>
        <w:t xml:space="preserve">Answer:</w:t>
      </w:r>
      <w:r>
        <w:rPr>
          <w:rFonts w:ascii="Verdana" w:cs="Verdana" w:eastAsia="Verdana" w:hAnsi="Verdana"/>
        </w:rPr>
        <w:t xml:space="preserve"> No (section 6(2)(b); Armour Security, Supreme Court, 2025).</w:t>
      </w:r>
    </w:p>
    <w:p>
      <w:pPr>
        <w:spacing w:after="120" w:line="276"/>
        <w:jc w:val="both"/>
      </w:pPr>
      <w:r>
        <w:rPr>
          <w:rFonts w:ascii="Verdana" w:cs="Verdana" w:eastAsia="Verdana" w:hAnsi="Verdana"/>
          <w:b/>
          <w:bCs/>
        </w:rPr>
        <w:t xml:space="preserve">Q 75.</w:t>
      </w:r>
      <w:r>
        <w:rPr>
          <w:rFonts w:ascii="Verdana" w:cs="Verdana" w:eastAsia="Verdana" w:hAnsi="Verdana"/>
        </w:rPr>
        <w:t xml:space="preserve"> When can a person be arrested under section 69?</w:t>
      </w:r>
    </w:p>
    <w:p>
      <w:pPr>
        <w:spacing w:after="120" w:line="276"/>
        <w:jc w:val="both"/>
      </w:pPr>
      <w:r>
        <w:rPr>
          <w:rFonts w:ascii="Verdana" w:cs="Verdana" w:eastAsia="Verdana" w:hAnsi="Verdana"/>
          <w:b/>
          <w:bCs/>
        </w:rPr>
        <w:t xml:space="preserve">Answer:</w:t>
      </w:r>
      <w:r>
        <w:rPr>
          <w:rFonts w:ascii="Verdana" w:cs="Verdana" w:eastAsia="Verdana" w:hAnsi="Verdana"/>
        </w:rPr>
        <w:t xml:space="preserve"> For section 132 offences, with reasons to believe and written grounds (Radhika Agarwal, Supreme Court, 2025).</w:t>
      </w:r>
    </w:p>
    <w:p>
      <w:pPr>
        <w:spacing w:after="120" w:line="276"/>
        <w:jc w:val="both"/>
      </w:pPr>
      <w:r>
        <w:rPr>
          <w:rFonts w:ascii="Verdana" w:cs="Verdana" w:eastAsia="Verdana" w:hAnsi="Verdana"/>
          <w:b/>
          <w:bCs/>
        </w:rPr>
        <w:t xml:space="preserve">Q 76.</w:t>
      </w:r>
      <w:r>
        <w:rPr>
          <w:rFonts w:ascii="Verdana" w:cs="Verdana" w:eastAsia="Verdana" w:hAnsi="Verdana"/>
        </w:rPr>
        <w:t xml:space="preserve"> Compute e-way bill validity for 850 km of normal cargo and 90 km of over-dimensional cargo.</w:t>
      </w:r>
    </w:p>
    <w:p>
      <w:pPr>
        <w:spacing w:after="120" w:line="276"/>
        <w:jc w:val="both"/>
      </w:pPr>
      <w:r>
        <w:rPr>
          <w:rFonts w:ascii="Verdana" w:cs="Verdana" w:eastAsia="Verdana" w:hAnsi="Verdana"/>
          <w:b/>
          <w:bCs/>
        </w:rPr>
        <w:t xml:space="preserve">Answer:</w:t>
      </w:r>
      <w:r>
        <w:rPr>
          <w:rFonts w:ascii="Verdana" w:cs="Verdana" w:eastAsia="Verdana" w:hAnsi="Verdana"/>
        </w:rPr>
        <w:t xml:space="preserve"> Normal: one day per 200 km or part: 850/200 = 4.25, so 5 days. ODC: one day per 20 km or part: 90/20 = 4.5, so 5 days.</w:t>
      </w:r>
    </w:p>
    <w:p>
      <w:pPr>
        <w:spacing w:after="120" w:line="276"/>
        <w:jc w:val="both"/>
      </w:pPr>
      <w:r>
        <w:rPr>
          <w:rFonts w:ascii="Verdana" w:cs="Verdana" w:eastAsia="Verdana" w:hAnsi="Verdana"/>
          <w:b/>
          <w:bCs/>
        </w:rPr>
        <w:t xml:space="preserve">Q 77.</w:t>
      </w:r>
      <w:r>
        <w:rPr>
          <w:rFonts w:ascii="Verdana" w:cs="Verdana" w:eastAsia="Verdana" w:hAnsi="Verdana"/>
        </w:rPr>
        <w:t xml:space="preserve"> Goods worth Rs. 6,00,000 at 18% (tax Rs. 1,08,000) are detained. Compute penalty if the owner comes forward, and if not.</w:t>
      </w:r>
    </w:p>
    <w:p>
      <w:pPr>
        <w:spacing w:after="120" w:line="276"/>
        <w:jc w:val="both"/>
      </w:pPr>
      <w:r>
        <w:rPr>
          <w:rFonts w:ascii="Verdana" w:cs="Verdana" w:eastAsia="Verdana" w:hAnsi="Verdana"/>
          <w:b/>
          <w:bCs/>
        </w:rPr>
        <w:t xml:space="preserve">Answer:</w:t>
      </w:r>
      <w:r>
        <w:rPr>
          <w:rFonts w:ascii="Verdana" w:cs="Verdana" w:eastAsia="Verdana" w:hAnsi="Verdana"/>
        </w:rPr>
        <w:t xml:space="preserve"> Owner: 200% of tax = Rs. 2,16,000.</w:t>
      </w:r>
    </w:p>
    <w:p>
      <w:pPr>
        <w:spacing w:after="120" w:line="276"/>
        <w:jc w:val="both"/>
      </w:pPr>
      <w:r>
        <w:rPr>
          <w:rFonts w:ascii="Verdana" w:cs="Verdana" w:eastAsia="Verdana" w:hAnsi="Verdana"/>
        </w:rPr>
        <w:t xml:space="preserve">Not owner: higher of 50% of value (Rs. 3,00,000) and 200% of tax (Rs. 2,16,000) = Rs. 3,00,000.</w:t>
      </w:r>
    </w:p>
    <w:p>
      <w:pPr>
        <w:spacing w:after="120" w:line="276"/>
        <w:jc w:val="both"/>
      </w:pPr>
      <w:r>
        <w:rPr>
          <w:rFonts w:ascii="Verdana" w:cs="Verdana" w:eastAsia="Verdana" w:hAnsi="Verdana"/>
          <w:b/>
          <w:bCs/>
        </w:rPr>
        <w:t xml:space="preserve">Q 78.</w:t>
      </w:r>
      <w:r>
        <w:rPr>
          <w:rFonts w:ascii="Verdana" w:cs="Verdana" w:eastAsia="Verdana" w:hAnsi="Verdana"/>
        </w:rPr>
        <w:t xml:space="preserve"> Can a new anti-profiteering complaint be filed today?</w:t>
      </w:r>
    </w:p>
    <w:p>
      <w:pPr>
        <w:spacing w:after="120" w:line="276"/>
        <w:jc w:val="both"/>
      </w:pPr>
      <w:r>
        <w:rPr>
          <w:rFonts w:ascii="Verdana" w:cs="Verdana" w:eastAsia="Verdana" w:hAnsi="Verdana"/>
          <w:b/>
          <w:bCs/>
        </w:rPr>
        <w:t xml:space="preserve">Answer:</w:t>
      </w:r>
      <w:r>
        <w:rPr>
          <w:rFonts w:ascii="Verdana" w:cs="Verdana" w:eastAsia="Verdana" w:hAnsi="Verdana"/>
        </w:rPr>
        <w:t xml:space="preserve"> No, not after 31 March 2025.</w:t>
      </w:r>
    </w:p>
    <w:p>
      <w:pPr>
        <w:spacing w:after="120" w:line="276"/>
        <w:jc w:val="both"/>
      </w:pPr>
      <w:r>
        <w:rPr>
          <w:rFonts w:ascii="Verdana" w:cs="Verdana" w:eastAsia="Verdana" w:hAnsi="Verdana"/>
          <w:b/>
          <w:bCs/>
        </w:rPr>
        <w:t xml:space="preserve">Q 79.</w:t>
      </w:r>
      <w:r>
        <w:rPr>
          <w:rFonts w:ascii="Verdana" w:cs="Verdana" w:eastAsia="Verdana" w:hAnsi="Verdana"/>
        </w:rPr>
        <w:t xml:space="preserve"> What did section 128A offer?</w:t>
      </w:r>
    </w:p>
    <w:p>
      <w:pPr>
        <w:spacing w:after="120" w:line="276"/>
        <w:jc w:val="both"/>
      </w:pPr>
      <w:r>
        <w:rPr>
          <w:rFonts w:ascii="Verdana" w:cs="Verdana" w:eastAsia="Verdana" w:hAnsi="Verdana"/>
          <w:b/>
          <w:bCs/>
        </w:rPr>
        <w:t xml:space="preserve">Answer:</w:t>
      </w:r>
      <w:r>
        <w:rPr>
          <w:rFonts w:ascii="Verdana" w:cs="Verdana" w:eastAsia="Verdana" w:hAnsi="Verdana"/>
        </w:rPr>
        <w:t xml:space="preserve"> Waiver of interest and penalty for section 73 demands of FY 2017-18 to 2019-20, on paying tax by 31 March 2025.</w:t>
      </w:r>
    </w:p>
    <w:p>
      <w:pPr>
        <w:spacing w:after="120" w:line="276"/>
        <w:jc w:val="both"/>
      </w:pPr>
      <w:r>
        <w:rPr>
          <w:rFonts w:ascii="Verdana" w:cs="Verdana" w:eastAsia="Verdana" w:hAnsi="Verdana"/>
          <w:b/>
          <w:bCs/>
        </w:rPr>
        <w:t xml:space="preserve">Q 80.</w:t>
      </w:r>
      <w:r>
        <w:rPr>
          <w:rFonts w:ascii="Verdana" w:cs="Verdana" w:eastAsia="Verdana" w:hAnsi="Verdana"/>
        </w:rPr>
        <w:t xml:space="preserve"> Tax payable on notified goods is Rs. 3,00,000 and track and trace rules are breached. Compute penalty under section 122B.</w:t>
      </w:r>
    </w:p>
    <w:p>
      <w:pPr>
        <w:spacing w:after="120" w:line="276"/>
        <w:jc w:val="both"/>
      </w:pPr>
      <w:r>
        <w:rPr>
          <w:rFonts w:ascii="Verdana" w:cs="Verdana" w:eastAsia="Verdana" w:hAnsi="Verdana"/>
          <w:b/>
          <w:bCs/>
        </w:rPr>
        <w:t xml:space="preserve">Answer:</w:t>
      </w:r>
      <w:r>
        <w:rPr>
          <w:rFonts w:ascii="Verdana" w:cs="Verdana" w:eastAsia="Verdana" w:hAnsi="Verdana"/>
        </w:rPr>
        <w:t xml:space="preserve"> Higher of Rs. 1,00,000 and 10% of tax (Rs. 30,000): Rs. 1,00,000.</w:t>
      </w:r>
    </w:p>
    <w:p>
      <w:pPr>
        <w:pStyle w:val="Heading1"/>
        <w:pageBreakBefore/>
        <w:spacing w:after="200" w:before="0"/>
      </w:pPr>
      <w:r>
        <w:rPr>
          <w:rFonts w:ascii="Verdana" w:cs="Verdana" w:eastAsia="Verdana" w:hAnsi="Verdana"/>
        </w:rPr>
        <w:t xml:space="preserve">Appendix H: Common Mistakes and How to Avoid Them</w:t>
      </w:r>
    </w:p>
    <w:p>
      <w:pPr>
        <w:spacing w:after="120" w:line="276"/>
        <w:jc w:val="both"/>
      </w:pPr>
      <w:r>
        <w:rPr>
          <w:rFonts w:ascii="Verdana" w:cs="Verdana" w:eastAsia="Verdana" w:hAnsi="Verdana"/>
        </w:rPr>
        <w:t xml:space="preserve">These are the errors seen most often in reviews, audits and notices. Most are process failures rather than gaps in knowledge.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3"/>
        <w:gridCol w:w="2811"/>
        <w:gridCol w:w="3414"/>
      </w:tblGrid>
      <w:tr>
        <w:trPr>
          <w:cantSplit/>
          <w:tblHeader/>
        </w:trPr>
        <w:tc>
          <w:tcPr>
            <w:tcW w:type="dxa" w:w="3413"/>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Mistake</w:t>
            </w:r>
          </w:p>
        </w:tc>
        <w:tc>
          <w:tcPr>
            <w:tcW w:type="dxa" w:w="281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Consequence</w:t>
            </w:r>
          </w:p>
        </w:tc>
        <w:tc>
          <w:tcPr>
            <w:tcW w:type="dxa" w:w="3414"/>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How to avoid</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Claiming ITC not in GSTR-2B</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DRC-01C; demand with interest</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Reconcile with GSTR-2B before filing GSTR-3B</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Missing the 30 November ITC cut-off</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lost permanently</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Year-end review of pending invoices in October</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reversing ITC after 180 days unpaid</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and demand in audit</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Monthly ageing of creditors with GST flag</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Ignoring rule 37A (supplier not filing)</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Demand for ITC with interest</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Check supplier filing status before 30 September</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on blocked items (cars, food, gifts)</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Reversal with interest and penalty</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Map GL codes to section 17(5) heads</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reversal on exempt supplies (rule 42)</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Demand with interest</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Monthly rule 42 working and annual true-up</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Missing reverse charge on legal fees, director fees, rent</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interest, penalty</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Reverse charge checklist in payables process</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Paying reverse charge through credit ledger</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Treated as unpaid</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 reverse charge in cash only</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Wrong place of supply (IGST v. CGST and SGST)</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paid under wrong head, refund needed</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Place of supply check in billing master</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charging tax on advances for services</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on delayed tax</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Receipt voucher and tax on advance</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Late invoices for services (beyond 30 days)</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Interest; mismatch with books</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Monthly unbilled revenue review</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Wrong HSN digits or code</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Rate dispute, GSTR-1 errors</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HSN master reviewed by tax team</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Wrong rate after GST 2.0</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Short payment or excess collection</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Update item masters from 22 September 2025</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Mixed supply taxed at lower rate</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Short payment</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Apply section 8(b) highest rate</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Stock transfers not invoiced</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Demand on distinct person supplies</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Invoice every inter-State transfer</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Corporate guarantee to group company not taxed</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Demand at 1% per year</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Group guarantee register and rule 28(2)</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Import of services from parent not reported</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Reverse charge demand</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Review foreign payments and cross-charges</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Credit notes issued without recipient reversal</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Output tax reduction denied</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Track IMS credit note acceptance</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Discounts not linked to invoices</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Value not reduced</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Written scheme agreed before supply</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E-invoice not generated or late</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Invoice invalid; buyer loses ITC</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System-level IRP integration</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E-way bill not generated or expired</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Detention, 200% penalty</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Dispatch checklist; validity monitor</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Wrong vehicle number in Part B</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Detention</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Update Part B on transhipment</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GSTR-1 and GSTR-3B mismatch</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DRC-01B; blocked GSTR-1</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Monthly three-way reconciliation</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using GSTR-1A for corrections</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Wrong liability in locked GSTR-3B</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Correct through GSTR-1A before GSTR-3B</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Leaving returns unfiled for years</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Three-year bar; cancellation</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Compliance tracker for all GSTINs</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Ignoring portal notices</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 parte orders</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Weekly check of notices tab and email</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Replying late to ASMT-10</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Proceedings under section 73 or 74A</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Reply within 30 days or seek time in writing</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 asking for personal hearing</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Order without hearing; appeal needed</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Always request hearing in reply</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Missing appeal limitation</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Appeal dismissed as time-barred</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Diary date on order communication</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Pre-deposit not paid correctly</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Appeal not admitted</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 through DRC-03 linked to the order</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Paying under protest without record</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Refund difficult</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Letter recording protest and DRC-03 reason</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Accepting GTA invoice without declaration</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Wrong reverse charge treatment</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Obtain GTA option declaration each year</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LUT not renewed for new year</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Exports treated as taxable</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File RFD-11 before 1 April</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Export proceeds not realised in time</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Refund recovered with interest</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Track FIRC or bank realisation per invoice</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Refund filed beyond two years</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Rejected as time-barred</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Quarterly refund cycle</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Wrong turnover in refund formula</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Short refund or rejection</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Reconcile formula inputs with returns</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ISD not registered for common services</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Credit disputes across States</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ISD registration and monthly distribution</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Job work goods not returned in time</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Deemed supply with interest</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ITC-04 and job work ageing</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Records not kept for 72 months</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Adverse inference in audit</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Document retention policy</w:t>
            </w:r>
          </w:p>
        </w:tc>
      </w:tr>
      <w:tr>
        <w:trPr>
          <w:cantSplit/>
        </w:trPr>
        <w:tc>
          <w:tcPr>
            <w:tcW w:type="dxa" w:w="34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Composition dealer collecting tax</w:t>
            </w:r>
          </w:p>
        </w:tc>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Penalty; tax recovery</w:t>
            </w:r>
          </w:p>
        </w:tc>
        <w:tc>
          <w:tcPr>
            <w:tcW w:type="dxa" w:w="34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Bill of supply format only</w:t>
            </w:r>
          </w:p>
        </w:tc>
      </w:tr>
    </w:tbl>
    <w:p>
      <w:pPr>
        <w:pStyle w:val="Heading1"/>
        <w:pageBreakBefore/>
        <w:spacing w:after="200" w:before="0"/>
      </w:pPr>
      <w:r>
        <w:rPr>
          <w:rFonts w:ascii="Verdana" w:cs="Verdana" w:eastAsia="Verdana" w:hAnsi="Verdana"/>
        </w:rPr>
        <w:t xml:space="preserve">Appendix I: Glossary</w:t>
      </w:r>
    </w:p>
    <w:p>
      <w:pPr>
        <w:spacing w:after="120" w:line="276"/>
        <w:jc w:val="both"/>
      </w:pPr>
      <w:r>
        <w:rPr>
          <w:rFonts w:ascii="Verdana" w:cs="Verdana" w:eastAsia="Verdana" w:hAnsi="Verdana"/>
        </w:rPr>
        <w:t xml:space="preserve">Terms and abbreviations used in this book, in alphabetical order. Section references are to the CGST Act unless stated.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1"/>
        <w:gridCol w:w="6827"/>
      </w:tblGrid>
      <w:tr>
        <w:trPr>
          <w:cantSplit/>
          <w:tblHeader/>
        </w:trPr>
        <w:tc>
          <w:tcPr>
            <w:tcW w:type="dxa" w:w="2811"/>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Term</w:t>
            </w:r>
          </w:p>
        </w:tc>
        <w:tc>
          <w:tcPr>
            <w:tcW w:type="dxa" w:w="6827"/>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Meaning</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AAR, AAAR</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Authority and Appellate Authority for Advance Ruling</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AATO</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Annual aggregate turnover</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Actionable claim</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Claim to an unsecured debt or beneficial interest in movable property</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Aggregate turnover</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 supplies on one PAN, as defined in section 2(6)</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Annual return</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GSTR-9 under section 44</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ASMT</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Assessment forms, including scrutiny notice ASMT-10</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Bill of supply</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Document for exempt supplies or by composition taxpayers</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B2B, B2C</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Business to business; business to consumer</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Capital goods</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capitalised in books and used in business</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CBIC</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Central Board of Indirect Taxes and Customs</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Casual taxable person</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Person supplying occasionally in a State where he has no fixed place</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CGST, SGST, UTGST, IGST</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Central, State, Union territory and Integrated GST</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Composite supply</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Naturally bundled supply with a principal supply (section 2(30))</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Composition levy</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Optional scheme under section 10 for small taxpayers</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Consideration</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Payment in money or kind for a supply (section 2(31))</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Continuous supply</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under contract over a period with periodic payment</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Credit note</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Document reducing value or tax of an earlier invoice (section 34)</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Debit note</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Document increasing value or tax of an earlier invoice</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Deemed export</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Notified supplies within India treated as exports (section 147)</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Distinct person</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Registrations of the same PAN in different States (section 25(4))</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DRC</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Demand and recovery forms</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E-invoice</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Invoice registered on the IRP with IRN and QR code</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E-way bill</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Electronic document for movement of goods (rule 138)</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ECO</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Electronic commerce operator</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Exempt supply</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Nil rated, wholly exempt or non-taxable supply (section 2(47))</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Export of services</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 meeting section 2(6) of the IGST Act</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FIRC</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Foreign inward remittance certificate</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Fixed sum method</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QRMP method of paying 35% of last quarter's cash tax</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GSTAT</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and Services Tax Appellate Tribunal</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GSTIN</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Fifteen-character GST identification number</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GSTN</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and Services Tax Network, which runs the portal</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GSTR-1A</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Form to amend current period outward supplies before GSTR-3B</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GSTR-2B</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Static monthly ITC statement</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GTA</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transport agency issuing consignment note</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HSN</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Harmonised System of Nomenclature for goods</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IFF</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Invoice Furnishing Facility for QRMP taxpayers</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IMS</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Invoice Management System for accepting or rejecting inward invoices</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Input</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other than capital goods used in business</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Input service</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 used or intended to be used in business</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Intermediary</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Broker or agent arranging supply between others (section 2(13) of IGST Act)</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Inverted duty structure</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on inputs higher than tax on output</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IRN, IRP</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Invoice reference number; invoice registration portal</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ISD</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Input Service Distributor</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Input tax credit</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Job work</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Processing of goods belonging to another registered person</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LUT</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Letter of Undertaking for zero-rated supply without payment of tax</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Mixed supply</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Separate items sold for one price, not naturally bundled (section 2(74))</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NRTP</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Non-resident taxable person</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OIDAR</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Online information and database access or retrieval services</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Open market value</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Full value of an unrelated arm's length supply at the same time</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Place of supply</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State where the supply is taxed; decides IGST or CGST and SGST</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Proper officer</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Officer assigned the function by the Commissioner</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Pure agent</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Person incurring costs for another as agent (rule 33)</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QRMP</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Quarterly Return Monthly Payment scheme</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Related person</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Persons with specified control or interest (explanation to section 15)</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Reverse charge</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Recipient liable to pay tax (section 2(98))</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RFD</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Refund forms</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SAC</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Services Accounting Code</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SCN</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Show cause notice</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SEZ</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Special Economic Zone</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Specified premises</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Hotel that supplied any unit above Rs. 7,500 per day in the preceding year, or opted in; decides the restaurant rate</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Supply</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All forms of supply for consideration in business, plus Schedule I items (section 7)</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TCS</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collected at source by ECO (section 52)</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TDS</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deducted at source by notified bodies (section 51)</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Taxable person</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Person registered or liable to register (section 2(107))</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Time of supply</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Point when tax liability arises (sections 12 to 14)</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Transaction value</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Price actually paid or payable where parties are unrelated (section 15)</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UIN</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Unique identity number for embassies and UN bodies</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Works contract</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Contract for building or work on immovable property with transfer of goods (section 2(119))</w:t>
            </w:r>
          </w:p>
        </w:tc>
      </w:tr>
      <w:tr>
        <w:trPr>
          <w:cantSplit/>
        </w:trPr>
        <w:tc>
          <w:tcPr>
            <w:tcW w:type="dxa" w:w="281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Zero-rated supply</w:t>
            </w:r>
          </w:p>
        </w:tc>
        <w:tc>
          <w:tcPr>
            <w:tcW w:type="dxa" w:w="68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Exports and supplies to SEZ (section 16 of IGST Act)</w:t>
            </w:r>
          </w:p>
        </w:tc>
      </w:tr>
    </w:tbl>
    <w:p>
      <w:pPr>
        <w:pStyle w:val="Heading1"/>
        <w:pageBreakBefore/>
        <w:spacing w:after="200" w:before="0"/>
      </w:pPr>
      <w:r>
        <w:rPr>
          <w:rFonts w:ascii="Verdana" w:cs="Verdana" w:eastAsia="Verdana" w:hAnsi="Verdana"/>
        </w:rPr>
        <w:t xml:space="preserve">Appendix J: Checklists</w:t>
      </w:r>
    </w:p>
    <w:p>
      <w:pPr>
        <w:spacing w:after="120" w:line="276"/>
        <w:jc w:val="both"/>
      </w:pPr>
      <w:r>
        <w:rPr>
          <w:rFonts w:ascii="Verdana" w:cs="Verdana" w:eastAsia="Verdana" w:hAnsi="Verdana"/>
        </w:rPr>
        <w:t xml:space="preserve">Adapt these lists to the business and keep the working on file.</w:t>
      </w:r>
    </w:p>
    <w:p>
      <w:pPr>
        <w:pStyle w:val="Heading2"/>
        <w:keepNext/>
        <w:spacing w:after="120" w:before="240"/>
      </w:pPr>
      <w:r>
        <w:rPr>
          <w:rFonts w:ascii="Verdana" w:cs="Verdana" w:eastAsia="Verdana" w:hAnsi="Verdana"/>
        </w:rPr>
        <w:t xml:space="preserve">Month-end closing</w:t>
      </w:r>
    </w:p>
    <w:p>
      <w:pPr>
        <w:pStyle w:val="ListParagraph"/>
        <w:numPr>
          <w:ilvl w:val="0"/>
          <w:numId w:val="2"/>
        </w:numPr>
        <w:spacing w:after="60" w:line="264"/>
      </w:pPr>
      <w:r>
        <w:rPr>
          <w:rFonts w:ascii="Verdana" w:cs="Verdana" w:eastAsia="Verdana" w:hAnsi="Verdana"/>
        </w:rPr>
        <w:t xml:space="preserve">Sales register matched with e-invoices, e-way bills and GSTR-1; corrections through GSTR-1A.</w:t>
      </w:r>
    </w:p>
    <w:p>
      <w:pPr>
        <w:pStyle w:val="ListParagraph"/>
        <w:numPr>
          <w:ilvl w:val="0"/>
          <w:numId w:val="2"/>
        </w:numPr>
        <w:spacing w:after="60" w:line="264"/>
      </w:pPr>
      <w:r>
        <w:rPr>
          <w:rFonts w:ascii="Verdana" w:cs="Verdana" w:eastAsia="Verdana" w:hAnsi="Verdana"/>
        </w:rPr>
        <w:t xml:space="preserve">Advances received for services taxed; receipt vouchers issued.</w:t>
      </w:r>
    </w:p>
    <w:p>
      <w:pPr>
        <w:pStyle w:val="ListParagraph"/>
        <w:numPr>
          <w:ilvl w:val="0"/>
          <w:numId w:val="2"/>
        </w:numPr>
        <w:spacing w:after="60" w:line="264"/>
      </w:pPr>
      <w:r>
        <w:rPr>
          <w:rFonts w:ascii="Verdana" w:cs="Verdana" w:eastAsia="Verdana" w:hAnsi="Verdana"/>
        </w:rPr>
        <w:t xml:space="preserve">IMS actions completed; GSTR-2B matched with purchase register; differences followed up.</w:t>
      </w:r>
    </w:p>
    <w:p>
      <w:pPr>
        <w:pStyle w:val="ListParagraph"/>
        <w:numPr>
          <w:ilvl w:val="0"/>
          <w:numId w:val="2"/>
        </w:numPr>
        <w:spacing w:after="60" w:line="264"/>
      </w:pPr>
      <w:r>
        <w:rPr>
          <w:rFonts w:ascii="Verdana" w:cs="Verdana" w:eastAsia="Verdana" w:hAnsi="Verdana"/>
        </w:rPr>
        <w:t xml:space="preserve">Reverse charge liabilities (legal, director, GTA, rent, imports) computed and self-invoices issued.</w:t>
      </w:r>
    </w:p>
    <w:p>
      <w:pPr>
        <w:pStyle w:val="ListParagraph"/>
        <w:numPr>
          <w:ilvl w:val="0"/>
          <w:numId w:val="2"/>
        </w:numPr>
        <w:spacing w:after="60" w:line="264"/>
      </w:pPr>
      <w:r>
        <w:rPr>
          <w:rFonts w:ascii="Verdana" w:cs="Verdana" w:eastAsia="Verdana" w:hAnsi="Verdana"/>
        </w:rPr>
        <w:t xml:space="preserve">Blocked credits excluded; rule 42 and 43 reversals computed; rule 37 ageing checked.</w:t>
      </w:r>
    </w:p>
    <w:p>
      <w:pPr>
        <w:pStyle w:val="ListParagraph"/>
        <w:numPr>
          <w:ilvl w:val="0"/>
          <w:numId w:val="2"/>
        </w:numPr>
        <w:spacing w:after="60" w:line="264"/>
      </w:pPr>
      <w:r>
        <w:rPr>
          <w:rFonts w:ascii="Verdana" w:cs="Verdana" w:eastAsia="Verdana" w:hAnsi="Verdana"/>
        </w:rPr>
        <w:t xml:space="preserve">Rule 86B cash payment checked; set-off order optimised.</w:t>
      </w:r>
    </w:p>
    <w:p>
      <w:pPr>
        <w:pStyle w:val="ListParagraph"/>
        <w:numPr>
          <w:ilvl w:val="0"/>
          <w:numId w:val="2"/>
        </w:numPr>
        <w:spacing w:after="60" w:line="264"/>
      </w:pPr>
      <w:r>
        <w:rPr>
          <w:rFonts w:ascii="Verdana" w:cs="Verdana" w:eastAsia="Verdana" w:hAnsi="Verdana"/>
        </w:rPr>
        <w:t xml:space="preserve">GSTR-3B filed and tax paid by due date; ARN saved.</w:t>
      </w:r>
    </w:p>
    <w:p>
      <w:pPr>
        <w:pStyle w:val="Heading2"/>
        <w:keepNext/>
        <w:spacing w:after="120" w:before="240"/>
      </w:pPr>
      <w:r>
        <w:rPr>
          <w:rFonts w:ascii="Verdana" w:cs="Verdana" w:eastAsia="Verdana" w:hAnsi="Verdana"/>
        </w:rPr>
        <w:t xml:space="preserve">Year-end and GSTR-9</w:t>
      </w:r>
    </w:p>
    <w:p>
      <w:pPr>
        <w:pStyle w:val="ListParagraph"/>
        <w:numPr>
          <w:ilvl w:val="0"/>
          <w:numId w:val="2"/>
        </w:numPr>
        <w:spacing w:after="60" w:line="264"/>
      </w:pPr>
      <w:r>
        <w:rPr>
          <w:rFonts w:ascii="Verdana" w:cs="Verdana" w:eastAsia="Verdana" w:hAnsi="Verdana"/>
        </w:rPr>
        <w:t xml:space="preserve">Turnover in books reconciled with GSTR-1, GSTR-3B and e-invoice data, State-wise.</w:t>
      </w:r>
    </w:p>
    <w:p>
      <w:pPr>
        <w:pStyle w:val="ListParagraph"/>
        <w:numPr>
          <w:ilvl w:val="0"/>
          <w:numId w:val="2"/>
        </w:numPr>
        <w:spacing w:after="60" w:line="264"/>
      </w:pPr>
      <w:r>
        <w:rPr>
          <w:rFonts w:ascii="Verdana" w:cs="Verdana" w:eastAsia="Verdana" w:hAnsi="Verdana"/>
        </w:rPr>
        <w:t xml:space="preserve">ITC in books reconciled with GSTR-2B and GSTR-3B; pending invoices claimed before 30 November.</w:t>
      </w:r>
    </w:p>
    <w:p>
      <w:pPr>
        <w:pStyle w:val="ListParagraph"/>
        <w:numPr>
          <w:ilvl w:val="0"/>
          <w:numId w:val="2"/>
        </w:numPr>
        <w:spacing w:after="60" w:line="264"/>
      </w:pPr>
      <w:r>
        <w:rPr>
          <w:rFonts w:ascii="Verdana" w:cs="Verdana" w:eastAsia="Verdana" w:hAnsi="Verdana"/>
        </w:rPr>
        <w:t xml:space="preserve">Credit notes of the year issued and declared before 30 November.</w:t>
      </w:r>
    </w:p>
    <w:p>
      <w:pPr>
        <w:pStyle w:val="ListParagraph"/>
        <w:numPr>
          <w:ilvl w:val="0"/>
          <w:numId w:val="2"/>
        </w:numPr>
        <w:spacing w:after="60" w:line="264"/>
      </w:pPr>
      <w:r>
        <w:rPr>
          <w:rFonts w:ascii="Verdana" w:cs="Verdana" w:eastAsia="Verdana" w:hAnsi="Verdana"/>
        </w:rPr>
        <w:t xml:space="preserve">Rule 37A check of suppliers not filing; annual rule 42 true-up.</w:t>
      </w:r>
    </w:p>
    <w:p>
      <w:pPr>
        <w:pStyle w:val="ListParagraph"/>
        <w:numPr>
          <w:ilvl w:val="0"/>
          <w:numId w:val="2"/>
        </w:numPr>
        <w:spacing w:after="60" w:line="264"/>
      </w:pPr>
      <w:r>
        <w:rPr>
          <w:rFonts w:ascii="Verdana" w:cs="Verdana" w:eastAsia="Verdana" w:hAnsi="Verdana"/>
        </w:rPr>
        <w:t xml:space="preserve">Unbilled revenue and advances reviewed at year-end.</w:t>
      </w:r>
    </w:p>
    <w:p>
      <w:pPr>
        <w:pStyle w:val="ListParagraph"/>
        <w:numPr>
          <w:ilvl w:val="0"/>
          <w:numId w:val="2"/>
        </w:numPr>
        <w:spacing w:after="60" w:line="264"/>
      </w:pPr>
      <w:r>
        <w:rPr>
          <w:rFonts w:ascii="Verdana" w:cs="Verdana" w:eastAsia="Verdana" w:hAnsi="Verdana"/>
        </w:rPr>
        <w:t xml:space="preserve">GSTR-9 tables filled from reconciled data; additional liability paid through DRC-03.</w:t>
      </w:r>
    </w:p>
    <w:p>
      <w:pPr>
        <w:pStyle w:val="ListParagraph"/>
        <w:numPr>
          <w:ilvl w:val="0"/>
          <w:numId w:val="2"/>
        </w:numPr>
        <w:spacing w:after="60" w:line="264"/>
      </w:pPr>
      <w:r>
        <w:rPr>
          <w:rFonts w:ascii="Verdana" w:cs="Verdana" w:eastAsia="Verdana" w:hAnsi="Verdana"/>
        </w:rPr>
        <w:t xml:space="preserve">GSTR-9C prepared where turnover exceeds Rs. 5 crore; LUT and composition options for next year filed.</w:t>
      </w:r>
    </w:p>
    <w:p>
      <w:pPr>
        <w:pStyle w:val="Heading2"/>
        <w:keepNext/>
        <w:spacing w:after="120" w:before="240"/>
      </w:pPr>
      <w:r>
        <w:rPr>
          <w:rFonts w:ascii="Verdana" w:cs="Verdana" w:eastAsia="Verdana" w:hAnsi="Verdana"/>
        </w:rPr>
        <w:t xml:space="preserve">New client onboarding</w:t>
      </w:r>
    </w:p>
    <w:p>
      <w:pPr>
        <w:pStyle w:val="ListParagraph"/>
        <w:numPr>
          <w:ilvl w:val="0"/>
          <w:numId w:val="2"/>
        </w:numPr>
        <w:spacing w:after="60" w:line="264"/>
      </w:pPr>
      <w:r>
        <w:rPr>
          <w:rFonts w:ascii="Verdana" w:cs="Verdana" w:eastAsia="Verdana" w:hAnsi="Verdana"/>
        </w:rPr>
        <w:t xml:space="preserve">Registration certificates for all States; principal and additional places of business.</w:t>
      </w:r>
    </w:p>
    <w:p>
      <w:pPr>
        <w:pStyle w:val="ListParagraph"/>
        <w:numPr>
          <w:ilvl w:val="0"/>
          <w:numId w:val="2"/>
        </w:numPr>
        <w:spacing w:after="60" w:line="264"/>
      </w:pPr>
      <w:r>
        <w:rPr>
          <w:rFonts w:ascii="Verdana" w:cs="Verdana" w:eastAsia="Verdana" w:hAnsi="Verdana"/>
        </w:rPr>
        <w:t xml:space="preserve">Last 12 months of returns, ledgers, notices and orders; pending refunds and appeals.</w:t>
      </w:r>
    </w:p>
    <w:p>
      <w:pPr>
        <w:pStyle w:val="ListParagraph"/>
        <w:numPr>
          <w:ilvl w:val="0"/>
          <w:numId w:val="2"/>
        </w:numPr>
        <w:spacing w:after="60" w:line="264"/>
      </w:pPr>
      <w:r>
        <w:rPr>
          <w:rFonts w:ascii="Verdana" w:cs="Verdana" w:eastAsia="Verdana" w:hAnsi="Verdana"/>
        </w:rPr>
        <w:t xml:space="preserve">HSN and SAC codes and rates applied; exempt and reverse charge items.</w:t>
      </w:r>
    </w:p>
    <w:p>
      <w:pPr>
        <w:pStyle w:val="ListParagraph"/>
        <w:numPr>
          <w:ilvl w:val="0"/>
          <w:numId w:val="2"/>
        </w:numPr>
        <w:spacing w:after="60" w:line="264"/>
      </w:pPr>
      <w:r>
        <w:rPr>
          <w:rFonts w:ascii="Verdana" w:cs="Verdana" w:eastAsia="Verdana" w:hAnsi="Verdana"/>
        </w:rPr>
        <w:t xml:space="preserve">E-invoicing and e-way bill status; QRMP or composition option.</w:t>
      </w:r>
    </w:p>
    <w:p>
      <w:pPr>
        <w:pStyle w:val="ListParagraph"/>
        <w:numPr>
          <w:ilvl w:val="0"/>
          <w:numId w:val="2"/>
        </w:numPr>
        <w:spacing w:after="60" w:line="264"/>
      </w:pPr>
      <w:r>
        <w:rPr>
          <w:rFonts w:ascii="Verdana" w:cs="Verdana" w:eastAsia="Verdana" w:hAnsi="Verdana"/>
        </w:rPr>
        <w:t xml:space="preserve">Portal access, authorised signatory and a signed authorisation letter.</w:t>
      </w:r>
    </w:p>
    <w:p>
      <w:pPr>
        <w:pStyle w:val="Heading2"/>
        <w:keepNext/>
        <w:spacing w:after="120" w:before="240"/>
      </w:pPr>
      <w:r>
        <w:rPr>
          <w:rFonts w:ascii="Verdana" w:cs="Verdana" w:eastAsia="Verdana" w:hAnsi="Verdana"/>
        </w:rPr>
        <w:t xml:space="preserve">Due diligence for acquisitions</w:t>
      </w:r>
    </w:p>
    <w:p>
      <w:pPr>
        <w:pStyle w:val="ListParagraph"/>
        <w:numPr>
          <w:ilvl w:val="0"/>
          <w:numId w:val="2"/>
        </w:numPr>
        <w:spacing w:after="60" w:line="264"/>
      </w:pPr>
      <w:r>
        <w:rPr>
          <w:rFonts w:ascii="Verdana" w:cs="Verdana" w:eastAsia="Verdana" w:hAnsi="Verdana"/>
        </w:rPr>
        <w:t xml:space="preserve">Filing status of all GSTINs; three-year bar exposure.</w:t>
      </w:r>
    </w:p>
    <w:p>
      <w:pPr>
        <w:pStyle w:val="ListParagraph"/>
        <w:numPr>
          <w:ilvl w:val="0"/>
          <w:numId w:val="2"/>
        </w:numPr>
        <w:spacing w:after="60" w:line="264"/>
      </w:pPr>
      <w:r>
        <w:rPr>
          <w:rFonts w:ascii="Verdana" w:cs="Verdana" w:eastAsia="Verdana" w:hAnsi="Verdana"/>
        </w:rPr>
        <w:t xml:space="preserve">Open notices, audits, investigations and demands, with limitation dates under sections 73, 74 and 74A.</w:t>
      </w:r>
    </w:p>
    <w:p>
      <w:pPr>
        <w:pStyle w:val="ListParagraph"/>
        <w:numPr>
          <w:ilvl w:val="0"/>
          <w:numId w:val="2"/>
        </w:numPr>
        <w:spacing w:after="60" w:line="264"/>
      </w:pPr>
      <w:r>
        <w:rPr>
          <w:rFonts w:ascii="Verdana" w:cs="Verdana" w:eastAsia="Verdana" w:hAnsi="Verdana"/>
        </w:rPr>
        <w:t xml:space="preserve">ITC quality: vendor compliance, section 16(2)(c) exposure, rule 37 and 37A, blocked credits.</w:t>
      </w:r>
    </w:p>
    <w:p>
      <w:pPr>
        <w:pStyle w:val="ListParagraph"/>
        <w:numPr>
          <w:ilvl w:val="0"/>
          <w:numId w:val="2"/>
        </w:numPr>
        <w:spacing w:after="60" w:line="264"/>
      </w:pPr>
      <w:r>
        <w:rPr>
          <w:rFonts w:ascii="Verdana" w:cs="Verdana" w:eastAsia="Verdana" w:hAnsi="Verdana"/>
        </w:rPr>
        <w:t xml:space="preserve">Related party and cross-charge transactions, corporate guarantees, imports of services.</w:t>
      </w:r>
    </w:p>
    <w:p>
      <w:pPr>
        <w:pStyle w:val="ListParagraph"/>
        <w:numPr>
          <w:ilvl w:val="0"/>
          <w:numId w:val="2"/>
        </w:numPr>
        <w:spacing w:after="60" w:line="264"/>
      </w:pPr>
      <w:r>
        <w:rPr>
          <w:rFonts w:ascii="Verdana" w:cs="Verdana" w:eastAsia="Verdana" w:hAnsi="Verdana"/>
        </w:rPr>
        <w:t xml:space="preserve">Refund claims and their risk; unjust enrichment position.</w:t>
      </w:r>
    </w:p>
    <w:p>
      <w:pPr>
        <w:pStyle w:val="ListParagraph"/>
        <w:numPr>
          <w:ilvl w:val="0"/>
          <w:numId w:val="2"/>
        </w:numPr>
        <w:spacing w:after="60" w:line="264"/>
      </w:pPr>
      <w:r>
        <w:rPr>
          <w:rFonts w:ascii="Verdana" w:cs="Verdana" w:eastAsia="Verdana" w:hAnsi="Verdana"/>
        </w:rPr>
        <w:t xml:space="preserve">Transfer of ITC (ITC-02) and liability of transferee under section 85; indemnity in the agreement.</w:t>
      </w:r>
    </w:p>
    <w:p>
      <w:pPr>
        <w:pStyle w:val="Heading2"/>
        <w:keepNext/>
        <w:spacing w:after="120" w:before="240"/>
      </w:pPr>
      <w:r>
        <w:rPr>
          <w:rFonts w:ascii="Verdana" w:cs="Verdana" w:eastAsia="Verdana" w:hAnsi="Verdana"/>
        </w:rPr>
        <w:t xml:space="preserve">Export of services</w:t>
      </w:r>
    </w:p>
    <w:p>
      <w:pPr>
        <w:pStyle w:val="ListParagraph"/>
        <w:numPr>
          <w:ilvl w:val="0"/>
          <w:numId w:val="2"/>
        </w:numPr>
        <w:spacing w:after="60" w:line="264"/>
      </w:pPr>
      <w:r>
        <w:rPr>
          <w:rFonts w:ascii="Verdana" w:cs="Verdana" w:eastAsia="Verdana" w:hAnsi="Verdana"/>
        </w:rPr>
        <w:t xml:space="preserve">Five conditions of section 2(6) of the IGST Act checked for each contract.</w:t>
      </w:r>
    </w:p>
    <w:p>
      <w:pPr>
        <w:pStyle w:val="ListParagraph"/>
        <w:numPr>
          <w:ilvl w:val="0"/>
          <w:numId w:val="2"/>
        </w:numPr>
        <w:spacing w:after="60" w:line="264"/>
      </w:pPr>
      <w:r>
        <w:rPr>
          <w:rFonts w:ascii="Verdana" w:cs="Verdana" w:eastAsia="Verdana" w:hAnsi="Verdana"/>
        </w:rPr>
        <w:t xml:space="preserve">Place of supply confirmed under section 13 (default rule after 30 March 2026 for intermediaries).</w:t>
      </w:r>
    </w:p>
    <w:p>
      <w:pPr>
        <w:pStyle w:val="ListParagraph"/>
        <w:numPr>
          <w:ilvl w:val="0"/>
          <w:numId w:val="2"/>
        </w:numPr>
        <w:spacing w:after="60" w:line="264"/>
      </w:pPr>
      <w:r>
        <w:rPr>
          <w:rFonts w:ascii="Verdana" w:cs="Verdana" w:eastAsia="Verdana" w:hAnsi="Verdana"/>
        </w:rPr>
        <w:t xml:space="preserve">LUT filed for the year; invoice marked "supply meant for export under LUT without payment of IGST".</w:t>
      </w:r>
    </w:p>
    <w:p>
      <w:pPr>
        <w:pStyle w:val="ListParagraph"/>
        <w:numPr>
          <w:ilvl w:val="0"/>
          <w:numId w:val="2"/>
        </w:numPr>
        <w:spacing w:after="60" w:line="264"/>
      </w:pPr>
      <w:r>
        <w:rPr>
          <w:rFonts w:ascii="Verdana" w:cs="Verdana" w:eastAsia="Verdana" w:hAnsi="Verdana"/>
        </w:rPr>
        <w:t xml:space="preserve">Foreign exchange realisation tracked; FIRC or bank advice kept per invoice.</w:t>
      </w:r>
    </w:p>
    <w:p>
      <w:pPr>
        <w:pStyle w:val="ListParagraph"/>
        <w:numPr>
          <w:ilvl w:val="0"/>
          <w:numId w:val="2"/>
        </w:numPr>
        <w:spacing w:after="60" w:line="264"/>
      </w:pPr>
      <w:r>
        <w:rPr>
          <w:rFonts w:ascii="Verdana" w:cs="Verdana" w:eastAsia="Verdana" w:hAnsi="Verdana"/>
        </w:rPr>
        <w:t xml:space="preserve">Refund of ITC filed within two years using rule 89(4).</w:t>
      </w:r>
    </w:p>
    <w:p>
      <w:pPr>
        <w:pStyle w:val="Heading2"/>
        <w:keepNext/>
        <w:spacing w:after="120" w:before="240"/>
      </w:pPr>
      <w:r>
        <w:rPr>
          <w:rFonts w:ascii="Verdana" w:cs="Verdana" w:eastAsia="Verdana" w:hAnsi="Verdana"/>
        </w:rPr>
        <w:t xml:space="preserve">ITC defence documents</w:t>
      </w:r>
    </w:p>
    <w:p>
      <w:pPr>
        <w:pStyle w:val="ListParagraph"/>
        <w:numPr>
          <w:ilvl w:val="0"/>
          <w:numId w:val="2"/>
        </w:numPr>
        <w:spacing w:after="60" w:line="264"/>
      </w:pPr>
      <w:r>
        <w:rPr>
          <w:rFonts w:ascii="Verdana" w:cs="Verdana" w:eastAsia="Verdana" w:hAnsi="Verdana"/>
        </w:rPr>
        <w:t xml:space="preserve">Tax invoice, purchase order, contract and delivery challan or e-way bill.</w:t>
      </w:r>
    </w:p>
    <w:p>
      <w:pPr>
        <w:pStyle w:val="ListParagraph"/>
        <w:numPr>
          <w:ilvl w:val="0"/>
          <w:numId w:val="2"/>
        </w:numPr>
        <w:spacing w:after="60" w:line="264"/>
      </w:pPr>
      <w:r>
        <w:rPr>
          <w:rFonts w:ascii="Verdana" w:cs="Verdana" w:eastAsia="Verdana" w:hAnsi="Verdana"/>
        </w:rPr>
        <w:t xml:space="preserve">Goods receipt note, transport documents, weighbridge slips where relevant.</w:t>
      </w:r>
    </w:p>
    <w:p>
      <w:pPr>
        <w:pStyle w:val="ListParagraph"/>
        <w:numPr>
          <w:ilvl w:val="0"/>
          <w:numId w:val="2"/>
        </w:numPr>
        <w:spacing w:after="60" w:line="264"/>
      </w:pPr>
      <w:r>
        <w:rPr>
          <w:rFonts w:ascii="Verdana" w:cs="Verdana" w:eastAsia="Verdana" w:hAnsi="Verdana"/>
        </w:rPr>
        <w:t xml:space="preserve">Payment by banking channel; ledger of supplier; proof of GSTR-2B reflection.</w:t>
      </w:r>
    </w:p>
    <w:p>
      <w:pPr>
        <w:pStyle w:val="ListParagraph"/>
        <w:numPr>
          <w:ilvl w:val="0"/>
          <w:numId w:val="2"/>
        </w:numPr>
        <w:spacing w:after="60" w:line="264"/>
      </w:pPr>
      <w:r>
        <w:rPr>
          <w:rFonts w:ascii="Verdana" w:cs="Verdana" w:eastAsia="Verdana" w:hAnsi="Verdana"/>
        </w:rPr>
        <w:t xml:space="preserve">Supplier GSTIN validity and filing status on invoice date.</w:t>
      </w:r>
    </w:p>
    <w:p>
      <w:pPr>
        <w:pStyle w:val="ListParagraph"/>
        <w:numPr>
          <w:ilvl w:val="0"/>
          <w:numId w:val="2"/>
        </w:numPr>
        <w:spacing w:after="60" w:line="264"/>
      </w:pPr>
      <w:r>
        <w:rPr>
          <w:rFonts w:ascii="Verdana" w:cs="Verdana" w:eastAsia="Verdana" w:hAnsi="Verdana"/>
        </w:rPr>
        <w:t xml:space="preserve">Evidence of use in business: consumption records, photographs of assets, service reports.</w:t>
      </w:r>
    </w:p>
    <w:p>
      <w:pPr>
        <w:pStyle w:val="Heading2"/>
        <w:keepNext/>
        <w:spacing w:after="120" w:before="240"/>
      </w:pPr>
      <w:r>
        <w:rPr>
          <w:rFonts w:ascii="Verdana" w:cs="Verdana" w:eastAsia="Verdana" w:hAnsi="Verdana"/>
        </w:rPr>
        <w:t xml:space="preserve">Search or audit readiness</w:t>
      </w:r>
    </w:p>
    <w:p>
      <w:pPr>
        <w:pStyle w:val="ListParagraph"/>
        <w:numPr>
          <w:ilvl w:val="0"/>
          <w:numId w:val="2"/>
        </w:numPr>
        <w:spacing w:after="60" w:line="264"/>
      </w:pPr>
      <w:r>
        <w:rPr>
          <w:rFonts w:ascii="Verdana" w:cs="Verdana" w:eastAsia="Verdana" w:hAnsi="Verdana"/>
        </w:rPr>
        <w:t xml:space="preserve">Nominated contact person; lawyer and consultant numbers available.</w:t>
      </w:r>
    </w:p>
    <w:p>
      <w:pPr>
        <w:pStyle w:val="ListParagraph"/>
        <w:numPr>
          <w:ilvl w:val="0"/>
          <w:numId w:val="2"/>
        </w:numPr>
        <w:spacing w:after="60" w:line="264"/>
      </w:pPr>
      <w:r>
        <w:rPr>
          <w:rFonts w:ascii="Verdana" w:cs="Verdana" w:eastAsia="Verdana" w:hAnsi="Verdana"/>
        </w:rPr>
        <w:t xml:space="preserve">Statutory records at the registered place of business; backups of electronic records.</w:t>
      </w:r>
    </w:p>
    <w:p>
      <w:pPr>
        <w:pStyle w:val="ListParagraph"/>
        <w:numPr>
          <w:ilvl w:val="0"/>
          <w:numId w:val="2"/>
        </w:numPr>
        <w:spacing w:after="60" w:line="264"/>
      </w:pPr>
      <w:r>
        <w:rPr>
          <w:rFonts w:ascii="Verdana" w:cs="Verdana" w:eastAsia="Verdana" w:hAnsi="Verdana"/>
        </w:rPr>
        <w:t xml:space="preserve">Staff briefed to cooperate, give true statements and ask for copies.</w:t>
      </w:r>
    </w:p>
    <w:p>
      <w:pPr>
        <w:pStyle w:val="ListParagraph"/>
        <w:numPr>
          <w:ilvl w:val="0"/>
          <w:numId w:val="2"/>
        </w:numPr>
        <w:spacing w:after="60" w:line="264"/>
      </w:pPr>
      <w:r>
        <w:rPr>
          <w:rFonts w:ascii="Verdana" w:cs="Verdana" w:eastAsia="Verdana" w:hAnsi="Verdana"/>
        </w:rPr>
        <w:t xml:space="preserve">Check authorisation (INS-01) and identity of officers; note start and end time.</w:t>
      </w:r>
    </w:p>
    <w:p>
      <w:pPr>
        <w:pStyle w:val="ListParagraph"/>
        <w:numPr>
          <w:ilvl w:val="0"/>
          <w:numId w:val="2"/>
        </w:numPr>
        <w:spacing w:after="60" w:line="264"/>
      </w:pPr>
      <w:r>
        <w:rPr>
          <w:rFonts w:ascii="Verdana" w:cs="Verdana" w:eastAsia="Verdana" w:hAnsi="Verdana"/>
        </w:rPr>
        <w:t xml:space="preserve">Inventory of documents and devices seized; copy of panchnama obtained.</w:t>
      </w:r>
    </w:p>
    <w:p>
      <w:pPr>
        <w:pStyle w:val="ListParagraph"/>
        <w:numPr>
          <w:ilvl w:val="0"/>
          <w:numId w:val="2"/>
        </w:numPr>
        <w:spacing w:after="60" w:line="264"/>
      </w:pPr>
      <w:r>
        <w:rPr>
          <w:rFonts w:ascii="Verdana" w:cs="Verdana" w:eastAsia="Verdana" w:hAnsi="Verdana"/>
        </w:rPr>
        <w:t xml:space="preserve">No payment under pressure; any payment only after considered decision, with record that it is voluntary (Radhika Agarwal, Supreme Court, 2025).</w:t>
      </w:r>
    </w:p>
    <w:p>
      <w:pPr>
        <w:pStyle w:val="Heading1"/>
        <w:pageBreakBefore/>
        <w:spacing w:after="200" w:before="0"/>
      </w:pPr>
      <w:r>
        <w:rPr>
          <w:rFonts w:ascii="Verdana" w:cs="Verdana" w:eastAsia="Verdana" w:hAnsi="Verdana"/>
        </w:rPr>
        <w:t xml:space="preserve">Appendix K: Specimen Formats</w:t>
      </w:r>
    </w:p>
    <w:p>
      <w:pPr>
        <w:spacing w:after="120" w:line="276"/>
        <w:jc w:val="both"/>
      </w:pPr>
      <w:r>
        <w:rPr>
          <w:rFonts w:ascii="Verdana" w:cs="Verdana" w:eastAsia="Verdana" w:hAnsi="Verdana"/>
        </w:rPr>
        <w:t xml:space="preserve">These are working outlines. Replace the text in square brackets and adapt the content to the facts. Replies to notices should always attach the supporting documents and a list of them.</w:t>
      </w:r>
    </w:p>
    <w:p>
      <w:pPr>
        <w:pStyle w:val="Heading2"/>
        <w:keepNext/>
        <w:spacing w:after="120" w:before="240"/>
      </w:pPr>
      <w:r>
        <w:rPr>
          <w:rFonts w:ascii="Verdana" w:cs="Verdana" w:eastAsia="Verdana" w:hAnsi="Verdana"/>
        </w:rPr>
        <w:t xml:space="preserve">Vendor compliance letter</w:t>
      </w:r>
    </w:p>
    <w:p>
      <w:pPr>
        <w:spacing w:after="120" w:line="276"/>
        <w:jc w:val="both"/>
      </w:pPr>
      <w:r>
        <w:rPr>
          <w:rFonts w:ascii="Verdana" w:cs="Verdana" w:eastAsia="Verdana" w:hAnsi="Verdana"/>
        </w:rPr>
        <w:t xml:space="preserve">To: [Vendor name, GSTIN]. Subject: GST compliance for supplies to [Company name]. We note that invoices [numbers and dates] totalling tax of Rs. [amount] do not appear in our GSTR-2B for [month]. Please report them in GSTR-1 or GSTR-1A and file GSTR-3B by [date]; under section 16(2)(c) our credit depends on your payment of the tax. Payments on these invoices are on hold until then. [Signatory, designation].</w:t>
      </w:r>
    </w:p>
    <w:p>
      <w:pPr>
        <w:pStyle w:val="Heading2"/>
        <w:keepNext/>
        <w:spacing w:after="120" w:before="240"/>
      </w:pPr>
      <w:r>
        <w:rPr>
          <w:rFonts w:ascii="Verdana" w:cs="Verdana" w:eastAsia="Verdana" w:hAnsi="Verdana"/>
        </w:rPr>
        <w:t xml:space="preserve">Reply to ASMT-10 (scrutiny notice)</w:t>
      </w:r>
    </w:p>
    <w:p>
      <w:pPr>
        <w:spacing w:after="120" w:line="276"/>
        <w:jc w:val="both"/>
      </w:pPr>
      <w:r>
        <w:rPr>
          <w:rFonts w:ascii="Verdana" w:cs="Verdana" w:eastAsia="Verdana" w:hAnsi="Verdana"/>
        </w:rPr>
        <w:t xml:space="preserve">To: [Proper officer, designation, jurisdiction]. Reference: ASMT-10 dated [date] for [tax period], GSTIN [number].</w:t>
      </w:r>
    </w:p>
    <w:p>
      <w:pPr>
        <w:pStyle w:val="ListParagraph"/>
        <w:numPr>
          <w:ilvl w:val="0"/>
          <w:numId w:val="2"/>
        </w:numPr>
        <w:spacing w:after="60" w:line="264"/>
      </w:pPr>
      <w:r>
        <w:rPr>
          <w:rFonts w:ascii="Verdana" w:cs="Verdana" w:eastAsia="Verdana" w:hAnsi="Verdana"/>
        </w:rPr>
        <w:t xml:space="preserve">Para 1: Discrepancy [number]: [difference as stated]. Explanation: [reconciliation, with annexure reference].</w:t>
      </w:r>
    </w:p>
    <w:p>
      <w:pPr>
        <w:pStyle w:val="ListParagraph"/>
        <w:numPr>
          <w:ilvl w:val="0"/>
          <w:numId w:val="2"/>
        </w:numPr>
        <w:spacing w:after="60" w:line="264"/>
      </w:pPr>
      <w:r>
        <w:rPr>
          <w:rFonts w:ascii="Verdana" w:cs="Verdana" w:eastAsia="Verdana" w:hAnsi="Verdana"/>
        </w:rPr>
        <w:t xml:space="preserve">Para 2: Where a difference is accepted, tax of Rs. [amount] with interest of Rs. [amount] paid through DRC-03 [ARN, date].</w:t>
      </w:r>
    </w:p>
    <w:p>
      <w:pPr>
        <w:pStyle w:val="ListParagraph"/>
        <w:numPr>
          <w:ilvl w:val="0"/>
          <w:numId w:val="2"/>
        </w:numPr>
        <w:spacing w:after="60" w:line="264"/>
      </w:pPr>
      <w:r>
        <w:rPr>
          <w:rFonts w:ascii="Verdana" w:cs="Verdana" w:eastAsia="Verdana" w:hAnsi="Verdana"/>
        </w:rPr>
        <w:t xml:space="preserve">Para 3: Request to accept the explanation and drop proceedings through ASMT-12; request for personal hearing if any doubt remains.</w:t>
      </w:r>
    </w:p>
    <w:p>
      <w:pPr>
        <w:pStyle w:val="ListParagraph"/>
        <w:numPr>
          <w:ilvl w:val="0"/>
          <w:numId w:val="2"/>
        </w:numPr>
        <w:spacing w:after="60" w:line="264"/>
      </w:pPr>
      <w:r>
        <w:rPr>
          <w:rFonts w:ascii="Verdana" w:cs="Verdana" w:eastAsia="Verdana" w:hAnsi="Verdana"/>
        </w:rPr>
        <w:t xml:space="preserve">Filed through ASMT-11 on [date], with annexures [list].</w:t>
      </w:r>
    </w:p>
    <w:p>
      <w:pPr>
        <w:pStyle w:val="Heading2"/>
        <w:keepNext/>
        <w:spacing w:after="120" w:before="240"/>
      </w:pPr>
      <w:r>
        <w:rPr>
          <w:rFonts w:ascii="Verdana" w:cs="Verdana" w:eastAsia="Verdana" w:hAnsi="Verdana"/>
        </w:rPr>
        <w:t xml:space="preserve">Reply to DRC-01A (pre-notice intimation)</w:t>
      </w:r>
    </w:p>
    <w:p>
      <w:pPr>
        <w:spacing w:after="120" w:line="276"/>
        <w:jc w:val="both"/>
      </w:pPr>
      <w:r>
        <w:rPr>
          <w:rFonts w:ascii="Verdana" w:cs="Verdana" w:eastAsia="Verdana" w:hAnsi="Verdana"/>
        </w:rPr>
        <w:t xml:space="preserve">Reference: DRC-01A dated [date], amount ascertained Rs. [amount] under section [73/74/74A]. We do not accept the amount for the following reasons: [grounds, each with facts and law]. [Or: we accept Rs. (amount) and have paid it with interest through DRC-03 (ARN); for the balance, see grounds.] We request that no show cause notice be issued for the disputed part.</w:t>
      </w:r>
    </w:p>
    <w:p>
      <w:pPr>
        <w:pStyle w:val="Heading2"/>
        <w:keepNext/>
        <w:spacing w:after="120" w:before="240"/>
      </w:pPr>
      <w:r>
        <w:rPr>
          <w:rFonts w:ascii="Verdana" w:cs="Verdana" w:eastAsia="Verdana" w:hAnsi="Verdana"/>
        </w:rPr>
        <w:t xml:space="preserve">Outline reply to show cause notice</w:t>
      </w:r>
    </w:p>
    <w:p>
      <w:pPr>
        <w:pStyle w:val="ListParagraph"/>
        <w:numPr>
          <w:ilvl w:val="0"/>
          <w:numId w:val="2"/>
        </w:numPr>
        <w:spacing w:after="60" w:line="264"/>
      </w:pPr>
      <w:r>
        <w:rPr>
          <w:rFonts w:ascii="Verdana" w:cs="Verdana" w:eastAsia="Verdana" w:hAnsi="Verdana"/>
        </w:rPr>
        <w:t xml:space="preserve">Preliminary objections: limitation, jurisdiction (including section 6(2)(b)), defects in the notice, non-supply of relied upon documents.</w:t>
      </w:r>
    </w:p>
    <w:p>
      <w:pPr>
        <w:pStyle w:val="ListParagraph"/>
        <w:numPr>
          <w:ilvl w:val="0"/>
          <w:numId w:val="2"/>
        </w:numPr>
        <w:spacing w:after="60" w:line="264"/>
      </w:pPr>
      <w:r>
        <w:rPr>
          <w:rFonts w:ascii="Verdana" w:cs="Verdana" w:eastAsia="Verdana" w:hAnsi="Verdana"/>
        </w:rPr>
        <w:t xml:space="preserve">Facts: business, transactions in issue, documents available.</w:t>
      </w:r>
    </w:p>
    <w:p>
      <w:pPr>
        <w:pStyle w:val="ListParagraph"/>
        <w:numPr>
          <w:ilvl w:val="0"/>
          <w:numId w:val="2"/>
        </w:numPr>
        <w:spacing w:after="60" w:line="264"/>
      </w:pPr>
      <w:r>
        <w:rPr>
          <w:rFonts w:ascii="Verdana" w:cs="Verdana" w:eastAsia="Verdana" w:hAnsi="Verdana"/>
        </w:rPr>
        <w:t xml:space="preserve">Grounds on merits: statutory provisions, rules, circulars and rulings, point by point against each allegation.</w:t>
      </w:r>
    </w:p>
    <w:p>
      <w:pPr>
        <w:pStyle w:val="ListParagraph"/>
        <w:numPr>
          <w:ilvl w:val="0"/>
          <w:numId w:val="2"/>
        </w:numPr>
        <w:spacing w:after="60" w:line="264"/>
      </w:pPr>
      <w:r>
        <w:rPr>
          <w:rFonts w:ascii="Verdana" w:cs="Verdana" w:eastAsia="Verdana" w:hAnsi="Verdana"/>
        </w:rPr>
        <w:t xml:space="preserve">Extended period not invokable: facts disclosed in returns, no suppression (Pushpam Pharmaceuticals, Supreme Court, 1995).</w:t>
      </w:r>
    </w:p>
    <w:p>
      <w:pPr>
        <w:pStyle w:val="ListParagraph"/>
        <w:numPr>
          <w:ilvl w:val="0"/>
          <w:numId w:val="2"/>
        </w:numPr>
        <w:spacing w:after="60" w:line="264"/>
      </w:pPr>
      <w:r>
        <w:rPr>
          <w:rFonts w:ascii="Verdana" w:cs="Verdana" w:eastAsia="Verdana" w:hAnsi="Verdana"/>
        </w:rPr>
        <w:t xml:space="preserve">Interest and penalty: not payable or reduced, with reasons.</w:t>
      </w:r>
    </w:p>
    <w:p>
      <w:pPr>
        <w:pStyle w:val="ListParagraph"/>
        <w:numPr>
          <w:ilvl w:val="0"/>
          <w:numId w:val="2"/>
        </w:numPr>
        <w:spacing w:after="60" w:line="264"/>
      </w:pPr>
      <w:r>
        <w:rPr>
          <w:rFonts w:ascii="Verdana" w:cs="Verdana" w:eastAsia="Verdana" w:hAnsi="Verdana"/>
        </w:rPr>
        <w:t xml:space="preserve">Prayer: drop the notice; grant personal hearing under section 75(4).</w:t>
      </w:r>
    </w:p>
    <w:p>
      <w:pPr>
        <w:pStyle w:val="Heading2"/>
        <w:keepNext/>
        <w:spacing w:after="120" w:before="240"/>
      </w:pPr>
      <w:r>
        <w:rPr>
          <w:rFonts w:ascii="Verdana" w:cs="Verdana" w:eastAsia="Verdana" w:hAnsi="Verdana"/>
        </w:rPr>
        <w:t xml:space="preserve">Grounds of appeal for ITC denial</w:t>
      </w:r>
    </w:p>
    <w:p>
      <w:pPr>
        <w:pStyle w:val="ListParagraph"/>
        <w:numPr>
          <w:ilvl w:val="0"/>
          <w:numId w:val="2"/>
        </w:numPr>
        <w:spacing w:after="60" w:line="264"/>
      </w:pPr>
      <w:r>
        <w:rPr>
          <w:rFonts w:ascii="Verdana" w:cs="Verdana" w:eastAsia="Verdana" w:hAnsi="Verdana"/>
        </w:rPr>
        <w:t xml:space="preserve">The order is beyond the show cause notice and breaches section 75(7).</w:t>
      </w:r>
    </w:p>
    <w:p>
      <w:pPr>
        <w:pStyle w:val="ListParagraph"/>
        <w:numPr>
          <w:ilvl w:val="0"/>
          <w:numId w:val="2"/>
        </w:numPr>
        <w:spacing w:after="60" w:line="264"/>
      </w:pPr>
      <w:r>
        <w:rPr>
          <w:rFonts w:ascii="Verdana" w:cs="Verdana" w:eastAsia="Verdana" w:hAnsi="Verdana"/>
        </w:rPr>
        <w:t xml:space="preserve">All conditions of section 16(2) were met: invoice, receipt of goods [evidence], payment by bank, reflection in GSTR-2B.</w:t>
      </w:r>
    </w:p>
    <w:p>
      <w:pPr>
        <w:pStyle w:val="ListParagraph"/>
        <w:numPr>
          <w:ilvl w:val="0"/>
          <w:numId w:val="2"/>
        </w:numPr>
        <w:spacing w:after="60" w:line="264"/>
      </w:pPr>
      <w:r>
        <w:rPr>
          <w:rFonts w:ascii="Verdana" w:cs="Verdana" w:eastAsia="Verdana" w:hAnsi="Verdana"/>
        </w:rPr>
        <w:t xml:space="preserve">Where the supplier has not paid: the appellant has [evidence of supplier recovery steps]; credit is restorable on the supplier's payment. [Note: section 16(2)(c) was upheld in Bhandari Scrap Traders, Supreme Court, 2026; frame this ground on facts, not validity.]</w:t>
      </w:r>
    </w:p>
    <w:p>
      <w:pPr>
        <w:pStyle w:val="ListParagraph"/>
        <w:numPr>
          <w:ilvl w:val="0"/>
          <w:numId w:val="2"/>
        </w:numPr>
        <w:spacing w:after="60" w:line="264"/>
      </w:pPr>
      <w:r>
        <w:rPr>
          <w:rFonts w:ascii="Verdana" w:cs="Verdana" w:eastAsia="Verdana" w:hAnsi="Verdana"/>
        </w:rPr>
        <w:t xml:space="preserve">The adjudicating authority did not consider the documents filed on [date].</w:t>
      </w:r>
    </w:p>
    <w:p>
      <w:pPr>
        <w:pStyle w:val="ListParagraph"/>
        <w:numPr>
          <w:ilvl w:val="0"/>
          <w:numId w:val="2"/>
        </w:numPr>
        <w:spacing w:after="60" w:line="264"/>
      </w:pPr>
      <w:r>
        <w:rPr>
          <w:rFonts w:ascii="Verdana" w:cs="Verdana" w:eastAsia="Verdana" w:hAnsi="Verdana"/>
        </w:rPr>
        <w:t xml:space="preserve">Penalty not leviable as there was no intent to evade.</w:t>
      </w:r>
    </w:p>
    <w:p>
      <w:pPr>
        <w:pStyle w:val="Heading2"/>
        <w:keepNext/>
        <w:spacing w:after="120" w:before="240"/>
      </w:pPr>
      <w:r>
        <w:rPr>
          <w:rFonts w:ascii="Verdana" w:cs="Verdana" w:eastAsia="Verdana" w:hAnsi="Verdana"/>
        </w:rPr>
        <w:t xml:space="preserve">GTA forward charge declaration</w:t>
      </w:r>
    </w:p>
    <w:p>
      <w:pPr>
        <w:spacing w:after="120" w:line="276"/>
        <w:jc w:val="both"/>
      </w:pPr>
      <w:r>
        <w:rPr>
          <w:rFonts w:ascii="Verdana" w:cs="Verdana" w:eastAsia="Verdana" w:hAnsi="Verdana"/>
        </w:rPr>
        <w:t xml:space="preserve">A GTA that wants to pay tax at 18% under forward charge files a declaration in the prescribed annexure on the portal before the start of the financial year (by 31 March), or within the time allowed for a new GTA. The option then continues until the GTA files the annexure to withdraw. The declaration states the legal name, GSTIN, PAN, the financial year and the choice to pay tax on forward charge. Recipients should keep the acknowledgement on the vendor file. Check the current form on the portal.</w:t>
      </w:r>
    </w:p>
    <w:p>
      <w:pPr>
        <w:pStyle w:val="Heading2"/>
        <w:keepNext/>
        <w:spacing w:after="120" w:before="240"/>
      </w:pPr>
      <w:r>
        <w:rPr>
          <w:rFonts w:ascii="Verdana" w:cs="Verdana" w:eastAsia="Verdana" w:hAnsi="Verdana"/>
        </w:rPr>
        <w:t xml:space="preserve">LUT checklist</w:t>
      </w:r>
    </w:p>
    <w:p>
      <w:pPr>
        <w:pStyle w:val="ListParagraph"/>
        <w:numPr>
          <w:ilvl w:val="0"/>
          <w:numId w:val="2"/>
        </w:numPr>
        <w:spacing w:after="60" w:line="264"/>
      </w:pPr>
      <w:r>
        <w:rPr>
          <w:rFonts w:ascii="Verdana" w:cs="Verdana" w:eastAsia="Verdana" w:hAnsi="Verdana"/>
        </w:rPr>
        <w:t xml:space="preserve">RFD-11 filed online on the portal for the financial year; acknowledgement saved.</w:t>
      </w:r>
    </w:p>
    <w:p>
      <w:pPr>
        <w:pStyle w:val="ListParagraph"/>
        <w:numPr>
          <w:ilvl w:val="0"/>
          <w:numId w:val="2"/>
        </w:numPr>
        <w:spacing w:after="60" w:line="264"/>
      </w:pPr>
      <w:r>
        <w:rPr>
          <w:rFonts w:ascii="Verdana" w:cs="Verdana" w:eastAsia="Verdana" w:hAnsi="Verdana"/>
        </w:rPr>
        <w:t xml:space="preserve">Authorised signatory and two independent witnesses with addresses.</w:t>
      </w:r>
    </w:p>
    <w:p>
      <w:pPr>
        <w:pStyle w:val="ListParagraph"/>
        <w:numPr>
          <w:ilvl w:val="0"/>
          <w:numId w:val="2"/>
        </w:numPr>
        <w:spacing w:after="60" w:line="264"/>
      </w:pPr>
      <w:r>
        <w:rPr>
          <w:rFonts w:ascii="Verdana" w:cs="Verdana" w:eastAsia="Verdana" w:hAnsi="Verdana"/>
        </w:rPr>
        <w:t xml:space="preserve">Exporter not prosecuted for an offence under the CGST Act, IGST Act or earlier law involving tax evasion above Rs. 2.5 crore (the condition for LUT eligibility).</w:t>
      </w:r>
    </w:p>
    <w:p>
      <w:pPr>
        <w:pStyle w:val="ListParagraph"/>
        <w:numPr>
          <w:ilvl w:val="0"/>
          <w:numId w:val="2"/>
        </w:numPr>
        <w:spacing w:after="60" w:line="264"/>
      </w:pPr>
      <w:r>
        <w:rPr>
          <w:rFonts w:ascii="Verdana" w:cs="Verdana" w:eastAsia="Verdana" w:hAnsi="Verdana"/>
        </w:rPr>
        <w:t xml:space="preserve">Invoice wording for exports without payment of tax.</w:t>
      </w:r>
    </w:p>
    <w:p>
      <w:pPr>
        <w:pStyle w:val="Heading2"/>
        <w:keepNext/>
        <w:spacing w:after="120" w:before="240"/>
      </w:pPr>
      <w:r>
        <w:rPr>
          <w:rFonts w:ascii="Verdana" w:cs="Verdana" w:eastAsia="Verdana" w:hAnsi="Verdana"/>
        </w:rPr>
        <w:t xml:space="preserve">Adjournment request</w:t>
      </w:r>
    </w:p>
    <w:p>
      <w:pPr>
        <w:spacing w:after="120" w:line="276"/>
        <w:jc w:val="both"/>
      </w:pPr>
      <w:r>
        <w:rPr>
          <w:rFonts w:ascii="Verdana" w:cs="Verdana" w:eastAsia="Verdana" w:hAnsi="Verdana"/>
        </w:rPr>
        <w:t xml:space="preserve">To: [Officer]. Reference: [notice or hearing notice, date]. The hearing is fixed on [date]. We request an adjournment of [days] because [reason: documents awaited from, authorised representative unavailable due to]. This is our [first/second] request (section 75(5) permits up to three).</w:t>
      </w:r>
    </w:p>
    <w:p>
      <w:pPr>
        <w:pStyle w:val="Heading2"/>
        <w:keepNext/>
        <w:spacing w:after="120" w:before="240"/>
      </w:pPr>
      <w:r>
        <w:rPr>
          <w:rFonts w:ascii="Verdana" w:cs="Verdana" w:eastAsia="Verdana" w:hAnsi="Verdana"/>
        </w:rPr>
        <w:t xml:space="preserve">Authorisation letter</w:t>
      </w:r>
    </w:p>
    <w:p>
      <w:pPr>
        <w:spacing w:after="120" w:line="276"/>
        <w:jc w:val="both"/>
      </w:pPr>
      <w:r>
        <w:rPr>
          <w:rFonts w:ascii="Verdana" w:cs="Verdana" w:eastAsia="Verdana" w:hAnsi="Verdana"/>
        </w:rPr>
        <w:t xml:space="preserve">I, [name], [designation] of [entity, GSTIN], authorise [name of representative, membership number] to appear before [authority] in the matter of [reference], to file replies, make submissions and receive documents on our behalf. [Signature, seal, date].</w:t>
      </w:r>
    </w:p>
    <w:p>
      <w:pPr>
        <w:pStyle w:val="Heading2"/>
        <w:keepNext/>
        <w:spacing w:after="120" w:before="240"/>
      </w:pPr>
      <w:r>
        <w:rPr>
          <w:rFonts w:ascii="Verdana" w:cs="Verdana" w:eastAsia="Verdana" w:hAnsi="Verdana"/>
        </w:rPr>
        <w:t xml:space="preserve">Board note on GST 2.0 price revision</w:t>
      </w:r>
    </w:p>
    <w:p>
      <w:pPr>
        <w:pStyle w:val="ListParagraph"/>
        <w:numPr>
          <w:ilvl w:val="0"/>
          <w:numId w:val="2"/>
        </w:numPr>
        <w:spacing w:after="60" w:line="264"/>
      </w:pPr>
      <w:r>
        <w:rPr>
          <w:rFonts w:ascii="Verdana" w:cs="Verdana" w:eastAsia="Verdana" w:hAnsi="Verdana"/>
        </w:rPr>
        <w:t xml:space="preserve">Purpose: approve revised prices after the rate change from [old rate] to [new rate] effective 22 September 2025.</w:t>
      </w:r>
    </w:p>
    <w:p>
      <w:pPr>
        <w:pStyle w:val="ListParagraph"/>
        <w:numPr>
          <w:ilvl w:val="0"/>
          <w:numId w:val="2"/>
        </w:numPr>
        <w:spacing w:after="60" w:line="264"/>
      </w:pPr>
      <w:r>
        <w:rPr>
          <w:rFonts w:ascii="Verdana" w:cs="Verdana" w:eastAsia="Verdana" w:hAnsi="Verdana"/>
        </w:rPr>
        <w:t xml:space="preserve">Products affected: [list with HSN and old and new rates].</w:t>
      </w:r>
    </w:p>
    <w:p>
      <w:pPr>
        <w:pStyle w:val="ListParagraph"/>
        <w:numPr>
          <w:ilvl w:val="0"/>
          <w:numId w:val="2"/>
        </w:numPr>
        <w:spacing w:after="60" w:line="264"/>
      </w:pPr>
      <w:r>
        <w:rPr>
          <w:rFonts w:ascii="Verdana" w:cs="Verdana" w:eastAsia="Verdana" w:hAnsi="Verdana"/>
        </w:rPr>
        <w:t xml:space="preserve">Impact: tax per unit, effect on ITC (including any reversal where supplies moved to a without-ITC rate), cash flow.</w:t>
      </w:r>
    </w:p>
    <w:p>
      <w:pPr>
        <w:pStyle w:val="ListParagraph"/>
        <w:numPr>
          <w:ilvl w:val="0"/>
          <w:numId w:val="2"/>
        </w:numPr>
        <w:spacing w:after="60" w:line="264"/>
      </w:pPr>
      <w:r>
        <w:rPr>
          <w:rFonts w:ascii="Verdana" w:cs="Verdana" w:eastAsia="Verdana" w:hAnsi="Verdana"/>
        </w:rPr>
        <w:t xml:space="preserve">Proposed price: [old price, new price]; the benefit of the rate cut passed on to customers.</w:t>
      </w:r>
    </w:p>
    <w:p>
      <w:pPr>
        <w:pStyle w:val="ListParagraph"/>
        <w:numPr>
          <w:ilvl w:val="0"/>
          <w:numId w:val="2"/>
        </w:numPr>
        <w:spacing w:after="60" w:line="264"/>
      </w:pPr>
      <w:r>
        <w:rPr>
          <w:rFonts w:ascii="Verdana" w:cs="Verdana" w:eastAsia="Verdana" w:hAnsi="Verdana"/>
        </w:rPr>
        <w:t xml:space="preserve">Transition: invoices issued, advances received and stock on 21 September 2025 under section 14; ERP masters updated.</w:t>
      </w:r>
    </w:p>
    <w:p>
      <w:pPr>
        <w:pStyle w:val="ListParagraph"/>
        <w:numPr>
          <w:ilvl w:val="0"/>
          <w:numId w:val="2"/>
        </w:numPr>
        <w:spacing w:after="60" w:line="264"/>
      </w:pPr>
      <w:r>
        <w:rPr>
          <w:rFonts w:ascii="Verdana" w:cs="Verdana" w:eastAsia="Verdana" w:hAnsi="Verdana"/>
        </w:rPr>
        <w:t xml:space="preserve">Recommendation: [approval sought].</w:t>
      </w:r>
    </w:p>
    <w:p>
      <w:pPr>
        <w:pStyle w:val="Heading1"/>
        <w:pageBreakBefore/>
        <w:spacing w:after="200" w:before="0"/>
      </w:pPr>
      <w:r>
        <w:rPr>
          <w:rFonts w:ascii="Verdana" w:cs="Verdana" w:eastAsia="Verdana" w:hAnsi="Verdana"/>
        </w:rPr>
        <w:t xml:space="preserve">Appendix L: Time Limits Ready Reckoner</w:t>
      </w:r>
    </w:p>
    <w:p>
      <w:pPr>
        <w:spacing w:after="120" w:line="276"/>
        <w:jc w:val="both"/>
      </w:pPr>
      <w:r>
        <w:rPr>
          <w:rFonts w:ascii="Verdana" w:cs="Verdana" w:eastAsia="Verdana" w:hAnsi="Verdana"/>
        </w:rPr>
        <w:t xml:space="preserve">The time limits below are the ones most often missed. Where a limit can be extended, the extension is noted.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5"/>
        <w:gridCol w:w="4015"/>
        <w:gridCol w:w="1808"/>
      </w:tblGrid>
      <w:tr>
        <w:trPr>
          <w:cantSplit/>
          <w:tblHeader/>
        </w:trPr>
        <w:tc>
          <w:tcPr>
            <w:tcW w:type="dxa" w:w="381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Event</w:t>
            </w:r>
          </w:p>
        </w:tc>
        <w:tc>
          <w:tcPr>
            <w:tcW w:type="dxa" w:w="4015"/>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Time limit</w:t>
            </w:r>
          </w:p>
        </w:tc>
        <w:tc>
          <w:tcPr>
            <w:tcW w:type="dxa" w:w="180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Section or rule</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Apply for registration</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days from becoming liable</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25(1)</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Casual or non-resident registration</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5 days before starting business</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25(1)</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Revocation of cancellation</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90 days from service of cancellation order, extendable by the Commissioner by up to 180 days</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30; r. 23</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Invoice for services</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days (45 for banks, insurers)</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 47</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Self-invoice under reverse charge</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days from receipt of supply</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 47A</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Report e-invoice (AATO Rs. 10 crore or more)</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days from invoice date</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 48</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Claim ITC</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November of next year or annual return, earlier</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16(4)</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Declare credit note</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November of next year or annual return, earlier</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34(2)</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 supplier to keep ITC</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180 days from invoice</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 37</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on new registration (ITC-01)</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Within 30 days of becoming eligible</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 40</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Return of inputs from job worker</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year (capital goods 3 years)</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143</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Time of supply, reverse charge services</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Earlier of payment date and the day after 60 days from invoice</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13(3)</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Goods sent on approval</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 months</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31(7)</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Export goods under LUT</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 months from invoice</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 96A</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Realise export of services proceeds</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 year or as extended</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 96A</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Refund application</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 years from relevant date</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54(1)</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Refund acknowledgement or deficiency memo</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15 days</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 90</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Refund order</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60 days from complete application</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54(7)</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Retain records</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72 months from due date of annual return</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36</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Reply to scrutiny notice</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days or as allowed</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 99</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Departmental audit notice</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At least 15 working days</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65(3)</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Complete audit</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 months, extendable by 6 months</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65(4)</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Special audit report</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90 days, extendable by 90 days</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66(2)</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73 notice and order (FY 2017-18 to 2023-24)</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Notice 33 months; order 3 years from annual return due date</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73</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74 notice and order</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Notice 54 months; order 5 years</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74</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Section 74A notice and order (FY 2024-25 onwards)</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Notice 42 months; order 12 months from notice (+6)</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74A</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Pay confirmed demand</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 months from order</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78</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Provisional attachment</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Ceases after 1 year</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83(2)</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Blocking of credit ledger</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Ceases after 1 year</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 86A</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Detention: notice and order</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Notice in 7 days of detention; order in 7 days of notice</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129</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Appeal to Appellate Authority</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 months + 1 month condonable</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107</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Appeal to GSTAT</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 months (+3 months condonable)</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112</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Appeal to High Court</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180 days</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117</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Advance ruling appeal to AAAR</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30 days + 30 days</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100</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Rectification of order</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 months; not after 6 months except clerical errors</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161</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Final return GSTR-10</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3 months from cancellation date or order, later</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45</w:t>
            </w:r>
          </w:p>
        </w:tc>
      </w:tr>
      <w:tr>
        <w:trPr>
          <w:cantSplit/>
        </w:trPr>
        <w:tc>
          <w:tcPr>
            <w:tcW w:type="dxa" w:w="3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Withdrawal of best judgement order</w:t>
            </w:r>
          </w:p>
        </w:tc>
        <w:tc>
          <w:tcPr>
            <w:tcW w:type="dxa" w:w="4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Return filed within 60 days (+60 with extra fee)</w:t>
            </w:r>
          </w:p>
        </w:tc>
        <w:tc>
          <w:tcPr>
            <w:tcW w:type="dxa" w:w="18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62(2)</w:t>
            </w:r>
          </w:p>
        </w:tc>
      </w:tr>
    </w:tbl>
    <w:p>
      <w:pPr>
        <w:pStyle w:val="Heading1"/>
        <w:pageBreakBefore/>
        <w:spacing w:after="200" w:before="0"/>
      </w:pPr>
      <w:r>
        <w:rPr>
          <w:rFonts w:ascii="Verdana" w:cs="Verdana" w:eastAsia="Verdana" w:hAnsi="Verdana"/>
        </w:rPr>
        <w:t xml:space="preserve">Appendix M: Interest, Late Fee and Penalty Ready Reckoner</w:t>
      </w:r>
    </w:p>
    <w:p>
      <w:pPr>
        <w:spacing w:after="120" w:line="276"/>
        <w:jc w:val="both"/>
      </w:pPr>
      <w:r>
        <w:rPr>
          <w:rFonts w:ascii="Verdana" w:cs="Verdana" w:eastAsia="Verdana" w:hAnsi="Verdana"/>
        </w:rPr>
        <w:t xml:space="preserve">Interest compensates the Government for delay. Late fee is a fixed charge for filing a return late. Penalty punishes a breach. The three are separate, so a single default can attract all three.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4718"/>
        <w:gridCol w:w="1708"/>
      </w:tblGrid>
      <w:tr>
        <w:trPr>
          <w:cantSplit/>
          <w:tblHeader/>
        </w:trPr>
        <w:tc>
          <w:tcPr>
            <w:tcW w:type="dxa" w:w="3212"/>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Item</w:t>
            </w:r>
          </w:p>
        </w:tc>
        <w:tc>
          <w:tcPr>
            <w:tcW w:type="dxa" w:w="471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Rate or amount</w:t>
            </w:r>
          </w:p>
        </w:tc>
        <w:tc>
          <w:tcPr>
            <w:tcW w:type="dxa" w:w="170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Section</w:t>
            </w:r>
          </w:p>
        </w:tc>
      </w:tr>
      <w:tr>
        <w:trPr>
          <w:cantSplit/>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Tax paid late</w:t>
            </w:r>
          </w:p>
        </w:tc>
        <w:tc>
          <w:tcPr>
            <w:tcW w:type="dxa" w:w="47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 a year on net cash portion</w:t>
            </w:r>
          </w:p>
        </w:tc>
        <w:tc>
          <w:tcPr>
            <w:tcW w:type="dxa" w:w="17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50(1)</w:t>
            </w:r>
          </w:p>
        </w:tc>
      </w:tr>
      <w:tr>
        <w:trPr>
          <w:cantSplit/>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ITC wrongly availed and utilised</w:t>
            </w:r>
          </w:p>
        </w:tc>
        <w:tc>
          <w:tcPr>
            <w:tcW w:type="dxa" w:w="47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18% a year from utilisation</w:t>
            </w:r>
          </w:p>
        </w:tc>
        <w:tc>
          <w:tcPr>
            <w:tcW w:type="dxa" w:w="17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50(3); r. 88B</w:t>
            </w:r>
          </w:p>
        </w:tc>
      </w:tr>
      <w:tr>
        <w:trPr>
          <w:cantSplit/>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Delayed refund</w:t>
            </w:r>
          </w:p>
        </w:tc>
        <w:tc>
          <w:tcPr>
            <w:tcW w:type="dxa" w:w="47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6% a year after 60 days (9% where refund follows an appellate or court order)</w:t>
            </w:r>
          </w:p>
        </w:tc>
        <w:tc>
          <w:tcPr>
            <w:tcW w:type="dxa" w:w="17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56</w:t>
            </w:r>
          </w:p>
        </w:tc>
      </w:tr>
      <w:tr>
        <w:trPr>
          <w:cantSplit/>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GSTR-1, GSTR-3B late fee</w:t>
            </w:r>
          </w:p>
        </w:tc>
        <w:tc>
          <w:tcPr>
            <w:tcW w:type="dxa" w:w="47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50 a day (Rs. 20 for nil); caps Rs. 500 nil, Rs. 2,000 up to Rs. 1.5 crore, Rs. 5,000 up to Rs. 5 crore, Rs. 10,000 above</w:t>
            </w:r>
          </w:p>
        </w:tc>
        <w:tc>
          <w:tcPr>
            <w:tcW w:type="dxa" w:w="17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47</w:t>
            </w:r>
          </w:p>
        </w:tc>
      </w:tr>
      <w:tr>
        <w:trPr>
          <w:cantSplit/>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GSTR-9 late fee</w:t>
            </w:r>
          </w:p>
        </w:tc>
        <w:tc>
          <w:tcPr>
            <w:tcW w:type="dxa" w:w="47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50, 100 or 200 a day by turnover; cap 0.04% (up to Rs. 20 crore) or 0.5% (above)</w:t>
            </w:r>
          </w:p>
        </w:tc>
        <w:tc>
          <w:tcPr>
            <w:tcW w:type="dxa" w:w="17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47</w:t>
            </w:r>
          </w:p>
        </w:tc>
      </w:tr>
      <w:tr>
        <w:trPr>
          <w:cantSplit/>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Specified offences</w:t>
            </w:r>
          </w:p>
        </w:tc>
        <w:tc>
          <w:tcPr>
            <w:tcW w:type="dxa" w:w="47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10,000 or tax involved, whichever higher</w:t>
            </w:r>
          </w:p>
        </w:tc>
        <w:tc>
          <w:tcPr>
            <w:tcW w:type="dxa" w:w="17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122(1)</w:t>
            </w:r>
          </w:p>
        </w:tc>
      </w:tr>
      <w:tr>
        <w:trPr>
          <w:cantSplit/>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Track and trace breach</w:t>
            </w:r>
          </w:p>
        </w:tc>
        <w:tc>
          <w:tcPr>
            <w:tcW w:type="dxa" w:w="47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Rs. 1 lakh or 10% of tax payable, whichever higher</w:t>
            </w:r>
          </w:p>
        </w:tc>
        <w:tc>
          <w:tcPr>
            <w:tcW w:type="dxa" w:w="17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122B</w:t>
            </w:r>
          </w:p>
        </w:tc>
      </w:tr>
      <w:tr>
        <w:trPr>
          <w:cantSplit/>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General penalty</w:t>
            </w:r>
          </w:p>
        </w:tc>
        <w:tc>
          <w:tcPr>
            <w:tcW w:type="dxa" w:w="47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Up to Rs. 25,000</w:t>
            </w:r>
          </w:p>
        </w:tc>
        <w:tc>
          <w:tcPr>
            <w:tcW w:type="dxa" w:w="17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125</w:t>
            </w:r>
          </w:p>
        </w:tc>
      </w:tr>
      <w:tr>
        <w:trPr>
          <w:cantSplit/>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Minor breach (tax under Rs. 5,000) or easily rectified error</w:t>
            </w:r>
          </w:p>
        </w:tc>
        <w:tc>
          <w:tcPr>
            <w:tcW w:type="dxa" w:w="47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 penalty</w:t>
            </w:r>
          </w:p>
        </w:tc>
        <w:tc>
          <w:tcPr>
            <w:tcW w:type="dxa" w:w="17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126</w:t>
            </w:r>
          </w:p>
        </w:tc>
      </w:tr>
      <w:tr>
        <w:trPr>
          <w:cantSplit/>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Non-fraud demand (FY 2024-25 onwards)</w:t>
            </w:r>
          </w:p>
        </w:tc>
        <w:tc>
          <w:tcPr>
            <w:tcW w:type="dxa" w:w="47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 of tax or Rs. 10,000, higher; nil if paid within 60 days of notice</w:t>
            </w:r>
          </w:p>
        </w:tc>
        <w:tc>
          <w:tcPr>
            <w:tcW w:type="dxa" w:w="17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74A</w:t>
            </w:r>
          </w:p>
        </w:tc>
      </w:tr>
      <w:tr>
        <w:trPr>
          <w:cantSplit/>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Fraud demand (FY 2024-25 onwards)</w:t>
            </w:r>
          </w:p>
        </w:tc>
        <w:tc>
          <w:tcPr>
            <w:tcW w:type="dxa" w:w="47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100% of tax; 15%, 25% or 50% on early payment</w:t>
            </w:r>
          </w:p>
        </w:tc>
        <w:tc>
          <w:tcPr>
            <w:tcW w:type="dxa" w:w="17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74A</w:t>
            </w:r>
          </w:p>
        </w:tc>
      </w:tr>
      <w:tr>
        <w:trPr>
          <w:cantSplit/>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Detention, owner comes forward</w:t>
            </w:r>
          </w:p>
        </w:tc>
        <w:tc>
          <w:tcPr>
            <w:tcW w:type="dxa" w:w="47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200% of tax (exempt goods: 2% of value or Rs. 25,000, lower)</w:t>
            </w:r>
          </w:p>
        </w:tc>
        <w:tc>
          <w:tcPr>
            <w:tcW w:type="dxa" w:w="17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129</w:t>
            </w:r>
          </w:p>
        </w:tc>
      </w:tr>
      <w:tr>
        <w:trPr>
          <w:cantSplit/>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Detention, owner not forward</w:t>
            </w:r>
          </w:p>
        </w:tc>
        <w:tc>
          <w:tcPr>
            <w:tcW w:type="dxa" w:w="471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Higher of 50% of value or 200% of tax (exempt goods: 5% of value or Rs. 25,000, lower)</w:t>
            </w:r>
          </w:p>
        </w:tc>
        <w:tc>
          <w:tcPr>
            <w:tcW w:type="dxa" w:w="17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 129</w:t>
            </w:r>
          </w:p>
        </w:tc>
      </w:tr>
    </w:tbl>
    <w:p>
      <w:pPr>
        <w:spacing w:after="60"/>
      </w:pPr>
    </w:p>
    <w:p>
      <w:pPr>
        <w:spacing w:after="120" w:line="276"/>
        <w:jc w:val="both"/>
      </w:pPr>
      <w:r>
        <w:rPr>
          <w:rFonts w:ascii="Verdana" w:cs="Verdana" w:eastAsia="Verdana" w:hAnsi="Verdana"/>
        </w:rPr>
        <w:t xml:space="preserve">The illustrations below apply these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230: Interest on late payment of tax</w:t>
            </w:r>
          </w:p>
          <w:p>
            <w:pPr>
              <w:spacing w:after="60" w:line="260"/>
            </w:pPr>
            <w:r>
              <w:rPr>
                <w:rFonts w:ascii="Verdana" w:cs="Verdana" w:eastAsia="Verdana" w:hAnsi="Verdana"/>
                <w:sz w:val="20"/>
                <w:szCs w:val="20"/>
              </w:rPr>
              <w:t xml:space="preserve">Sharma Textiles Pvt. Ltd. had output tax of Rs. 6,40,000 for August 2026, of which Rs. 4,00,000 was set off from ITC. The balance was paid in cash 24 days after the due date.</w:t>
            </w:r>
          </w:p>
          <w:p>
            <w:pPr>
              <w:spacing w:after="60" w:line="260"/>
            </w:pPr>
            <w:r>
              <w:rPr>
                <w:rFonts w:ascii="Verdana" w:cs="Verdana" w:eastAsia="Verdana" w:hAnsi="Verdana"/>
                <w:sz w:val="20"/>
                <w:szCs w:val="20"/>
              </w:rPr>
              <w:t xml:space="preserve">Step 1: Cash portion = Rs. 6,40,000 less Rs. 4,00,000 = Rs. 2,40,000.</w:t>
            </w:r>
          </w:p>
          <w:p>
            <w:pPr>
              <w:spacing w:after="60" w:line="260"/>
            </w:pPr>
            <w:r>
              <w:rPr>
                <w:rFonts w:ascii="Verdana" w:cs="Verdana" w:eastAsia="Verdana" w:hAnsi="Verdana"/>
                <w:sz w:val="20"/>
                <w:szCs w:val="20"/>
              </w:rPr>
              <w:t xml:space="preserve">Step 2: Interest = Rs. 2,40,000 x 18% x 24/365 = Rs. 2,840.55, say Rs. 2,841.</w:t>
            </w:r>
          </w:p>
          <w:p>
            <w:pPr>
              <w:spacing w:after="60" w:line="260"/>
            </w:pPr>
            <w:r>
              <w:rPr>
                <w:rFonts w:ascii="Verdana" w:cs="Verdana" w:eastAsia="Verdana" w:hAnsi="Verdana"/>
                <w:sz w:val="20"/>
                <w:szCs w:val="20"/>
              </w:rPr>
              <w:t xml:space="preserve">Interest is not charged on the part set off from credit, because that tax was already with the Government.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231: Late fee on GSTR-3B</w:t>
            </w:r>
          </w:p>
          <w:p>
            <w:pPr>
              <w:spacing w:after="60" w:line="260"/>
            </w:pPr>
            <w:r>
              <w:rPr>
                <w:rFonts w:ascii="Verdana" w:cs="Verdana" w:eastAsia="Verdana" w:hAnsi="Verdana"/>
                <w:sz w:val="20"/>
                <w:szCs w:val="20"/>
              </w:rPr>
              <w:t xml:space="preserve">Kavya Enterprises (turnover Rs. 3 crore) filed GSTR-3B 47 days late.</w:t>
            </w:r>
          </w:p>
          <w:p>
            <w:pPr>
              <w:spacing w:after="60" w:line="260"/>
            </w:pPr>
            <w:r>
              <w:rPr>
                <w:rFonts w:ascii="Verdana" w:cs="Verdana" w:eastAsia="Verdana" w:hAnsi="Verdana"/>
                <w:sz w:val="20"/>
                <w:szCs w:val="20"/>
              </w:rPr>
              <w:t xml:space="preserve">Step 1: 47 days x Rs. 50 = Rs. 2,350 (CGST Rs. 1,175 + SGST Rs. 1,175).</w:t>
            </w:r>
          </w:p>
          <w:p>
            <w:pPr>
              <w:spacing w:after="60" w:line="260"/>
            </w:pPr>
            <w:r>
              <w:rPr>
                <w:rFonts w:ascii="Verdana" w:cs="Verdana" w:eastAsia="Verdana" w:hAnsi="Verdana"/>
                <w:sz w:val="20"/>
                <w:szCs w:val="20"/>
              </w:rPr>
              <w:t xml:space="preserve">Step 2: Cap for turnover between Rs. 1.5 crore and Rs. 5 crore is Rs. 5,000. Late fee payable = Rs. 2,350, in cash.</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232: Interest on ITC wrongly availed and utilised</w:t>
            </w:r>
          </w:p>
          <w:p>
            <w:pPr>
              <w:spacing w:after="60" w:line="260"/>
            </w:pPr>
            <w:r>
              <w:rPr>
                <w:rFonts w:ascii="Verdana" w:cs="Verdana" w:eastAsia="Verdana" w:hAnsi="Verdana"/>
                <w:sz w:val="20"/>
                <w:szCs w:val="20"/>
              </w:rPr>
              <w:t xml:space="preserve">Mehta and Co. claimed ineligible ITC of Rs. 1,50,000 in the GSTR-3B filed on 20 July 2026. Its credit balance fell below Rs. 1,50,000 on the same day because of set-off. It reversed the credit on 15 October 2026.</w:t>
            </w:r>
          </w:p>
          <w:p>
            <w:pPr>
              <w:spacing w:after="60" w:line="260"/>
            </w:pPr>
            <w:r>
              <w:rPr>
                <w:rFonts w:ascii="Verdana" w:cs="Verdana" w:eastAsia="Verdana" w:hAnsi="Verdana"/>
                <w:sz w:val="20"/>
                <w:szCs w:val="20"/>
              </w:rPr>
              <w:t xml:space="preserve">Step 1: Period from 20 July 2026 to 15 October 2026 = 87 days.</w:t>
            </w:r>
          </w:p>
          <w:p>
            <w:pPr>
              <w:spacing w:after="60" w:line="260"/>
            </w:pPr>
            <w:r>
              <w:rPr>
                <w:rFonts w:ascii="Verdana" w:cs="Verdana" w:eastAsia="Verdana" w:hAnsi="Verdana"/>
                <w:sz w:val="20"/>
                <w:szCs w:val="20"/>
              </w:rPr>
              <w:t xml:space="preserve">Step 2: Interest = Rs. 1,50,000 x 18% x 87/365 = Rs. 6,435.62, say Rs. 6,436.</w:t>
            </w:r>
          </w:p>
          <w:p>
            <w:pPr>
              <w:spacing w:after="60" w:line="260"/>
            </w:pPr>
            <w:r>
              <w:rPr>
                <w:rFonts w:ascii="Verdana" w:cs="Verdana" w:eastAsia="Verdana" w:hAnsi="Verdana"/>
                <w:sz w:val="20"/>
                <w:szCs w:val="20"/>
              </w:rPr>
              <w:t xml:space="preserve">Had the balance never fallen below Rs. 1,50,000, the credit would not be treated as utilised and no interest would arise under rule 88B.</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233: Late fee on GSTR-9</w:t>
            </w:r>
          </w:p>
          <w:p>
            <w:pPr>
              <w:spacing w:after="60" w:line="260"/>
            </w:pPr>
            <w:r>
              <w:rPr>
                <w:rFonts w:ascii="Verdana" w:cs="Verdana" w:eastAsia="Verdana" w:hAnsi="Verdana"/>
                <w:sz w:val="20"/>
                <w:szCs w:val="20"/>
              </w:rPr>
              <w:t xml:space="preserve">Arora Foods Pvt. Ltd. (turnover Rs. 12 crore) filed GSTR-9 for FY 2025-26 on 9 February 2027, 40 days after 31 December 2026.</w:t>
            </w:r>
          </w:p>
          <w:p>
            <w:pPr>
              <w:spacing w:after="60" w:line="260"/>
            </w:pPr>
            <w:r>
              <w:rPr>
                <w:rFonts w:ascii="Verdana" w:cs="Verdana" w:eastAsia="Verdana" w:hAnsi="Verdana"/>
                <w:sz w:val="20"/>
                <w:szCs w:val="20"/>
              </w:rPr>
              <w:t xml:space="preserve">Step 1: Rate for turnover between Rs. 5 crore and Rs. 20 crore = Rs. 100 a day. 40 x Rs. 100 = Rs. 4,000 (Rs. 2,000 + Rs. 2,000).</w:t>
            </w:r>
          </w:p>
          <w:p>
            <w:pPr>
              <w:spacing w:after="60" w:line="260"/>
            </w:pPr>
            <w:r>
              <w:rPr>
                <w:rFonts w:ascii="Verdana" w:cs="Verdana" w:eastAsia="Verdana" w:hAnsi="Verdana"/>
                <w:sz w:val="20"/>
                <w:szCs w:val="20"/>
              </w:rPr>
              <w:t xml:space="preserve">Step 2: Cap = 0.04% of Rs. 12 crore = Rs. 48,000. Late fee payable = Rs. 4,000.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DF3E6" w:color="auto" w:val="clear"/>
            <w:tcMar>
              <w:top w:type="dxa" w:w="110"/>
              <w:left w:type="dxa" w:w="200"/>
              <w:bottom w:type="dxa" w:w="110"/>
              <w:right w:type="dxa" w:w="200"/>
            </w:tcMar>
          </w:tcPr>
          <w:p>
            <w:pPr>
              <w:keepNext/>
              <w:spacing w:after="80"/>
            </w:pPr>
            <w:r>
              <w:rPr>
                <w:rFonts w:ascii="Verdana" w:cs="Verdana" w:eastAsia="Verdana" w:hAnsi="Verdana"/>
                <w:b/>
                <w:bCs/>
                <w:color w:val="D97706"/>
                <w:sz w:val="21"/>
                <w:szCs w:val="21"/>
              </w:rPr>
              <w:t xml:space="preserve">Illustration 234: Penalty under section 74A</w:t>
            </w:r>
          </w:p>
          <w:p>
            <w:pPr>
              <w:spacing w:after="60" w:line="260"/>
            </w:pPr>
            <w:r>
              <w:rPr>
                <w:rFonts w:ascii="Verdana" w:cs="Verdana" w:eastAsia="Verdana" w:hAnsi="Verdana"/>
                <w:sz w:val="20"/>
                <w:szCs w:val="20"/>
              </w:rPr>
              <w:t xml:space="preserve">Case 1, no fraud: tax demanded Rs. 3,20,000. Penalty = higher of 10% (Rs. 32,000) and Rs. 10,000 = Rs. 32,000. If tax and interest are paid within 60 days of the notice, penalty is nil.</w:t>
            </w:r>
          </w:p>
          <w:p>
            <w:pPr>
              <w:spacing w:after="60" w:line="260"/>
            </w:pPr>
            <w:r>
              <w:rPr>
                <w:rFonts w:ascii="Verdana" w:cs="Verdana" w:eastAsia="Verdana" w:hAnsi="Verdana"/>
                <w:sz w:val="20"/>
                <w:szCs w:val="20"/>
              </w:rPr>
              <w:t xml:space="preserve">Case 2, fraud: tax demanded Rs. 5,00,000. Penalty is Rs. 75,000 (15%) if paid before notice; Rs. 1,25,000 (25%) if paid within 60 days of notice; Rs. 2,50,000 (50%) if paid within 60 days of the order; otherwise Rs. 5,00,000 (100%).</w:t>
            </w:r>
          </w:p>
          <w:p>
            <w:pPr>
              <w:spacing w:after="60" w:line="260"/>
            </w:pPr>
            <w:r>
              <w:rPr>
                <w:rFonts w:ascii="Verdana" w:cs="Verdana" w:eastAsia="Verdana" w:hAnsi="Verdana"/>
                <w:sz w:val="20"/>
                <w:szCs w:val="20"/>
              </w:rPr>
              <w:t xml:space="preserve">Weigh early payment against the strength of the defence before the 60 days pass.</w:t>
            </w:r>
          </w:p>
        </w:tc>
      </w:tr>
    </w:tbl>
    <w:p>
      <w:pPr>
        <w:pStyle w:val="Heading1"/>
        <w:pageBreakBefore/>
        <w:spacing w:after="200" w:before="0"/>
      </w:pPr>
      <w:r>
        <w:rPr>
          <w:rFonts w:ascii="Verdana" w:cs="Verdana" w:eastAsia="Verdana" w:hAnsi="Verdana"/>
        </w:rPr>
        <w:t xml:space="preserve">Appendix N: HSN and SAC Quick Guide</w:t>
      </w:r>
    </w:p>
    <w:p>
      <w:pPr>
        <w:spacing w:after="120" w:line="276"/>
        <w:jc w:val="both"/>
      </w:pPr>
      <w:r>
        <w:rPr>
          <w:rFonts w:ascii="Verdana" w:cs="Verdana" w:eastAsia="Verdana" w:hAnsi="Verdana"/>
        </w:rPr>
        <w:t xml:space="preserve">Goods are classified under the Harmonised System of Nomenclature (HSN) as adopted in the Customs Tariff: 21 sections and 98 chapters, with headings (4 digits), sub-headings (6 digits) and tariff items (8 digits). Services use the Services Accounting Code (SAC), all within chapter 99. Rate notifications refer to these codes, so the classification decides the rate.</w:t>
      </w:r>
    </w:p>
    <w:p>
      <w:pPr>
        <w:spacing w:after="120" w:line="276"/>
        <w:jc w:val="both"/>
      </w:pPr>
      <w:r>
        <w:rPr>
          <w:rFonts w:ascii="Verdana" w:cs="Verdana" w:eastAsia="Verdana" w:hAnsi="Verdana"/>
        </w:rPr>
        <w:t xml:space="preserve">Where AATO is above Rs. 5 crore, invoices and GSTR-1 must show HSN codes at 6 digits for all supplies. Where AATO is up to Rs. 5 crore, 4 digits are mandatory on B2B invoices and optional on B2C invoices. From the February 2025 return period, Table 12 of GSTR-1 (the HSN summary) is reported in separate B2B and B2C tabs, with the code picked from a drop-down list.</w:t>
      </w:r>
    </w:p>
    <w:p>
      <w:pPr>
        <w:spacing w:after="120" w:line="276"/>
        <w:jc w:val="both"/>
      </w:pPr>
      <w:r>
        <w:rPr>
          <w:rFonts w:ascii="Verdana" w:cs="Verdana" w:eastAsia="Verdana" w:hAnsi="Verdana"/>
        </w:rPr>
        <w:t xml:space="preserve">Common SAC groups are listed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7430"/>
      </w:tblGrid>
      <w:tr>
        <w:trPr>
          <w:cantSplit/>
          <w:tblHeader/>
        </w:trPr>
        <w:tc>
          <w:tcPr>
            <w:tcW w:type="dxa" w:w="2208"/>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SAC heading</w:t>
            </w:r>
          </w:p>
        </w:tc>
        <w:tc>
          <w:tcPr>
            <w:tcW w:type="dxa" w:w="7430"/>
            <w:tcBorders>
              <w:top w:val="single" w:color="BFBFBF" w:sz="4"/>
              <w:left w:val="single" w:color="BFBFBF" w:sz="4"/>
              <w:bottom w:val="single" w:color="BFBFBF" w:sz="4"/>
              <w:right w:val="single" w:color="BFBFBF" w:sz="4"/>
            </w:tcBorders>
            <w:shd w:fill="92400E" w:color="auto" w:val="clear"/>
            <w:tcMar>
              <w:top w:type="dxa" w:w="50"/>
              <w:left w:type="dxa" w:w="90"/>
              <w:bottom w:type="dxa" w:w="50"/>
              <w:right w:type="dxa" w:w="90"/>
            </w:tcMar>
          </w:tcPr>
          <w:p>
            <w:pPr>
              <w:jc w:val="left"/>
            </w:pPr>
            <w:r>
              <w:rPr>
                <w:rFonts w:ascii="Verdana" w:cs="Verdana" w:eastAsia="Verdana" w:hAnsi="Verdana"/>
                <w:b/>
                <w:bCs/>
                <w:color w:val="FFFFFF"/>
                <w:sz w:val="19"/>
                <w:szCs w:val="19"/>
              </w:rPr>
              <w:t xml:space="preserve">Services</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9954</w:t>
            </w:r>
          </w:p>
        </w:tc>
        <w:tc>
          <w:tcPr>
            <w:tcW w:type="dxa" w:w="7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Construction services, including works contracts</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9963</w:t>
            </w:r>
          </w:p>
        </w:tc>
        <w:tc>
          <w:tcPr>
            <w:tcW w:type="dxa" w:w="7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Accommodation, food and beverage services</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9964, 9965</w:t>
            </w:r>
          </w:p>
        </w:tc>
        <w:tc>
          <w:tcPr>
            <w:tcW w:type="dxa" w:w="7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Passenger transport; goods transport (including GTA)</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9967</w:t>
            </w:r>
          </w:p>
        </w:tc>
        <w:tc>
          <w:tcPr>
            <w:tcW w:type="dxa" w:w="7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Supporting transport services (cargo handling, storage)</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9971</w:t>
            </w:r>
          </w:p>
        </w:tc>
        <w:tc>
          <w:tcPr>
            <w:tcW w:type="dxa" w:w="7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Financial and related services</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9972, 9973</w:t>
            </w:r>
          </w:p>
        </w:tc>
        <w:tc>
          <w:tcPr>
            <w:tcW w:type="dxa" w:w="7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Real estate services; leasing or rental without operator</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9982, 9983</w:t>
            </w:r>
          </w:p>
        </w:tc>
        <w:tc>
          <w:tcPr>
            <w:tcW w:type="dxa" w:w="7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Legal and accounting; other professional and technical services</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9985</w:t>
            </w:r>
          </w:p>
        </w:tc>
        <w:tc>
          <w:tcPr>
            <w:tcW w:type="dxa" w:w="7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Support services (manpower, security, cleaning)</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9988</w:t>
            </w:r>
          </w:p>
        </w:tc>
        <w:tc>
          <w:tcPr>
            <w:tcW w:type="dxa" w:w="7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Manufacturing services on inputs owned by others (job work)</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9992, 9993</w:t>
            </w:r>
          </w:p>
        </w:tc>
        <w:tc>
          <w:tcPr>
            <w:tcW w:type="dxa" w:w="7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Education; health services</w:t>
            </w:r>
          </w:p>
        </w:tc>
      </w:tr>
      <w:tr>
        <w:trPr>
          <w:cantSplit/>
        </w:trPr>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9996, 9997</w:t>
            </w:r>
          </w:p>
        </w:tc>
        <w:tc>
          <w:tcPr>
            <w:tcW w:type="dxa" w:w="7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Verdana" w:cs="Verdana" w:eastAsia="Verdana" w:hAnsi="Verdana"/>
                <w:sz w:val="19"/>
                <w:szCs w:val="19"/>
              </w:rPr>
              <w:t xml:space="preserve">Recreation and sporting; other services (beauty, wellness)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A00" w:sz="24"/>
              <w:bottom w:val="none" w:color="FFFFFF" w:sz="0"/>
              <w:right w:val="none" w:color="FFFFFF" w:sz="0"/>
            </w:tcBorders>
            <w:shd w:fill="FFF8E5" w:color="auto" w:val="clear"/>
            <w:tcMar>
              <w:top w:type="dxa" w:w="110"/>
              <w:left w:type="dxa" w:w="200"/>
              <w:bottom w:type="dxa" w:w="110"/>
              <w:right w:type="dxa" w:w="200"/>
            </w:tcMar>
          </w:tcPr>
          <w:p>
            <w:pPr>
              <w:keepNext/>
              <w:spacing w:after="80"/>
            </w:pPr>
            <w:r>
              <w:rPr>
                <w:rFonts w:ascii="Verdana" w:cs="Verdana" w:eastAsia="Verdana" w:hAnsi="Verdana"/>
                <w:b/>
                <w:bCs/>
                <w:color w:val="C98A00"/>
                <w:sz w:val="21"/>
                <w:szCs w:val="21"/>
              </w:rPr>
              <w:t xml:space="preserve">Key point</w:t>
            </w:r>
          </w:p>
          <w:p>
            <w:pPr>
              <w:spacing w:after="60" w:line="260"/>
            </w:pPr>
            <w:r>
              <w:rPr>
                <w:rFonts w:ascii="Verdana" w:cs="Verdana" w:eastAsia="Verdana" w:hAnsi="Verdana"/>
                <w:sz w:val="20"/>
                <w:szCs w:val="20"/>
              </w:rPr>
              <w:t xml:space="preserve">Classify using the General Rules for Interpretation of the tariff, section and chapter notes, and the HSN Explanatory Notes. Common parlance helps where the tariff is silent (Dunlop India, Supreme Court, 1976). The burden of proving a classification different from the one adopted by the taxpayer lies on the revenue (HPL Chemicals, Supreme Court, 2006), but exemption entries are read strictly against the claimant (Dilip Kumar and Co., Supreme Court, 2018).</w:t>
            </w:r>
          </w:p>
        </w:tc>
      </w:tr>
    </w:tbl>
    <w:p>
      <w:pPr>
        <w:pStyle w:val="Heading1"/>
        <w:pageBreakBefore/>
        <w:spacing w:after="200" w:before="0"/>
      </w:pPr>
      <w:r>
        <w:rPr>
          <w:rFonts w:ascii="Verdana" w:cs="Verdana" w:eastAsia="Verdana" w:hAnsi="Verdana"/>
        </w:rPr>
        <w:t xml:space="preserve">References</w:t>
      </w:r>
    </w:p>
    <w:p>
      <w:pPr>
        <w:pStyle w:val="ListParagraph"/>
        <w:numPr>
          <w:ilvl w:val="0"/>
          <w:numId w:val="2"/>
        </w:numPr>
        <w:spacing w:after="60" w:line="264"/>
      </w:pPr>
      <w:r>
        <w:rPr>
          <w:rFonts w:ascii="Verdana" w:cs="Verdana" w:eastAsia="Verdana" w:hAnsi="Verdana"/>
        </w:rPr>
        <w:t xml:space="preserve">Central Goods and Services Tax Act, 2017; Integrated Goods and Services Tax Act, 2017; Union Territory Goods and Services Tax Act, 2017; Goods and Services Tax (Compensation to States) Act, 2017; and the CGST Rules, 2017, as amended (CBIC, cbic-gst.gov.in).</w:t>
      </w:r>
    </w:p>
    <w:p>
      <w:pPr>
        <w:pStyle w:val="ListParagraph"/>
        <w:numPr>
          <w:ilvl w:val="0"/>
          <w:numId w:val="2"/>
        </w:numPr>
        <w:spacing w:after="60" w:line="264"/>
      </w:pPr>
      <w:r>
        <w:rPr>
          <w:rFonts w:ascii="Verdana" w:cs="Verdana" w:eastAsia="Verdana" w:hAnsi="Verdana"/>
        </w:rPr>
        <w:t xml:space="preserve">Finance Act, 2025 and Finance Act, 2026 (GST amendments); rate and exemption notifications issued on 17 September 2025 for GST 2.0 and later notifications.</w:t>
      </w:r>
    </w:p>
    <w:p>
      <w:pPr>
        <w:pStyle w:val="ListParagraph"/>
        <w:numPr>
          <w:ilvl w:val="0"/>
          <w:numId w:val="2"/>
        </w:numPr>
        <w:spacing w:after="60" w:line="264"/>
      </w:pPr>
      <w:r>
        <w:rPr>
          <w:rFonts w:ascii="Verdana" w:cs="Verdana" w:eastAsia="Verdana" w:hAnsi="Verdana"/>
        </w:rPr>
        <w:t xml:space="preserve">Press release on the recommendations of the 56th GST Council meeting (PIB, 3 September 2025); GST Council website (gstcouncil.gov.in).</w:t>
      </w:r>
    </w:p>
    <w:p>
      <w:pPr>
        <w:pStyle w:val="ListParagraph"/>
        <w:numPr>
          <w:ilvl w:val="0"/>
          <w:numId w:val="2"/>
        </w:numPr>
        <w:spacing w:after="60" w:line="264"/>
      </w:pPr>
      <w:r>
        <w:rPr>
          <w:rFonts w:ascii="Verdana" w:cs="Verdana" w:eastAsia="Verdana" w:hAnsi="Verdana"/>
        </w:rPr>
        <w:t xml:space="preserve">CBIC circulars and instructions cited in the text; GSTN advisories on the GST portal (tutorial.gst.gov.in).</w:t>
      </w:r>
    </w:p>
    <w:p>
      <w:pPr>
        <w:pStyle w:val="ListParagraph"/>
        <w:numPr>
          <w:ilvl w:val="0"/>
          <w:numId w:val="2"/>
        </w:numPr>
        <w:spacing w:after="60" w:line="264"/>
      </w:pPr>
      <w:r>
        <w:rPr>
          <w:rFonts w:ascii="Verdana" w:cs="Verdana" w:eastAsia="Verdana" w:hAnsi="Verdana"/>
        </w:rPr>
        <w:t xml:space="preserve">Judgments of the Supreme Court and High Courts as cited; commentary and updates published by TaxGuru, TaxTMI, Taxscan, LiveLaw, ClearTax, EY and KPMG.</w:t>
      </w:r>
    </w:p>
    <w:p>
      <w:pPr>
        <w:spacing w:after="120" w:line="276"/>
        <w:jc w:val="both"/>
      </w:pPr>
      <w:r>
        <w:rPr>
          <w:rFonts w:ascii="Verdana" w:cs="Verdana" w:eastAsia="Verdana" w:hAnsi="Verdana"/>
          <w:i/>
          <w:iCs/>
          <w:color w:val="595959"/>
          <w:sz w:val="20"/>
          <w:szCs w:val="20"/>
        </w:rPr>
        <w:t xml:space="preserve">This guide is for study and general reference only and is not legal advice. Rates, thresholds and dates can change by notification or amendment. Verify with the official text before relying on it for a client matter.</w:t>
      </w:r>
    </w:p>
    <w:p>
      <w:pPr>
        <w:pStyle w:val="Heading1"/>
        <w:pageBreakBefore/>
        <w:spacing w:after="200" w:before="0"/>
      </w:pPr>
      <w:r>
        <w:rPr>
          <w:rFonts w:ascii="Verdana" w:cs="Verdana" w:eastAsia="Verdana" w:hAnsi="Verdana"/>
        </w:rPr>
        <w:t xml:space="preserve">Table of Cases</w:t>
      </w:r>
    </w:p>
    <w:p>
      <w:pPr>
        <w:spacing w:after="120" w:line="276"/>
        <w:jc w:val="both"/>
      </w:pPr>
      <w:r>
        <w:rPr>
          <w:rFonts w:ascii="Verdana" w:cs="Verdana" w:eastAsia="Verdana" w:hAnsi="Verdana"/>
          <w:i/>
          <w:iCs/>
          <w:color w:val="404040"/>
          <w:sz w:val="19"/>
          <w:szCs w:val="19"/>
        </w:rPr>
        <w:t xml:space="preserve">Rulings are listed by the name of the taxpayer or the principal party. Page references point to the discussion of each ruling in the text and to its entry in the Digest of Rulings (Appendix E).</w:t>
      </w:r>
    </w:p>
    <w:p>
      <w:pPr>
        <w:keepNext/>
        <w:spacing w:after="40" w:before="160"/>
      </w:pPr>
      <w:r>
        <w:rPr>
          <w:rFonts w:ascii="Verdana" w:cs="Verdana" w:eastAsia="Verdana" w:hAnsi="Verdana"/>
          <w:b/>
          <w:bCs/>
          <w:color w:val="92400E"/>
          <w:sz w:val="22"/>
          <w:szCs w:val="22"/>
        </w:rPr>
        <w:t xml:space="preserve">A</w:t>
      </w:r>
    </w:p>
    <w:p>
      <w:pPr>
        <w:tabs>
          <w:tab w:val="right" w:pos="9638" w:leader="dot"/>
        </w:tabs>
        <w:spacing w:after="20"/>
        <w:ind w:left="200" w:right="0"/>
      </w:pPr>
      <w:r>
        <w:rPr>
          <w:rFonts w:ascii="Verdana" w:cs="Verdana" w:eastAsia="Verdana" w:hAnsi="Verdana"/>
          <w:sz w:val="19"/>
          <w:szCs w:val="19"/>
        </w:rPr>
        <w:t xml:space="preserve">Central Board of Indirect Taxes and Customs v. Aberdare Technologies (P) Ltd. (SC, 2025)</w:t>
      </w:r>
      <w:r>
        <w:rPr>
          <w:rFonts w:ascii="Verdana" w:cs="Verdana" w:eastAsia="Verdana" w:hAnsi="Verdana"/>
          <w:sz w:val="19"/>
          <w:szCs w:val="19"/>
        </w:rPr>
        <w:t xml:space="preserve">	138, 140, 279</w:t>
      </w:r>
    </w:p>
    <w:p>
      <w:pPr>
        <w:tabs>
          <w:tab w:val="right" w:pos="9638" w:leader="dot"/>
        </w:tabs>
        <w:spacing w:after="20"/>
        <w:ind w:left="200" w:right="0"/>
      </w:pPr>
      <w:r>
        <w:rPr>
          <w:rFonts w:ascii="Verdana" w:cs="Verdana" w:eastAsia="Verdana" w:hAnsi="Verdana"/>
          <w:sz w:val="19"/>
          <w:szCs w:val="19"/>
        </w:rPr>
        <w:t xml:space="preserve">Arise India Ltd. v. Commissioner of Trade and Taxes (Delhi HC, 2017)</w:t>
      </w:r>
      <w:r>
        <w:rPr>
          <w:rFonts w:ascii="Verdana" w:cs="Verdana" w:eastAsia="Verdana" w:hAnsi="Verdana"/>
          <w:sz w:val="19"/>
          <w:szCs w:val="19"/>
        </w:rPr>
        <w:t xml:space="preserve">	98, 276</w:t>
      </w:r>
    </w:p>
    <w:p>
      <w:pPr>
        <w:tabs>
          <w:tab w:val="right" w:pos="9638" w:leader="dot"/>
        </w:tabs>
        <w:spacing w:after="20"/>
        <w:ind w:left="200" w:right="0"/>
      </w:pPr>
      <w:r>
        <w:rPr>
          <w:rFonts w:ascii="Verdana" w:cs="Verdana" w:eastAsia="Verdana" w:hAnsi="Verdana"/>
          <w:sz w:val="19"/>
          <w:szCs w:val="19"/>
        </w:rPr>
        <w:t xml:space="preserve">Armour Security (India) Ltd. v. Commissioner, CGST, Delhi East (SC, 2025)</w:t>
      </w:r>
      <w:r>
        <w:rPr>
          <w:rFonts w:ascii="Verdana" w:cs="Verdana" w:eastAsia="Verdana" w:hAnsi="Verdana"/>
          <w:sz w:val="19"/>
          <w:szCs w:val="19"/>
        </w:rPr>
        <w:t xml:space="preserve">	190, 192, 194, 279, 289</w:t>
      </w:r>
    </w:p>
    <w:p>
      <w:pPr>
        <w:keepNext/>
        <w:spacing w:after="40" w:before="160"/>
      </w:pPr>
      <w:r>
        <w:rPr>
          <w:rFonts w:ascii="Verdana" w:cs="Verdana" w:eastAsia="Verdana" w:hAnsi="Verdana"/>
          <w:b/>
          <w:bCs/>
          <w:color w:val="92400E"/>
          <w:sz w:val="22"/>
          <w:szCs w:val="22"/>
        </w:rPr>
        <w:t xml:space="preserve">B</w:t>
      </w:r>
    </w:p>
    <w:p>
      <w:pPr>
        <w:tabs>
          <w:tab w:val="right" w:pos="9638" w:leader="dot"/>
        </w:tabs>
        <w:spacing w:after="20"/>
        <w:ind w:left="200" w:right="0"/>
      </w:pPr>
      <w:r>
        <w:rPr>
          <w:rFonts w:ascii="Verdana" w:cs="Verdana" w:eastAsia="Verdana" w:hAnsi="Verdana"/>
          <w:sz w:val="19"/>
          <w:szCs w:val="19"/>
        </w:rPr>
        <w:t xml:space="preserve">Bhandari Scrap Traders v. Union of India (SC, 2026)</w:t>
      </w:r>
      <w:r>
        <w:rPr>
          <w:rFonts w:ascii="Verdana" w:cs="Verdana" w:eastAsia="Verdana" w:hAnsi="Verdana"/>
          <w:sz w:val="19"/>
          <w:szCs w:val="19"/>
        </w:rPr>
        <w:t xml:space="preserve">	95, 98-99, 125, 174, 202, 253, 276, 278, 287, 298</w:t>
      </w:r>
    </w:p>
    <w:p>
      <w:pPr>
        <w:tabs>
          <w:tab w:val="right" w:pos="9638" w:leader="dot"/>
        </w:tabs>
        <w:spacing w:after="20"/>
        <w:ind w:left="200" w:right="0"/>
      </w:pPr>
      <w:r>
        <w:rPr>
          <w:rFonts w:ascii="Verdana" w:cs="Verdana" w:eastAsia="Verdana" w:hAnsi="Verdana"/>
          <w:sz w:val="19"/>
          <w:szCs w:val="19"/>
        </w:rPr>
        <w:t xml:space="preserve">Bharat Sanchar Nigam Ltd. v. Union of India (SC, 2006)</w:t>
      </w:r>
      <w:r>
        <w:rPr>
          <w:rFonts w:ascii="Verdana" w:cs="Verdana" w:eastAsia="Verdana" w:hAnsi="Verdana"/>
          <w:sz w:val="19"/>
          <w:szCs w:val="19"/>
        </w:rPr>
        <w:t xml:space="preserve">	48, 275</w:t>
      </w:r>
    </w:p>
    <w:p>
      <w:pPr>
        <w:tabs>
          <w:tab w:val="right" w:pos="9638" w:leader="dot"/>
        </w:tabs>
        <w:spacing w:after="20"/>
        <w:ind w:left="200" w:right="0"/>
      </w:pPr>
      <w:r>
        <w:rPr>
          <w:rFonts w:ascii="Verdana" w:cs="Verdana" w:eastAsia="Verdana" w:hAnsi="Verdana"/>
          <w:sz w:val="19"/>
          <w:szCs w:val="19"/>
        </w:rPr>
        <w:t xml:space="preserve">Union of India v. Bharti Airtel Ltd. (SC, 2021)</w:t>
      </w:r>
      <w:r>
        <w:rPr>
          <w:rFonts w:ascii="Verdana" w:cs="Verdana" w:eastAsia="Verdana" w:hAnsi="Verdana"/>
          <w:sz w:val="19"/>
          <w:szCs w:val="19"/>
        </w:rPr>
        <w:t xml:space="preserve">	115, 138, 213, 215, 276</w:t>
      </w:r>
    </w:p>
    <w:p>
      <w:pPr>
        <w:tabs>
          <w:tab w:val="right" w:pos="9638" w:leader="dot"/>
        </w:tabs>
        <w:spacing w:after="20"/>
        <w:ind w:left="200" w:right="0"/>
      </w:pPr>
      <w:r>
        <w:rPr>
          <w:rFonts w:ascii="Verdana" w:cs="Verdana" w:eastAsia="Verdana" w:hAnsi="Verdana"/>
          <w:sz w:val="19"/>
          <w:szCs w:val="19"/>
        </w:rPr>
        <w:t xml:space="preserve">Commissioner of Service Tax v. Bhayana Builders (P) Ltd. (SC, 2018)</w:t>
      </w:r>
      <w:r>
        <w:rPr>
          <w:rFonts w:ascii="Verdana" w:cs="Verdana" w:eastAsia="Verdana" w:hAnsi="Verdana"/>
          <w:sz w:val="19"/>
          <w:szCs w:val="19"/>
        </w:rPr>
        <w:t xml:space="preserve">	73, 278</w:t>
      </w:r>
    </w:p>
    <w:p>
      <w:pPr>
        <w:tabs>
          <w:tab w:val="right" w:pos="9638" w:leader="dot"/>
        </w:tabs>
        <w:spacing w:after="20"/>
        <w:ind w:left="200" w:right="0"/>
      </w:pPr>
      <w:r>
        <w:rPr>
          <w:rFonts w:ascii="Verdana" w:cs="Verdana" w:eastAsia="Verdana" w:hAnsi="Verdana"/>
          <w:sz w:val="19"/>
          <w:szCs w:val="19"/>
        </w:rPr>
        <w:t xml:space="preserve">BirlaNu Ltd. v. Union of India (Telangana HC, 2025)</w:t>
      </w:r>
      <w:r>
        <w:rPr>
          <w:rFonts w:ascii="Verdana" w:cs="Verdana" w:eastAsia="Verdana" w:hAnsi="Verdana"/>
          <w:sz w:val="19"/>
          <w:szCs w:val="19"/>
        </w:rPr>
        <w:t xml:space="preserve">	184, 277</w:t>
      </w:r>
    </w:p>
    <w:p>
      <w:pPr>
        <w:tabs>
          <w:tab w:val="right" w:pos="9638" w:leader="dot"/>
        </w:tabs>
        <w:spacing w:after="20"/>
        <w:ind w:left="200" w:right="0"/>
      </w:pPr>
      <w:r>
        <w:rPr>
          <w:rFonts w:ascii="Verdana" w:cs="Verdana" w:eastAsia="Verdana" w:hAnsi="Verdana"/>
          <w:sz w:val="19"/>
          <w:szCs w:val="19"/>
        </w:rPr>
        <w:t xml:space="preserve">Commissioner of Central Excise v. Brindavan Beverages (P) Ltd. (SC, 2007)</w:t>
      </w:r>
      <w:r>
        <w:rPr>
          <w:rFonts w:ascii="Verdana" w:cs="Verdana" w:eastAsia="Verdana" w:hAnsi="Verdana"/>
          <w:sz w:val="19"/>
          <w:szCs w:val="19"/>
        </w:rPr>
        <w:t xml:space="preserve">	187, 279</w:t>
      </w:r>
    </w:p>
    <w:p>
      <w:pPr>
        <w:keepNext/>
        <w:spacing w:after="40" w:before="160"/>
      </w:pPr>
      <w:r>
        <w:rPr>
          <w:rFonts w:ascii="Verdana" w:cs="Verdana" w:eastAsia="Verdana" w:hAnsi="Verdana"/>
          <w:b/>
          <w:bCs/>
          <w:color w:val="92400E"/>
          <w:sz w:val="22"/>
          <w:szCs w:val="22"/>
        </w:rPr>
        <w:t xml:space="preserve">C</w:t>
      </w:r>
    </w:p>
    <w:p>
      <w:pPr>
        <w:tabs>
          <w:tab w:val="right" w:pos="9638" w:leader="dot"/>
        </w:tabs>
        <w:spacing w:after="20"/>
        <w:ind w:left="200" w:right="0"/>
      </w:pPr>
      <w:r>
        <w:rPr>
          <w:rFonts w:ascii="Verdana" w:cs="Verdana" w:eastAsia="Verdana" w:hAnsi="Verdana"/>
          <w:sz w:val="19"/>
          <w:szCs w:val="19"/>
        </w:rPr>
        <w:t xml:space="preserve">State of West Bengal v. Calcutta Club Ltd. (SC, 2019)</w:t>
      </w:r>
      <w:r>
        <w:rPr>
          <w:rFonts w:ascii="Verdana" w:cs="Verdana" w:eastAsia="Verdana" w:hAnsi="Verdana"/>
          <w:sz w:val="19"/>
          <w:szCs w:val="19"/>
        </w:rPr>
        <w:t xml:space="preserve">	38, 171, 275</w:t>
      </w:r>
    </w:p>
    <w:p>
      <w:pPr>
        <w:tabs>
          <w:tab w:val="right" w:pos="9638" w:leader="dot"/>
        </w:tabs>
        <w:spacing w:after="20"/>
        <w:ind w:left="200" w:right="0"/>
      </w:pPr>
      <w:r>
        <w:rPr>
          <w:rFonts w:ascii="Verdana" w:cs="Verdana" w:eastAsia="Verdana" w:hAnsi="Verdana"/>
          <w:sz w:val="19"/>
          <w:szCs w:val="19"/>
        </w:rPr>
        <w:t xml:space="preserve">Columbia Sportswear Co. v. Director of Income Tax (SC, 2012)</w:t>
      </w:r>
      <w:r>
        <w:rPr>
          <w:rFonts w:ascii="Verdana" w:cs="Verdana" w:eastAsia="Verdana" w:hAnsi="Verdana"/>
          <w:sz w:val="19"/>
          <w:szCs w:val="19"/>
        </w:rPr>
        <w:t xml:space="preserve">	198, 277</w:t>
      </w:r>
    </w:p>
    <w:p>
      <w:pPr>
        <w:tabs>
          <w:tab w:val="right" w:pos="9638" w:leader="dot"/>
        </w:tabs>
        <w:spacing w:after="20"/>
        <w:ind w:left="200" w:right="0"/>
      </w:pPr>
      <w:r>
        <w:rPr>
          <w:rFonts w:ascii="Verdana" w:cs="Verdana" w:eastAsia="Verdana" w:hAnsi="Verdana"/>
          <w:sz w:val="19"/>
          <w:szCs w:val="19"/>
        </w:rPr>
        <w:t xml:space="preserve">Assistant Commissioner of State Tax v. Commercial Steel Ltd. (SC, 2021)</w:t>
      </w:r>
      <w:r>
        <w:rPr>
          <w:rFonts w:ascii="Verdana" w:cs="Verdana" w:eastAsia="Verdana" w:hAnsi="Verdana"/>
          <w:sz w:val="19"/>
          <w:szCs w:val="19"/>
        </w:rPr>
        <w:t xml:space="preserve">	202-203, 277, 289</w:t>
      </w:r>
    </w:p>
    <w:p>
      <w:pPr>
        <w:tabs>
          <w:tab w:val="right" w:pos="9638" w:leader="dot"/>
        </w:tabs>
        <w:spacing w:after="20"/>
        <w:ind w:left="200" w:right="0"/>
      </w:pPr>
      <w:r>
        <w:rPr>
          <w:rFonts w:ascii="Verdana" w:cs="Verdana" w:eastAsia="Verdana" w:hAnsi="Verdana"/>
          <w:sz w:val="19"/>
          <w:szCs w:val="19"/>
        </w:rPr>
        <w:t xml:space="preserve">Union of India v. Cosmo Films Ltd. (SC, 2023)</w:t>
      </w:r>
      <w:r>
        <w:rPr>
          <w:rFonts w:ascii="Verdana" w:cs="Verdana" w:eastAsia="Verdana" w:hAnsi="Verdana"/>
          <w:sz w:val="19"/>
          <w:szCs w:val="19"/>
        </w:rPr>
        <w:t xml:space="preserve">	92, 276</w:t>
      </w:r>
    </w:p>
    <w:p>
      <w:pPr>
        <w:keepNext/>
        <w:spacing w:after="40" w:before="160"/>
      </w:pPr>
      <w:r>
        <w:rPr>
          <w:rFonts w:ascii="Verdana" w:cs="Verdana" w:eastAsia="Verdana" w:hAnsi="Verdana"/>
          <w:b/>
          <w:bCs/>
          <w:color w:val="92400E"/>
          <w:sz w:val="22"/>
          <w:szCs w:val="22"/>
        </w:rPr>
        <w:t xml:space="preserve">D</w:t>
      </w:r>
    </w:p>
    <w:p>
      <w:pPr>
        <w:tabs>
          <w:tab w:val="right" w:pos="9638" w:leader="dot"/>
        </w:tabs>
        <w:spacing w:after="20"/>
        <w:ind w:left="200" w:right="0"/>
      </w:pPr>
      <w:r>
        <w:rPr>
          <w:rFonts w:ascii="Verdana" w:cs="Verdana" w:eastAsia="Verdana" w:hAnsi="Verdana"/>
          <w:sz w:val="19"/>
          <w:szCs w:val="19"/>
        </w:rPr>
        <w:t xml:space="preserve">Collector of Central Excise v. Dai Ichi Karkaria Ltd. (SC, 1999)</w:t>
      </w:r>
      <w:r>
        <w:rPr>
          <w:rFonts w:ascii="Verdana" w:cs="Verdana" w:eastAsia="Verdana" w:hAnsi="Verdana"/>
          <w:sz w:val="19"/>
          <w:szCs w:val="19"/>
        </w:rPr>
        <w:t xml:space="preserve">	108, 276</w:t>
      </w:r>
    </w:p>
    <w:p>
      <w:pPr>
        <w:tabs>
          <w:tab w:val="right" w:pos="9638" w:leader="dot"/>
        </w:tabs>
        <w:spacing w:after="20"/>
        <w:ind w:left="200" w:right="0"/>
      </w:pPr>
      <w:r>
        <w:rPr>
          <w:rFonts w:ascii="Verdana" w:cs="Verdana" w:eastAsia="Verdana" w:hAnsi="Verdana"/>
          <w:sz w:val="19"/>
          <w:szCs w:val="19"/>
        </w:rPr>
        <w:t xml:space="preserve">Danish Hassan v. Union Territory of Jammu and Kashmir (J&amp;K and Ladakh HC, 2026)</w:t>
      </w:r>
      <w:r>
        <w:rPr>
          <w:rFonts w:ascii="Verdana" w:cs="Verdana" w:eastAsia="Verdana" w:hAnsi="Verdana"/>
          <w:sz w:val="19"/>
          <w:szCs w:val="19"/>
        </w:rPr>
        <w:t xml:space="preserve">	134, 276</w:t>
      </w:r>
    </w:p>
    <w:p>
      <w:pPr>
        <w:tabs>
          <w:tab w:val="right" w:pos="9638" w:leader="dot"/>
        </w:tabs>
        <w:spacing w:after="20"/>
        <w:ind w:left="200" w:right="0"/>
      </w:pPr>
      <w:r>
        <w:rPr>
          <w:rFonts w:ascii="Verdana" w:cs="Verdana" w:eastAsia="Verdana" w:hAnsi="Verdana"/>
          <w:sz w:val="19"/>
          <w:szCs w:val="19"/>
        </w:rPr>
        <w:t xml:space="preserve">Dharmendra M. Jani v. Union of India (Bombay HC, 2023)</w:t>
      </w:r>
      <w:r>
        <w:rPr>
          <w:rFonts w:ascii="Verdana" w:cs="Verdana" w:eastAsia="Verdana" w:hAnsi="Verdana"/>
          <w:sz w:val="19"/>
          <w:szCs w:val="19"/>
        </w:rPr>
        <w:t xml:space="preserve">	85, 276</w:t>
      </w:r>
    </w:p>
    <w:p>
      <w:pPr>
        <w:tabs>
          <w:tab w:val="right" w:pos="9638" w:leader="dot"/>
        </w:tabs>
        <w:spacing w:after="20"/>
        <w:ind w:left="200" w:right="0"/>
      </w:pPr>
      <w:r>
        <w:rPr>
          <w:rFonts w:ascii="Verdana" w:cs="Verdana" w:eastAsia="Verdana" w:hAnsi="Verdana"/>
          <w:sz w:val="19"/>
          <w:szCs w:val="19"/>
        </w:rPr>
        <w:t xml:space="preserve">Union of India v. Dharmendra Textile Processors (SC, 2008)</w:t>
      </w:r>
      <w:r>
        <w:rPr>
          <w:rFonts w:ascii="Verdana" w:cs="Verdana" w:eastAsia="Verdana" w:hAnsi="Verdana"/>
          <w:sz w:val="19"/>
          <w:szCs w:val="19"/>
        </w:rPr>
        <w:t xml:space="preserve">	205, 278</w:t>
      </w:r>
    </w:p>
    <w:p>
      <w:pPr>
        <w:tabs>
          <w:tab w:val="right" w:pos="9638" w:leader="dot"/>
        </w:tabs>
        <w:spacing w:after="20"/>
        <w:ind w:left="200" w:right="0"/>
      </w:pPr>
      <w:r>
        <w:rPr>
          <w:rFonts w:ascii="Verdana" w:cs="Verdana" w:eastAsia="Verdana" w:hAnsi="Verdana"/>
          <w:sz w:val="19"/>
          <w:szCs w:val="19"/>
        </w:rPr>
        <w:t xml:space="preserve">Commissioner of Customs v. Dilip Kumar and Co. (SC, 2018)</w:t>
      </w:r>
      <w:r>
        <w:rPr>
          <w:rFonts w:ascii="Verdana" w:cs="Verdana" w:eastAsia="Verdana" w:hAnsi="Verdana"/>
          <w:sz w:val="19"/>
          <w:szCs w:val="19"/>
        </w:rPr>
        <w:t xml:space="preserve">	22, 275, 303</w:t>
      </w:r>
    </w:p>
    <w:p>
      <w:pPr>
        <w:tabs>
          <w:tab w:val="right" w:pos="9638" w:leader="dot"/>
        </w:tabs>
        <w:spacing w:after="20"/>
        <w:ind w:left="200" w:right="0"/>
      </w:pPr>
      <w:r>
        <w:rPr>
          <w:rFonts w:ascii="Verdana" w:cs="Verdana" w:eastAsia="Verdana" w:hAnsi="Verdana"/>
          <w:sz w:val="19"/>
          <w:szCs w:val="19"/>
        </w:rPr>
        <w:t xml:space="preserve">Diya Agencies v. State Tax Officer (Kerala HC, 2023)</w:t>
      </w:r>
      <w:r>
        <w:rPr>
          <w:rFonts w:ascii="Verdana" w:cs="Verdana" w:eastAsia="Verdana" w:hAnsi="Verdana"/>
          <w:sz w:val="19"/>
          <w:szCs w:val="19"/>
        </w:rPr>
        <w:t xml:space="preserve">	95, 97, 276</w:t>
      </w:r>
    </w:p>
    <w:p>
      <w:pPr>
        <w:tabs>
          <w:tab w:val="right" w:pos="9638" w:leader="dot"/>
        </w:tabs>
        <w:spacing w:after="20"/>
        <w:ind w:left="200" w:right="0"/>
      </w:pPr>
      <w:r>
        <w:rPr>
          <w:rFonts w:ascii="Verdana" w:cs="Verdana" w:eastAsia="Verdana" w:hAnsi="Verdana"/>
          <w:sz w:val="19"/>
          <w:szCs w:val="19"/>
        </w:rPr>
        <w:t xml:space="preserve">Dunlop India Ltd. v. Union of India (SC, 1976)</w:t>
      </w:r>
      <w:r>
        <w:rPr>
          <w:rFonts w:ascii="Verdana" w:cs="Verdana" w:eastAsia="Verdana" w:hAnsi="Verdana"/>
          <w:sz w:val="19"/>
          <w:szCs w:val="19"/>
        </w:rPr>
        <w:t xml:space="preserve">	56, 275, 303</w:t>
      </w:r>
    </w:p>
    <w:p>
      <w:pPr>
        <w:keepNext/>
        <w:spacing w:after="40" w:before="160"/>
      </w:pPr>
      <w:r>
        <w:rPr>
          <w:rFonts w:ascii="Verdana" w:cs="Verdana" w:eastAsia="Verdana" w:hAnsi="Verdana"/>
          <w:b/>
          <w:bCs/>
          <w:color w:val="92400E"/>
          <w:sz w:val="22"/>
          <w:szCs w:val="22"/>
        </w:rPr>
        <w:t xml:space="preserve">E</w:t>
      </w:r>
    </w:p>
    <w:p>
      <w:pPr>
        <w:tabs>
          <w:tab w:val="right" w:pos="9638" w:leader="dot"/>
        </w:tabs>
        <w:spacing w:after="20"/>
        <w:ind w:left="200" w:right="0"/>
      </w:pPr>
      <w:r>
        <w:rPr>
          <w:rFonts w:ascii="Verdana" w:cs="Verdana" w:eastAsia="Verdana" w:hAnsi="Verdana"/>
          <w:sz w:val="19"/>
          <w:szCs w:val="19"/>
        </w:rPr>
        <w:t xml:space="preserve">State of Karnataka v. Ecom Gill Coffee Trading (P) Ltd. (SC, 2023)</w:t>
      </w:r>
      <w:r>
        <w:rPr>
          <w:rFonts w:ascii="Verdana" w:cs="Verdana" w:eastAsia="Verdana" w:hAnsi="Verdana"/>
          <w:sz w:val="19"/>
          <w:szCs w:val="19"/>
        </w:rPr>
        <w:t xml:space="preserve">	98, 253, 279</w:t>
      </w:r>
    </w:p>
    <w:p>
      <w:pPr>
        <w:tabs>
          <w:tab w:val="right" w:pos="9638" w:leader="dot"/>
        </w:tabs>
        <w:spacing w:after="20"/>
        <w:ind w:left="200" w:right="0"/>
      </w:pPr>
      <w:r>
        <w:rPr>
          <w:rFonts w:ascii="Verdana" w:cs="Verdana" w:eastAsia="Verdana" w:hAnsi="Verdana"/>
          <w:sz w:val="19"/>
          <w:szCs w:val="19"/>
        </w:rPr>
        <w:t xml:space="preserve">Eicher Motors Ltd. v. Union of India (SC, 1999)</w:t>
      </w:r>
      <w:r>
        <w:rPr>
          <w:rFonts w:ascii="Verdana" w:cs="Verdana" w:eastAsia="Verdana" w:hAnsi="Verdana"/>
          <w:sz w:val="19"/>
          <w:szCs w:val="19"/>
        </w:rPr>
        <w:t xml:space="preserve">	108, 276</w:t>
      </w:r>
    </w:p>
    <w:p>
      <w:pPr>
        <w:tabs>
          <w:tab w:val="right" w:pos="9638" w:leader="dot"/>
        </w:tabs>
        <w:spacing w:after="20"/>
        <w:ind w:left="200" w:right="0"/>
      </w:pPr>
      <w:r>
        <w:rPr>
          <w:rFonts w:ascii="Verdana" w:cs="Verdana" w:eastAsia="Verdana" w:hAnsi="Verdana"/>
          <w:sz w:val="19"/>
          <w:szCs w:val="19"/>
        </w:rPr>
        <w:t xml:space="preserve">Ernst and Young Ltd. v. Additional Commissioner, CGST Appeals-II, Delhi (Delhi HC, 2023)</w:t>
      </w:r>
      <w:r>
        <w:rPr>
          <w:rFonts w:ascii="Verdana" w:cs="Verdana" w:eastAsia="Verdana" w:hAnsi="Verdana"/>
          <w:sz w:val="19"/>
          <w:szCs w:val="19"/>
        </w:rPr>
        <w:t xml:space="preserve">	85, 276</w:t>
      </w:r>
    </w:p>
    <w:p>
      <w:pPr>
        <w:keepNext/>
        <w:spacing w:after="40" w:before="160"/>
      </w:pPr>
      <w:r>
        <w:rPr>
          <w:rFonts w:ascii="Verdana" w:cs="Verdana" w:eastAsia="Verdana" w:hAnsi="Verdana"/>
          <w:b/>
          <w:bCs/>
          <w:color w:val="92400E"/>
          <w:sz w:val="22"/>
          <w:szCs w:val="22"/>
        </w:rPr>
        <w:t xml:space="preserve">G</w:t>
      </w:r>
    </w:p>
    <w:p>
      <w:pPr>
        <w:tabs>
          <w:tab w:val="right" w:pos="9638" w:leader="dot"/>
        </w:tabs>
        <w:spacing w:after="20"/>
        <w:ind w:left="200" w:right="0"/>
      </w:pPr>
      <w:r>
        <w:rPr>
          <w:rFonts w:ascii="Verdana" w:cs="Verdana" w:eastAsia="Verdana" w:hAnsi="Verdana"/>
          <w:sz w:val="19"/>
          <w:szCs w:val="19"/>
        </w:rPr>
        <w:t xml:space="preserve">Directorate General of Goods and Services Tax Intelligence v. Gameskraft Technologies (P) Ltd. (SC, 2026)</w:t>
      </w:r>
      <w:r>
        <w:rPr>
          <w:rFonts w:ascii="Verdana" w:cs="Verdana" w:eastAsia="Verdana" w:hAnsi="Verdana"/>
          <w:sz w:val="19"/>
          <w:szCs w:val="19"/>
        </w:rPr>
        <w:t xml:space="preserve">	158, 279</w:t>
      </w:r>
    </w:p>
    <w:p>
      <w:pPr>
        <w:tabs>
          <w:tab w:val="right" w:pos="9638" w:leader="dot"/>
        </w:tabs>
        <w:spacing w:after="20"/>
        <w:ind w:left="200" w:right="0"/>
      </w:pPr>
      <w:r>
        <w:rPr>
          <w:rFonts w:ascii="Verdana" w:cs="Verdana" w:eastAsia="Verdana" w:hAnsi="Verdana"/>
          <w:sz w:val="19"/>
          <w:szCs w:val="19"/>
        </w:rPr>
        <w:t xml:space="preserve">GE T and D India Ltd. v. Deputy Commissioner of Central Excise (Madras HC, 2019)</w:t>
      </w:r>
      <w:r>
        <w:rPr>
          <w:rFonts w:ascii="Verdana" w:cs="Verdana" w:eastAsia="Verdana" w:hAnsi="Verdana"/>
          <w:sz w:val="19"/>
          <w:szCs w:val="19"/>
        </w:rPr>
        <w:t xml:space="preserve">	44, 275</w:t>
      </w:r>
    </w:p>
    <w:p>
      <w:pPr>
        <w:tabs>
          <w:tab w:val="right" w:pos="9638" w:leader="dot"/>
        </w:tabs>
        <w:spacing w:after="20"/>
        <w:ind w:left="200" w:right="0"/>
      </w:pPr>
      <w:r>
        <w:rPr>
          <w:rFonts w:ascii="Verdana" w:cs="Verdana" w:eastAsia="Verdana" w:hAnsi="Verdana"/>
          <w:sz w:val="19"/>
          <w:szCs w:val="19"/>
        </w:rPr>
        <w:t xml:space="preserve">Ghanashyam Mishra and Sons (P) Ltd. v. Edelweiss Asset Reconstruction Co. Ltd. (SC, 2021)</w:t>
      </w:r>
      <w:r>
        <w:rPr>
          <w:rFonts w:ascii="Verdana" w:cs="Verdana" w:eastAsia="Verdana" w:hAnsi="Verdana"/>
          <w:sz w:val="19"/>
          <w:szCs w:val="19"/>
        </w:rPr>
        <w:t xml:space="preserve">	176-177, 279</w:t>
      </w:r>
    </w:p>
    <w:p>
      <w:pPr>
        <w:tabs>
          <w:tab w:val="right" w:pos="9638" w:leader="dot"/>
        </w:tabs>
        <w:spacing w:after="20"/>
        <w:ind w:left="200" w:right="0"/>
      </w:pPr>
      <w:r>
        <w:rPr>
          <w:rFonts w:ascii="Verdana" w:cs="Verdana" w:eastAsia="Verdana" w:hAnsi="Verdana"/>
          <w:sz w:val="19"/>
          <w:szCs w:val="19"/>
        </w:rPr>
        <w:t xml:space="preserve">Assistant Commissioner (CT) LTU v. Glaxo Smith Kline Consumer Health Care Ltd. (SC, 2020)</w:t>
      </w:r>
      <w:r>
        <w:rPr>
          <w:rFonts w:ascii="Verdana" w:cs="Verdana" w:eastAsia="Verdana" w:hAnsi="Verdana"/>
          <w:sz w:val="19"/>
          <w:szCs w:val="19"/>
        </w:rPr>
        <w:t xml:space="preserve">	202, 279</w:t>
      </w:r>
    </w:p>
    <w:p>
      <w:pPr>
        <w:tabs>
          <w:tab w:val="right" w:pos="9638" w:leader="dot"/>
        </w:tabs>
        <w:spacing w:after="20"/>
        <w:ind w:left="200" w:right="0"/>
      </w:pPr>
      <w:r>
        <w:rPr>
          <w:rFonts w:ascii="Verdana" w:cs="Verdana" w:eastAsia="Verdana" w:hAnsi="Verdana"/>
          <w:sz w:val="19"/>
          <w:szCs w:val="19"/>
        </w:rPr>
        <w:t xml:space="preserve">GMG Electric v. Commissioner of State Tax (GSTAT, Ernakulam Bench, 2026)</w:t>
      </w:r>
      <w:r>
        <w:rPr>
          <w:rFonts w:ascii="Verdana" w:cs="Verdana" w:eastAsia="Verdana" w:hAnsi="Verdana"/>
          <w:sz w:val="19"/>
          <w:szCs w:val="19"/>
        </w:rPr>
        <w:t xml:space="preserve">	134, 277</w:t>
      </w:r>
    </w:p>
    <w:p>
      <w:pPr>
        <w:tabs>
          <w:tab w:val="right" w:pos="9638" w:leader="dot"/>
        </w:tabs>
        <w:spacing w:after="20"/>
        <w:ind w:left="200" w:right="0"/>
      </w:pPr>
      <w:r>
        <w:rPr>
          <w:rFonts w:ascii="Verdana" w:cs="Verdana" w:eastAsia="Verdana" w:hAnsi="Verdana"/>
          <w:sz w:val="19"/>
          <w:szCs w:val="19"/>
        </w:rPr>
        <w:t xml:space="preserve">Gujarat Chamber of Commerce and Industry v. Union of India (Gujarat HC, 2025 (SLP dismissed, SC, 2026))</w:t>
      </w:r>
      <w:r>
        <w:rPr>
          <w:rFonts w:ascii="Verdana" w:cs="Verdana" w:eastAsia="Verdana" w:hAnsi="Verdana"/>
          <w:sz w:val="19"/>
          <w:szCs w:val="19"/>
        </w:rPr>
        <w:t xml:space="preserve">	153, 277</w:t>
      </w:r>
    </w:p>
    <w:p>
      <w:pPr>
        <w:keepNext/>
        <w:spacing w:after="40" w:before="160"/>
      </w:pPr>
      <w:r>
        <w:rPr>
          <w:rFonts w:ascii="Verdana" w:cs="Verdana" w:eastAsia="Verdana" w:hAnsi="Verdana"/>
          <w:b/>
          <w:bCs/>
          <w:color w:val="92400E"/>
          <w:sz w:val="22"/>
          <w:szCs w:val="22"/>
        </w:rPr>
        <w:t xml:space="preserve">H</w:t>
      </w:r>
    </w:p>
    <w:p>
      <w:pPr>
        <w:tabs>
          <w:tab w:val="right" w:pos="9638" w:leader="dot"/>
        </w:tabs>
        <w:spacing w:after="20"/>
        <w:ind w:left="200" w:right="0"/>
      </w:pPr>
      <w:r>
        <w:rPr>
          <w:rFonts w:ascii="Verdana" w:cs="Verdana" w:eastAsia="Verdana" w:hAnsi="Verdana"/>
          <w:sz w:val="19"/>
          <w:szCs w:val="19"/>
        </w:rPr>
        <w:t xml:space="preserve">Hindustan Steel Ltd. v. State of Orissa (SC, 1969)</w:t>
      </w:r>
      <w:r>
        <w:rPr>
          <w:rFonts w:ascii="Verdana" w:cs="Verdana" w:eastAsia="Verdana" w:hAnsi="Verdana"/>
          <w:sz w:val="19"/>
          <w:szCs w:val="19"/>
        </w:rPr>
        <w:t xml:space="preserve">	133, 205, 276</w:t>
      </w:r>
    </w:p>
    <w:p>
      <w:pPr>
        <w:tabs>
          <w:tab w:val="right" w:pos="9638" w:leader="dot"/>
        </w:tabs>
        <w:spacing w:after="20"/>
        <w:ind w:left="200" w:right="0"/>
      </w:pPr>
      <w:r>
        <w:rPr>
          <w:rFonts w:ascii="Verdana" w:cs="Verdana" w:eastAsia="Verdana" w:hAnsi="Verdana"/>
          <w:sz w:val="19"/>
          <w:szCs w:val="19"/>
        </w:rPr>
        <w:t xml:space="preserve">HPL Chemicals Ltd. v. Commissioner of Central Excise (SC, 2006)</w:t>
      </w:r>
      <w:r>
        <w:rPr>
          <w:rFonts w:ascii="Verdana" w:cs="Verdana" w:eastAsia="Verdana" w:hAnsi="Verdana"/>
          <w:sz w:val="19"/>
          <w:szCs w:val="19"/>
        </w:rPr>
        <w:t xml:space="preserve">	56, 58, 275, 303</w:t>
      </w:r>
    </w:p>
    <w:p>
      <w:pPr>
        <w:keepNext/>
        <w:spacing w:after="40" w:before="160"/>
      </w:pPr>
      <w:r>
        <w:rPr>
          <w:rFonts w:ascii="Verdana" w:cs="Verdana" w:eastAsia="Verdana" w:hAnsi="Verdana"/>
          <w:b/>
          <w:bCs/>
          <w:color w:val="92400E"/>
          <w:sz w:val="22"/>
          <w:szCs w:val="22"/>
        </w:rPr>
        <w:t xml:space="preserve">I</w:t>
      </w:r>
    </w:p>
    <w:p>
      <w:pPr>
        <w:tabs>
          <w:tab w:val="right" w:pos="9638" w:leader="dot"/>
        </w:tabs>
        <w:spacing w:after="20"/>
        <w:ind w:left="200" w:right="0"/>
      </w:pPr>
      <w:r>
        <w:rPr>
          <w:rFonts w:ascii="Verdana" w:cs="Verdana" w:eastAsia="Verdana" w:hAnsi="Verdana"/>
          <w:sz w:val="19"/>
          <w:szCs w:val="19"/>
        </w:rPr>
        <w:t xml:space="preserve">Indian Medical Association v. Union of India (Kerala HC, 2025)</w:t>
      </w:r>
      <w:r>
        <w:rPr>
          <w:rFonts w:ascii="Verdana" w:cs="Verdana" w:eastAsia="Verdana" w:hAnsi="Verdana"/>
          <w:sz w:val="19"/>
          <w:szCs w:val="19"/>
        </w:rPr>
        <w:t xml:space="preserve">	38, 171, 275</w:t>
      </w:r>
    </w:p>
    <w:p>
      <w:pPr>
        <w:tabs>
          <w:tab w:val="right" w:pos="9638" w:leader="dot"/>
        </w:tabs>
        <w:spacing w:after="20"/>
        <w:ind w:left="200" w:right="0"/>
      </w:pPr>
      <w:r>
        <w:rPr>
          <w:rFonts w:ascii="Verdana" w:cs="Verdana" w:eastAsia="Verdana" w:hAnsi="Verdana"/>
          <w:sz w:val="19"/>
          <w:szCs w:val="19"/>
        </w:rPr>
        <w:t xml:space="preserve">Union of India v. Intercontinental Consultants and Technocrats (P) Ltd. (SC, 2018)</w:t>
      </w:r>
      <w:r>
        <w:rPr>
          <w:rFonts w:ascii="Verdana" w:cs="Verdana" w:eastAsia="Verdana" w:hAnsi="Verdana"/>
          <w:sz w:val="19"/>
          <w:szCs w:val="19"/>
        </w:rPr>
        <w:t xml:space="preserve">	73, 278</w:t>
      </w:r>
    </w:p>
    <w:p>
      <w:pPr>
        <w:keepNext/>
        <w:spacing w:after="40" w:before="160"/>
      </w:pPr>
      <w:r>
        <w:rPr>
          <w:rFonts w:ascii="Verdana" w:cs="Verdana" w:eastAsia="Verdana" w:hAnsi="Verdana"/>
          <w:b/>
          <w:bCs/>
          <w:color w:val="92400E"/>
          <w:sz w:val="22"/>
          <w:szCs w:val="22"/>
        </w:rPr>
        <w:t xml:space="preserve">J</w:t>
      </w:r>
    </w:p>
    <w:p>
      <w:pPr>
        <w:tabs>
          <w:tab w:val="right" w:pos="9638" w:leader="dot"/>
        </w:tabs>
        <w:spacing w:after="20"/>
        <w:ind w:left="200" w:right="0"/>
      </w:pPr>
      <w:r>
        <w:rPr>
          <w:rFonts w:ascii="Verdana" w:cs="Verdana" w:eastAsia="Verdana" w:hAnsi="Verdana"/>
          <w:sz w:val="19"/>
          <w:szCs w:val="19"/>
        </w:rPr>
        <w:t xml:space="preserve">Jayam and Co. v. Assistant Commissioner (SC, 2016)</w:t>
      </w:r>
      <w:r>
        <w:rPr>
          <w:rFonts w:ascii="Verdana" w:cs="Verdana" w:eastAsia="Verdana" w:hAnsi="Verdana"/>
          <w:sz w:val="19"/>
          <w:szCs w:val="19"/>
        </w:rPr>
        <w:t xml:space="preserve">	98, 276</w:t>
      </w:r>
    </w:p>
    <w:p>
      <w:pPr>
        <w:keepNext/>
        <w:spacing w:after="40" w:before="160"/>
      </w:pPr>
      <w:r>
        <w:rPr>
          <w:rFonts w:ascii="Verdana" w:cs="Verdana" w:eastAsia="Verdana" w:hAnsi="Verdana"/>
          <w:b/>
          <w:bCs/>
          <w:color w:val="92400E"/>
          <w:sz w:val="22"/>
          <w:szCs w:val="22"/>
        </w:rPr>
        <w:t xml:space="preserve">K</w:t>
      </w:r>
    </w:p>
    <w:p>
      <w:pPr>
        <w:tabs>
          <w:tab w:val="right" w:pos="9638" w:leader="dot"/>
        </w:tabs>
        <w:spacing w:after="20"/>
        <w:ind w:left="200" w:right="0"/>
      </w:pPr>
      <w:r>
        <w:rPr>
          <w:rFonts w:ascii="Verdana" w:cs="Verdana" w:eastAsia="Verdana" w:hAnsi="Verdana"/>
          <w:sz w:val="19"/>
          <w:szCs w:val="19"/>
        </w:rPr>
        <w:t xml:space="preserve">Kone Elevator India (P) Ltd. v. State of Tamil Nadu (SC, 2014)</w:t>
      </w:r>
      <w:r>
        <w:rPr>
          <w:rFonts w:ascii="Verdana" w:cs="Verdana" w:eastAsia="Verdana" w:hAnsi="Verdana"/>
          <w:sz w:val="19"/>
          <w:szCs w:val="19"/>
        </w:rPr>
        <w:t xml:space="preserve">	48, 154, 278</w:t>
      </w:r>
    </w:p>
    <w:p>
      <w:pPr>
        <w:keepNext/>
        <w:spacing w:after="40" w:before="160"/>
      </w:pPr>
      <w:r>
        <w:rPr>
          <w:rFonts w:ascii="Verdana" w:cs="Verdana" w:eastAsia="Verdana" w:hAnsi="Verdana"/>
          <w:b/>
          <w:bCs/>
          <w:color w:val="92400E"/>
          <w:sz w:val="22"/>
          <w:szCs w:val="22"/>
        </w:rPr>
        <w:t xml:space="preserve">L</w:t>
      </w:r>
    </w:p>
    <w:p>
      <w:pPr>
        <w:tabs>
          <w:tab w:val="right" w:pos="9638" w:leader="dot"/>
        </w:tabs>
        <w:spacing w:after="20"/>
        <w:ind w:left="200" w:right="0"/>
      </w:pPr>
      <w:r>
        <w:rPr>
          <w:rFonts w:ascii="Verdana" w:cs="Verdana" w:eastAsia="Verdana" w:hAnsi="Verdana"/>
          <w:sz w:val="19"/>
          <w:szCs w:val="19"/>
        </w:rPr>
        <w:t xml:space="preserve">Larsen and Toubro Ltd. v. State of Karnataka (SC, 2013)</w:t>
      </w:r>
      <w:r>
        <w:rPr>
          <w:rFonts w:ascii="Verdana" w:cs="Verdana" w:eastAsia="Verdana" w:hAnsi="Verdana"/>
          <w:sz w:val="19"/>
          <w:szCs w:val="19"/>
        </w:rPr>
        <w:t xml:space="preserve">	48, 154, 275</w:t>
      </w:r>
    </w:p>
    <w:p>
      <w:pPr>
        <w:keepNext/>
        <w:spacing w:after="40" w:before="160"/>
      </w:pPr>
      <w:r>
        <w:rPr>
          <w:rFonts w:ascii="Verdana" w:cs="Verdana" w:eastAsia="Verdana" w:hAnsi="Verdana"/>
          <w:b/>
          <w:bCs/>
          <w:color w:val="92400E"/>
          <w:sz w:val="22"/>
          <w:szCs w:val="22"/>
        </w:rPr>
        <w:t xml:space="preserve">M</w:t>
      </w:r>
    </w:p>
    <w:p>
      <w:pPr>
        <w:tabs>
          <w:tab w:val="right" w:pos="9638" w:leader="dot"/>
        </w:tabs>
        <w:spacing w:after="20"/>
        <w:ind w:left="200" w:right="0"/>
      </w:pPr>
      <w:r>
        <w:rPr>
          <w:rFonts w:ascii="Verdana" w:cs="Verdana" w:eastAsia="Verdana" w:hAnsi="Verdana"/>
          <w:sz w:val="19"/>
          <w:szCs w:val="19"/>
        </w:rPr>
        <w:t xml:space="preserve">Mafatlal Industries Ltd. v. Union of India (SC, 1997)</w:t>
      </w:r>
      <w:r>
        <w:rPr>
          <w:rFonts w:ascii="Verdana" w:cs="Verdana" w:eastAsia="Verdana" w:hAnsi="Verdana"/>
          <w:sz w:val="19"/>
          <w:szCs w:val="19"/>
        </w:rPr>
        <w:t xml:space="preserve">	146, 277, 288</w:t>
      </w:r>
    </w:p>
    <w:p>
      <w:pPr>
        <w:tabs>
          <w:tab w:val="right" w:pos="9638" w:leader="dot"/>
        </w:tabs>
        <w:spacing w:after="20"/>
        <w:ind w:left="200" w:right="0"/>
      </w:pPr>
      <w:r>
        <w:rPr>
          <w:rFonts w:ascii="Verdana" w:cs="Verdana" w:eastAsia="Verdana" w:hAnsi="Verdana"/>
          <w:sz w:val="19"/>
          <w:szCs w:val="19"/>
        </w:rPr>
        <w:t xml:space="preserve">Material Recycling Association of India v. Union of India (Gujarat HC, 2020)</w:t>
      </w:r>
      <w:r>
        <w:rPr>
          <w:rFonts w:ascii="Verdana" w:cs="Verdana" w:eastAsia="Verdana" w:hAnsi="Verdana"/>
          <w:sz w:val="19"/>
          <w:szCs w:val="19"/>
        </w:rPr>
        <w:t xml:space="preserve">	85, 275</w:t>
      </w:r>
    </w:p>
    <w:p>
      <w:pPr>
        <w:tabs>
          <w:tab w:val="right" w:pos="9638" w:leader="dot"/>
        </w:tabs>
        <w:spacing w:after="20"/>
        <w:ind w:left="200" w:right="0"/>
      </w:pPr>
      <w:r>
        <w:rPr>
          <w:rFonts w:ascii="Verdana" w:cs="Verdana" w:eastAsia="Verdana" w:hAnsi="Verdana"/>
          <w:sz w:val="19"/>
          <w:szCs w:val="19"/>
        </w:rPr>
        <w:t xml:space="preserve">Union of India v. Mohit Minerals (P) Ltd. (SC, 2022)</w:t>
      </w:r>
      <w:r>
        <w:rPr>
          <w:rFonts w:ascii="Verdana" w:cs="Verdana" w:eastAsia="Verdana" w:hAnsi="Verdana"/>
          <w:sz w:val="19"/>
          <w:szCs w:val="19"/>
        </w:rPr>
        <w:t xml:space="preserve">	19, 22, 89, 92, 168, 278, 283</w:t>
      </w:r>
    </w:p>
    <w:p>
      <w:pPr>
        <w:tabs>
          <w:tab w:val="right" w:pos="9638" w:leader="dot"/>
        </w:tabs>
        <w:spacing w:after="20"/>
        <w:ind w:left="200" w:right="0"/>
      </w:pPr>
      <w:r>
        <w:rPr>
          <w:rFonts w:ascii="Verdana" w:cs="Verdana" w:eastAsia="Verdana" w:hAnsi="Verdana"/>
          <w:sz w:val="19"/>
          <w:szCs w:val="19"/>
        </w:rPr>
        <w:t xml:space="preserve">Collector, Land Acquisition, Anantnag v. Mst. Katiji (SC, 1987)</w:t>
      </w:r>
      <w:r>
        <w:rPr>
          <w:rFonts w:ascii="Verdana" w:cs="Verdana" w:eastAsia="Verdana" w:hAnsi="Verdana"/>
          <w:sz w:val="19"/>
          <w:szCs w:val="19"/>
        </w:rPr>
        <w:t xml:space="preserve">	202, 277</w:t>
      </w:r>
    </w:p>
    <w:p>
      <w:pPr>
        <w:keepNext/>
        <w:spacing w:after="40" w:before="160"/>
      </w:pPr>
      <w:r>
        <w:rPr>
          <w:rFonts w:ascii="Verdana" w:cs="Verdana" w:eastAsia="Verdana" w:hAnsi="Verdana"/>
          <w:b/>
          <w:bCs/>
          <w:color w:val="92400E"/>
          <w:sz w:val="22"/>
          <w:szCs w:val="22"/>
        </w:rPr>
        <w:t xml:space="preserve">N</w:t>
      </w:r>
    </w:p>
    <w:p>
      <w:pPr>
        <w:tabs>
          <w:tab w:val="right" w:pos="9638" w:leader="dot"/>
        </w:tabs>
        <w:spacing w:after="20"/>
        <w:ind w:left="200" w:right="0"/>
      </w:pPr>
      <w:r>
        <w:rPr>
          <w:rFonts w:ascii="Verdana" w:cs="Verdana" w:eastAsia="Verdana" w:hAnsi="Verdana"/>
          <w:sz w:val="19"/>
          <w:szCs w:val="19"/>
        </w:rPr>
        <w:t xml:space="preserve">Commissioner of Customs, Central Excise and Service Tax v. Northern Operating Systems (P) Ltd. (SC, 2022)</w:t>
      </w:r>
      <w:r>
        <w:rPr>
          <w:rFonts w:ascii="Verdana" w:cs="Verdana" w:eastAsia="Verdana" w:hAnsi="Verdana"/>
          <w:sz w:val="19"/>
          <w:szCs w:val="19"/>
        </w:rPr>
        <w:t xml:space="preserve">	41, 74, 164-165, 245, 278, 286</w:t>
      </w:r>
    </w:p>
    <w:p>
      <w:pPr>
        <w:keepNext/>
        <w:spacing w:after="40" w:before="160"/>
      </w:pPr>
      <w:r>
        <w:rPr>
          <w:rFonts w:ascii="Verdana" w:cs="Verdana" w:eastAsia="Verdana" w:hAnsi="Verdana"/>
          <w:b/>
          <w:bCs/>
          <w:color w:val="92400E"/>
          <w:sz w:val="22"/>
          <w:szCs w:val="22"/>
        </w:rPr>
        <w:t xml:space="preserve">O</w:t>
      </w:r>
    </w:p>
    <w:p>
      <w:pPr>
        <w:tabs>
          <w:tab w:val="right" w:pos="9638" w:leader="dot"/>
        </w:tabs>
        <w:spacing w:after="20"/>
        <w:ind w:left="200" w:right="0"/>
      </w:pPr>
      <w:r>
        <w:rPr>
          <w:rFonts w:ascii="Verdana" w:cs="Verdana" w:eastAsia="Verdana" w:hAnsi="Verdana"/>
          <w:sz w:val="19"/>
          <w:szCs w:val="19"/>
        </w:rPr>
        <w:t xml:space="preserve">On Quest Merchandising India (P) Ltd. v. Government of NCT of Delhi (Delhi HC, 2017)</w:t>
      </w:r>
      <w:r>
        <w:rPr>
          <w:rFonts w:ascii="Verdana" w:cs="Verdana" w:eastAsia="Verdana" w:hAnsi="Verdana"/>
          <w:sz w:val="19"/>
          <w:szCs w:val="19"/>
        </w:rPr>
        <w:t xml:space="preserve">	98, 278</w:t>
      </w:r>
    </w:p>
    <w:p>
      <w:pPr>
        <w:keepNext/>
        <w:spacing w:after="40" w:before="160"/>
      </w:pPr>
      <w:r>
        <w:rPr>
          <w:rFonts w:ascii="Verdana" w:cs="Verdana" w:eastAsia="Verdana" w:hAnsi="Verdana"/>
          <w:b/>
          <w:bCs/>
          <w:color w:val="92400E"/>
          <w:sz w:val="22"/>
          <w:szCs w:val="22"/>
        </w:rPr>
        <w:t xml:space="preserve">P</w:t>
      </w:r>
    </w:p>
    <w:p>
      <w:pPr>
        <w:tabs>
          <w:tab w:val="right" w:pos="9638" w:leader="dot"/>
        </w:tabs>
        <w:spacing w:after="20"/>
        <w:ind w:left="200" w:right="0"/>
      </w:pPr>
      <w:r>
        <w:rPr>
          <w:rFonts w:ascii="Verdana" w:cs="Verdana" w:eastAsia="Verdana" w:hAnsi="Verdana"/>
          <w:sz w:val="19"/>
          <w:szCs w:val="19"/>
        </w:rPr>
        <w:t xml:space="preserve">P.V. Ramana Reddy v. Union of India (Telangana HC, 2019)</w:t>
      </w:r>
      <w:r>
        <w:rPr>
          <w:rFonts w:ascii="Verdana" w:cs="Verdana" w:eastAsia="Verdana" w:hAnsi="Verdana"/>
          <w:sz w:val="19"/>
          <w:szCs w:val="19"/>
        </w:rPr>
        <w:t xml:space="preserve">	194, 277</w:t>
      </w:r>
    </w:p>
    <w:p>
      <w:pPr>
        <w:tabs>
          <w:tab w:val="right" w:pos="9638" w:leader="dot"/>
        </w:tabs>
        <w:spacing w:after="20"/>
        <w:ind w:left="200" w:right="0"/>
      </w:pPr>
      <w:r>
        <w:rPr>
          <w:rFonts w:ascii="Verdana" w:cs="Verdana" w:eastAsia="Verdana" w:hAnsi="Verdana"/>
          <w:sz w:val="19"/>
          <w:szCs w:val="19"/>
        </w:rPr>
        <w:t xml:space="preserve">Pushpam Pharmaceuticals Co. v. Collector of Central Excise (SC, 1995)</w:t>
      </w:r>
      <w:r>
        <w:rPr>
          <w:rFonts w:ascii="Verdana" w:cs="Verdana" w:eastAsia="Verdana" w:hAnsi="Verdana"/>
          <w:sz w:val="19"/>
          <w:szCs w:val="19"/>
        </w:rPr>
        <w:t xml:space="preserve">	190, 253, 277, 297</w:t>
      </w:r>
    </w:p>
    <w:p>
      <w:pPr>
        <w:keepNext/>
        <w:spacing w:after="40" w:before="160"/>
      </w:pPr>
      <w:r>
        <w:rPr>
          <w:rFonts w:ascii="Verdana" w:cs="Verdana" w:eastAsia="Verdana" w:hAnsi="Verdana"/>
          <w:b/>
          <w:bCs/>
          <w:color w:val="92400E"/>
          <w:sz w:val="22"/>
          <w:szCs w:val="22"/>
        </w:rPr>
        <w:t xml:space="preserve">R</w:t>
      </w:r>
    </w:p>
    <w:p>
      <w:pPr>
        <w:tabs>
          <w:tab w:val="right" w:pos="9638" w:leader="dot"/>
        </w:tabs>
        <w:spacing w:after="20"/>
        <w:ind w:left="200" w:right="0"/>
      </w:pPr>
      <w:r>
        <w:rPr>
          <w:rFonts w:ascii="Verdana" w:cs="Verdana" w:eastAsia="Verdana" w:hAnsi="Verdana"/>
          <w:sz w:val="19"/>
          <w:szCs w:val="19"/>
        </w:rPr>
        <w:t xml:space="preserve">Radha Krishan Industries v. State of Himachal Pradesh (SC, 2021)</w:t>
      </w:r>
      <w:r>
        <w:rPr>
          <w:rFonts w:ascii="Verdana" w:cs="Verdana" w:eastAsia="Verdana" w:hAnsi="Verdana"/>
          <w:sz w:val="19"/>
          <w:szCs w:val="19"/>
        </w:rPr>
        <w:t xml:space="preserve">	191-192, 277</w:t>
      </w:r>
    </w:p>
    <w:p>
      <w:pPr>
        <w:tabs>
          <w:tab w:val="right" w:pos="9638" w:leader="dot"/>
        </w:tabs>
        <w:spacing w:after="20"/>
        <w:ind w:left="200" w:right="0"/>
      </w:pPr>
      <w:r>
        <w:rPr>
          <w:rFonts w:ascii="Verdana" w:cs="Verdana" w:eastAsia="Verdana" w:hAnsi="Verdana"/>
          <w:sz w:val="19"/>
          <w:szCs w:val="19"/>
        </w:rPr>
        <w:t xml:space="preserve">Radhika Agarwal v. Union of India (SC, 2025)</w:t>
      </w:r>
      <w:r>
        <w:rPr>
          <w:rFonts w:ascii="Verdana" w:cs="Verdana" w:eastAsia="Verdana" w:hAnsi="Verdana"/>
          <w:sz w:val="19"/>
          <w:szCs w:val="19"/>
        </w:rPr>
        <w:t xml:space="preserve">	194, 196, 277, 289, 296</w:t>
      </w:r>
    </w:p>
    <w:p>
      <w:pPr>
        <w:tabs>
          <w:tab w:val="right" w:pos="9638" w:leader="dot"/>
        </w:tabs>
        <w:spacing w:after="20"/>
        <w:ind w:left="200" w:right="0"/>
      </w:pPr>
      <w:r>
        <w:rPr>
          <w:rFonts w:ascii="Verdana" w:cs="Verdana" w:eastAsia="Verdana" w:hAnsi="Verdana"/>
          <w:sz w:val="19"/>
          <w:szCs w:val="19"/>
        </w:rPr>
        <w:t xml:space="preserve">Ranbaxy Laboratories Ltd. v. Union of India (SC, 2011)</w:t>
      </w:r>
      <w:r>
        <w:rPr>
          <w:rFonts w:ascii="Verdana" w:cs="Verdana" w:eastAsia="Verdana" w:hAnsi="Verdana"/>
          <w:sz w:val="19"/>
          <w:szCs w:val="19"/>
        </w:rPr>
        <w:t xml:space="preserve">	145, 277</w:t>
      </w:r>
    </w:p>
    <w:p>
      <w:pPr>
        <w:tabs>
          <w:tab w:val="right" w:pos="9638" w:leader="dot"/>
        </w:tabs>
        <w:spacing w:after="20"/>
        <w:ind w:left="200" w:right="0"/>
      </w:pPr>
      <w:r>
        <w:rPr>
          <w:rFonts w:ascii="Verdana" w:cs="Verdana" w:eastAsia="Verdana" w:hAnsi="Verdana"/>
          <w:sz w:val="19"/>
          <w:szCs w:val="19"/>
        </w:rPr>
        <w:t xml:space="preserve">Commissioner of Central Excise v. Ratan Melting and Wire Industries (SC, 2008)</w:t>
      </w:r>
      <w:r>
        <w:rPr>
          <w:rFonts w:ascii="Verdana" w:cs="Verdana" w:eastAsia="Verdana" w:hAnsi="Verdana"/>
          <w:sz w:val="19"/>
          <w:szCs w:val="19"/>
        </w:rPr>
        <w:t xml:space="preserve">	20, 275</w:t>
      </w:r>
    </w:p>
    <w:p>
      <w:pPr>
        <w:tabs>
          <w:tab w:val="right" w:pos="9638" w:leader="dot"/>
        </w:tabs>
        <w:spacing w:after="20"/>
        <w:ind w:left="200" w:right="0"/>
      </w:pPr>
      <w:r>
        <w:rPr>
          <w:rFonts w:ascii="Verdana" w:cs="Verdana" w:eastAsia="Verdana" w:hAnsi="Verdana"/>
          <w:sz w:val="19"/>
          <w:szCs w:val="19"/>
        </w:rPr>
        <w:t xml:space="preserve">Reckitt Benckiser India (P) Ltd. v. Union of India (Delhi HC, 2024)</w:t>
      </w:r>
      <w:r>
        <w:rPr>
          <w:rFonts w:ascii="Verdana" w:cs="Verdana" w:eastAsia="Verdana" w:hAnsi="Verdana"/>
          <w:sz w:val="19"/>
          <w:szCs w:val="19"/>
        </w:rPr>
        <w:t xml:space="preserve">	207, 209, 279</w:t>
      </w:r>
    </w:p>
    <w:p>
      <w:pPr>
        <w:tabs>
          <w:tab w:val="right" w:pos="9638" w:leader="dot"/>
        </w:tabs>
        <w:spacing w:after="20"/>
        <w:ind w:left="200" w:right="0"/>
      </w:pPr>
      <w:r>
        <w:rPr>
          <w:rFonts w:ascii="Verdana" w:cs="Verdana" w:eastAsia="Verdana" w:hAnsi="Verdana"/>
          <w:sz w:val="19"/>
          <w:szCs w:val="19"/>
        </w:rPr>
        <w:t xml:space="preserve">Riddhi Siddhi Enterprises v. Commissioner of Goods and Services Tax (Delhi HC, 2024)</w:t>
      </w:r>
      <w:r>
        <w:rPr>
          <w:rFonts w:ascii="Verdana" w:cs="Verdana" w:eastAsia="Verdana" w:hAnsi="Verdana"/>
          <w:sz w:val="19"/>
          <w:szCs w:val="19"/>
        </w:rPr>
        <w:t xml:space="preserve">	124, 276</w:t>
      </w:r>
    </w:p>
    <w:p>
      <w:pPr>
        <w:keepNext/>
        <w:spacing w:after="40" w:before="160"/>
      </w:pPr>
      <w:r>
        <w:rPr>
          <w:rFonts w:ascii="Verdana" w:cs="Verdana" w:eastAsia="Verdana" w:hAnsi="Verdana"/>
          <w:b/>
          <w:bCs/>
          <w:color w:val="92400E"/>
          <w:sz w:val="22"/>
          <w:szCs w:val="22"/>
        </w:rPr>
        <w:t xml:space="preserve">S</w:t>
      </w:r>
    </w:p>
    <w:p>
      <w:pPr>
        <w:tabs>
          <w:tab w:val="right" w:pos="9638" w:leader="dot"/>
        </w:tabs>
        <w:spacing w:after="20"/>
        <w:ind w:left="200" w:right="0"/>
      </w:pPr>
      <w:r>
        <w:rPr>
          <w:rFonts w:ascii="Verdana" w:cs="Verdana" w:eastAsia="Verdana" w:hAnsi="Verdana"/>
          <w:sz w:val="19"/>
          <w:szCs w:val="19"/>
        </w:rPr>
        <w:t xml:space="preserve">Safari Retreats (P) Ltd. v. Chief Commissioner of CGST (SC, 2024)</w:t>
      </w:r>
      <w:r>
        <w:rPr>
          <w:rFonts w:ascii="Verdana" w:cs="Verdana" w:eastAsia="Verdana" w:hAnsi="Verdana"/>
          <w:sz w:val="19"/>
          <w:szCs w:val="19"/>
        </w:rPr>
        <w:t xml:space="preserve">	26-27, 102, 104, 155, 278, 286</w:t>
      </w:r>
    </w:p>
    <w:p>
      <w:pPr>
        <w:tabs>
          <w:tab w:val="right" w:pos="9638" w:leader="dot"/>
        </w:tabs>
        <w:spacing w:after="20"/>
        <w:ind w:left="200" w:right="0"/>
      </w:pPr>
      <w:r>
        <w:rPr>
          <w:rFonts w:ascii="Verdana" w:cs="Verdana" w:eastAsia="Verdana" w:hAnsi="Verdana"/>
          <w:sz w:val="19"/>
          <w:szCs w:val="19"/>
        </w:rPr>
        <w:t xml:space="preserve">Additional Commissioner v. Safecon Lifesciences (P) Ltd. (SC, 2026)</w:t>
      </w:r>
      <w:r>
        <w:rPr>
          <w:rFonts w:ascii="Verdana" w:cs="Verdana" w:eastAsia="Verdana" w:hAnsi="Verdana"/>
          <w:sz w:val="19"/>
          <w:szCs w:val="19"/>
        </w:rPr>
        <w:t xml:space="preserve">	98, 278</w:t>
      </w:r>
    </w:p>
    <w:p>
      <w:pPr>
        <w:tabs>
          <w:tab w:val="right" w:pos="9638" w:leader="dot"/>
        </w:tabs>
        <w:spacing w:after="20"/>
        <w:ind w:left="200" w:right="0"/>
      </w:pPr>
      <w:r>
        <w:rPr>
          <w:rFonts w:ascii="Verdana" w:cs="Verdana" w:eastAsia="Verdana" w:hAnsi="Verdana"/>
          <w:sz w:val="19"/>
          <w:szCs w:val="19"/>
        </w:rPr>
        <w:t xml:space="preserve">Samay Alloys India (P) Ltd. v. State of Gujarat (Gujarat HC, 2022)</w:t>
      </w:r>
      <w:r>
        <w:rPr>
          <w:rFonts w:ascii="Verdana" w:cs="Verdana" w:eastAsia="Verdana" w:hAnsi="Verdana"/>
          <w:sz w:val="19"/>
          <w:szCs w:val="19"/>
        </w:rPr>
        <w:t xml:space="preserve">	117, 278</w:t>
      </w:r>
    </w:p>
    <w:p>
      <w:pPr>
        <w:tabs>
          <w:tab w:val="right" w:pos="9638" w:leader="dot"/>
        </w:tabs>
        <w:spacing w:after="20"/>
        <w:ind w:left="200" w:right="0"/>
      </w:pPr>
      <w:r>
        <w:rPr>
          <w:rFonts w:ascii="Verdana" w:cs="Verdana" w:eastAsia="Verdana" w:hAnsi="Verdana"/>
          <w:sz w:val="19"/>
          <w:szCs w:val="19"/>
        </w:rPr>
        <w:t xml:space="preserve">Assistant Commissioner (ST) v. Satyam Shivam Papers (P) Ltd. (SC, 2022)</w:t>
      </w:r>
      <w:r>
        <w:rPr>
          <w:rFonts w:ascii="Verdana" w:cs="Verdana" w:eastAsia="Verdana" w:hAnsi="Verdana"/>
          <w:sz w:val="19"/>
          <w:szCs w:val="19"/>
        </w:rPr>
        <w:t xml:space="preserve">	133, 279</w:t>
      </w:r>
    </w:p>
    <w:p>
      <w:pPr>
        <w:tabs>
          <w:tab w:val="right" w:pos="9638" w:leader="dot"/>
        </w:tabs>
        <w:spacing w:after="20"/>
        <w:ind w:left="200" w:right="0"/>
      </w:pPr>
      <w:r>
        <w:rPr>
          <w:rFonts w:ascii="Verdana" w:cs="Verdana" w:eastAsia="Verdana" w:hAnsi="Verdana"/>
          <w:sz w:val="19"/>
          <w:szCs w:val="19"/>
        </w:rPr>
        <w:t xml:space="preserve">Singh Enterprises v. Commissioner of Central Excise (SC, 2008)</w:t>
      </w:r>
      <w:r>
        <w:rPr>
          <w:rFonts w:ascii="Verdana" w:cs="Verdana" w:eastAsia="Verdana" w:hAnsi="Verdana"/>
          <w:sz w:val="19"/>
          <w:szCs w:val="19"/>
        </w:rPr>
        <w:t xml:space="preserve">	202-203, 277</w:t>
      </w:r>
    </w:p>
    <w:p>
      <w:pPr>
        <w:tabs>
          <w:tab w:val="right" w:pos="9638" w:leader="dot"/>
        </w:tabs>
        <w:spacing w:after="20"/>
        <w:ind w:left="200" w:right="0"/>
      </w:pPr>
      <w:r>
        <w:rPr>
          <w:rFonts w:ascii="Verdana" w:cs="Verdana" w:eastAsia="Verdana" w:hAnsi="Verdana"/>
          <w:sz w:val="19"/>
          <w:szCs w:val="19"/>
        </w:rPr>
        <w:t xml:space="preserve">Suncraft Energy (P) Ltd. v. Assistant Commissioner, State Tax (Calcutta HC, 2023)</w:t>
      </w:r>
      <w:r>
        <w:rPr>
          <w:rFonts w:ascii="Verdana" w:cs="Verdana" w:eastAsia="Verdana" w:hAnsi="Verdana"/>
          <w:sz w:val="19"/>
          <w:szCs w:val="19"/>
        </w:rPr>
        <w:t xml:space="preserve">	95, 125, 174, 278</w:t>
      </w:r>
    </w:p>
    <w:p>
      <w:pPr>
        <w:keepNext/>
        <w:spacing w:after="40" w:before="160"/>
      </w:pPr>
      <w:r>
        <w:rPr>
          <w:rFonts w:ascii="Verdana" w:cs="Verdana" w:eastAsia="Verdana" w:hAnsi="Verdana"/>
          <w:b/>
          <w:bCs/>
          <w:color w:val="92400E"/>
          <w:sz w:val="22"/>
          <w:szCs w:val="22"/>
        </w:rPr>
        <w:t xml:space="preserve">T</w:t>
      </w:r>
    </w:p>
    <w:p>
      <w:pPr>
        <w:tabs>
          <w:tab w:val="right" w:pos="9638" w:leader="dot"/>
        </w:tabs>
        <w:spacing w:after="20"/>
        <w:ind w:left="200" w:right="0"/>
      </w:pPr>
      <w:r>
        <w:rPr>
          <w:rFonts w:ascii="Verdana" w:cs="Verdana" w:eastAsia="Verdana" w:hAnsi="Verdana"/>
          <w:sz w:val="19"/>
          <w:szCs w:val="19"/>
        </w:rPr>
        <w:t xml:space="preserve">Tata Consultancy Services v. State of Andhra Pradesh (SC, 2004)</w:t>
      </w:r>
      <w:r>
        <w:rPr>
          <w:rFonts w:ascii="Verdana" w:cs="Verdana" w:eastAsia="Verdana" w:hAnsi="Verdana"/>
          <w:sz w:val="19"/>
          <w:szCs w:val="19"/>
        </w:rPr>
        <w:t xml:space="preserve">	30, 275</w:t>
      </w:r>
    </w:p>
    <w:p>
      <w:pPr>
        <w:tabs>
          <w:tab w:val="right" w:pos="9638" w:leader="dot"/>
        </w:tabs>
        <w:spacing w:after="20"/>
        <w:ind w:left="200" w:right="0"/>
      </w:pPr>
      <w:r>
        <w:rPr>
          <w:rFonts w:ascii="Verdana" w:cs="Verdana" w:eastAsia="Verdana" w:hAnsi="Verdana"/>
          <w:sz w:val="19"/>
          <w:szCs w:val="19"/>
        </w:rPr>
        <w:t xml:space="preserve">Thirumalakonda Plywoods v. Assistant Commissioner (Andhra Pradesh HC, 2023)</w:t>
      </w:r>
      <w:r>
        <w:rPr>
          <w:rFonts w:ascii="Verdana" w:cs="Verdana" w:eastAsia="Verdana" w:hAnsi="Verdana"/>
          <w:sz w:val="19"/>
          <w:szCs w:val="19"/>
        </w:rPr>
        <w:t xml:space="preserve">	97, 276</w:t>
      </w:r>
    </w:p>
    <w:p>
      <w:pPr>
        <w:keepNext/>
        <w:spacing w:after="40" w:before="160"/>
      </w:pPr>
      <w:r>
        <w:rPr>
          <w:rFonts w:ascii="Verdana" w:cs="Verdana" w:eastAsia="Verdana" w:hAnsi="Verdana"/>
          <w:b/>
          <w:bCs/>
          <w:color w:val="92400E"/>
          <w:sz w:val="22"/>
          <w:szCs w:val="22"/>
        </w:rPr>
        <w:t xml:space="preserve">U</w:t>
      </w:r>
    </w:p>
    <w:p>
      <w:pPr>
        <w:tabs>
          <w:tab w:val="right" w:pos="9638" w:leader="dot"/>
        </w:tabs>
        <w:spacing w:after="20"/>
        <w:ind w:left="200" w:right="0"/>
      </w:pPr>
      <w:r>
        <w:rPr>
          <w:rFonts w:ascii="Verdana" w:cs="Verdana" w:eastAsia="Verdana" w:hAnsi="Verdana"/>
          <w:sz w:val="19"/>
          <w:szCs w:val="19"/>
        </w:rPr>
        <w:t xml:space="preserve">Uniworth Textiles Ltd. v. Commissioner of Central Excise (SC, 2013)</w:t>
      </w:r>
      <w:r>
        <w:rPr>
          <w:rFonts w:ascii="Verdana" w:cs="Verdana" w:eastAsia="Verdana" w:hAnsi="Verdana"/>
          <w:sz w:val="19"/>
          <w:szCs w:val="19"/>
        </w:rPr>
        <w:t xml:space="preserve">	190, 277</w:t>
      </w:r>
    </w:p>
    <w:p>
      <w:pPr>
        <w:keepNext/>
        <w:spacing w:after="40" w:before="160"/>
      </w:pPr>
      <w:r>
        <w:rPr>
          <w:rFonts w:ascii="Verdana" w:cs="Verdana" w:eastAsia="Verdana" w:hAnsi="Verdana"/>
          <w:b/>
          <w:bCs/>
          <w:color w:val="92400E"/>
          <w:sz w:val="22"/>
          <w:szCs w:val="22"/>
        </w:rPr>
        <w:t xml:space="preserve">V</w:t>
      </w:r>
    </w:p>
    <w:p>
      <w:pPr>
        <w:tabs>
          <w:tab w:val="right" w:pos="9638" w:leader="dot"/>
        </w:tabs>
        <w:spacing w:after="20"/>
        <w:ind w:left="200" w:right="0"/>
      </w:pPr>
      <w:r>
        <w:rPr>
          <w:rFonts w:ascii="Verdana" w:cs="Verdana" w:eastAsia="Verdana" w:hAnsi="Verdana"/>
          <w:sz w:val="19"/>
          <w:szCs w:val="19"/>
        </w:rPr>
        <w:t xml:space="preserve">Union of India v. VKC Footsteps India (P) Ltd. (SC, 2021)</w:t>
      </w:r>
      <w:r>
        <w:rPr>
          <w:rFonts w:ascii="Verdana" w:cs="Verdana" w:eastAsia="Verdana" w:hAnsi="Verdana"/>
          <w:sz w:val="19"/>
          <w:szCs w:val="19"/>
        </w:rPr>
        <w:t xml:space="preserve">	58, 113, 147-148, 230-231, 278, 288</w:t>
      </w:r>
    </w:p>
    <w:p>
      <w:pPr>
        <w:pStyle w:val="Heading1"/>
        <w:pageBreakBefore/>
        <w:spacing w:after="200" w:before="0"/>
      </w:pPr>
      <w:r>
        <w:rPr>
          <w:rFonts w:ascii="Verdana" w:cs="Verdana" w:eastAsia="Verdana" w:hAnsi="Verdana"/>
        </w:rPr>
        <w:t xml:space="preserve">Index</w:t>
      </w:r>
    </w:p>
    <w:p>
      <w:pPr>
        <w:spacing w:after="120" w:line="276"/>
        <w:jc w:val="both"/>
      </w:pPr>
      <w:r>
        <w:rPr>
          <w:rFonts w:ascii="Verdana" w:cs="Verdana" w:eastAsia="Verdana" w:hAnsi="Verdana"/>
          <w:i/>
          <w:iCs/>
          <w:color w:val="404040"/>
          <w:sz w:val="19"/>
          <w:szCs w:val="19"/>
        </w:rPr>
        <w:t xml:space="preserve">References are to page numbers. Where a subject is discussed on many pages, the main discussions are listed. Unless stated otherwise, section numbers are those of the CGST Act, 2017 and rule numbers those of the CGST Rules, 2017. See also the Contents, the List of Illustrations, Appendix A (Section Map) and Appendix N (HSN and SAC).</w:t>
      </w:r>
    </w:p>
    <w:p>
      <w:pPr>
        <w:keepNext/>
        <w:spacing w:after="40" w:before="160"/>
      </w:pPr>
      <w:r>
        <w:rPr>
          <w:rFonts w:ascii="Verdana" w:cs="Verdana" w:eastAsia="Verdana" w:hAnsi="Verdana"/>
          <w:b/>
          <w:bCs/>
          <w:color w:val="92400E"/>
          <w:sz w:val="22"/>
          <w:szCs w:val="22"/>
        </w:rPr>
        <w:t xml:space="preserve">A</w:t>
      </w:r>
    </w:p>
    <w:p>
      <w:pPr>
        <w:tabs>
          <w:tab w:val="right" w:pos="9638" w:leader="dot"/>
        </w:tabs>
        <w:spacing w:after="20"/>
        <w:ind w:left="200" w:right="0"/>
      </w:pPr>
      <w:r>
        <w:rPr>
          <w:rFonts w:ascii="Verdana" w:cs="Verdana" w:eastAsia="Verdana" w:hAnsi="Verdana"/>
          <w:sz w:val="19"/>
          <w:szCs w:val="19"/>
        </w:rPr>
        <w:t xml:space="preserve">Actionable claims</w:t>
      </w:r>
      <w:r>
        <w:rPr>
          <w:rFonts w:ascii="Verdana" w:cs="Verdana" w:eastAsia="Verdana" w:hAnsi="Verdana"/>
          <w:sz w:val="19"/>
          <w:szCs w:val="19"/>
        </w:rPr>
        <w:t xml:space="preserve">	16, 30-31, 36, 42-43, 158</w:t>
      </w:r>
    </w:p>
    <w:p>
      <w:pPr>
        <w:tabs>
          <w:tab w:val="right" w:pos="9638" w:leader="dot"/>
        </w:tabs>
        <w:spacing w:after="20"/>
        <w:ind w:left="200" w:right="0"/>
      </w:pPr>
      <w:r>
        <w:rPr>
          <w:rFonts w:ascii="Verdana" w:cs="Verdana" w:eastAsia="Verdana" w:hAnsi="Verdana"/>
          <w:sz w:val="19"/>
          <w:szCs w:val="19"/>
        </w:rPr>
        <w:t xml:space="preserve">Advance ruling</w:t>
      </w:r>
      <w:r>
        <w:rPr>
          <w:rFonts w:ascii="Verdana" w:cs="Verdana" w:eastAsia="Verdana" w:hAnsi="Verdana"/>
          <w:sz w:val="19"/>
          <w:szCs w:val="19"/>
        </w:rPr>
        <w:t xml:space="preserve">	19-21, 56, 197-199</w:t>
      </w:r>
    </w:p>
    <w:p>
      <w:pPr>
        <w:tabs>
          <w:tab w:val="right" w:pos="9638" w:leader="dot"/>
        </w:tabs>
        <w:spacing w:after="20"/>
        <w:ind w:left="200" w:right="0"/>
      </w:pPr>
      <w:r>
        <w:rPr>
          <w:rFonts w:ascii="Verdana" w:cs="Verdana" w:eastAsia="Verdana" w:hAnsi="Verdana"/>
          <w:sz w:val="19"/>
          <w:szCs w:val="19"/>
        </w:rPr>
        <w:t xml:space="preserve">Advances received, time of supply</w:t>
      </w:r>
      <w:r>
        <w:rPr>
          <w:rFonts w:ascii="Verdana" w:cs="Verdana" w:eastAsia="Verdana" w:hAnsi="Verdana"/>
          <w:sz w:val="19"/>
          <w:szCs w:val="19"/>
        </w:rPr>
        <w:t xml:space="preserve">	26, 64-65, 68, 127, 135, 211</w:t>
      </w:r>
    </w:p>
    <w:p>
      <w:pPr>
        <w:tabs>
          <w:tab w:val="right" w:pos="9638" w:leader="dot"/>
        </w:tabs>
        <w:spacing w:after="20"/>
        <w:ind w:left="200" w:right="0"/>
      </w:pPr>
      <w:r>
        <w:rPr>
          <w:rFonts w:ascii="Verdana" w:cs="Verdana" w:eastAsia="Verdana" w:hAnsi="Verdana"/>
          <w:sz w:val="19"/>
          <w:szCs w:val="19"/>
        </w:rPr>
        <w:t xml:space="preserve">Aggregate turnover</w:t>
      </w:r>
      <w:r>
        <w:rPr>
          <w:rFonts w:ascii="Verdana" w:cs="Verdana" w:eastAsia="Verdana" w:hAnsi="Verdana"/>
          <w:sz w:val="19"/>
          <w:szCs w:val="19"/>
        </w:rPr>
        <w:t xml:space="preserve">	32-33, 55, 59-60, 121, 130</w:t>
      </w:r>
    </w:p>
    <w:p>
      <w:pPr>
        <w:tabs>
          <w:tab w:val="right" w:pos="9638" w:leader="dot"/>
        </w:tabs>
        <w:spacing w:after="20"/>
        <w:ind w:left="200" w:right="0"/>
      </w:pPr>
      <w:r>
        <w:rPr>
          <w:rFonts w:ascii="Verdana" w:cs="Verdana" w:eastAsia="Verdana" w:hAnsi="Verdana"/>
          <w:sz w:val="19"/>
          <w:szCs w:val="19"/>
        </w:rPr>
        <w:t xml:space="preserve">Annual return (GSTR-9) and GSTR-9C</w:t>
      </w:r>
      <w:r>
        <w:rPr>
          <w:rFonts w:ascii="Verdana" w:cs="Verdana" w:eastAsia="Verdana" w:hAnsi="Verdana"/>
          <w:sz w:val="19"/>
          <w:szCs w:val="19"/>
        </w:rPr>
        <w:t xml:space="preserve">	97, 118, 139, 214-215, 255-256</w:t>
      </w:r>
    </w:p>
    <w:p>
      <w:pPr>
        <w:tabs>
          <w:tab w:val="right" w:pos="9638" w:leader="dot"/>
        </w:tabs>
        <w:spacing w:after="20"/>
        <w:ind w:left="200" w:right="0"/>
      </w:pPr>
      <w:r>
        <w:rPr>
          <w:rFonts w:ascii="Verdana" w:cs="Verdana" w:eastAsia="Verdana" w:hAnsi="Verdana"/>
          <w:sz w:val="19"/>
          <w:szCs w:val="19"/>
        </w:rPr>
        <w:t xml:space="preserve">Anti-profiteering (section 171)</w:t>
      </w:r>
      <w:r>
        <w:rPr>
          <w:rFonts w:ascii="Verdana" w:cs="Verdana" w:eastAsia="Verdana" w:hAnsi="Verdana"/>
          <w:sz w:val="19"/>
          <w:szCs w:val="19"/>
        </w:rPr>
        <w:t xml:space="preserve">	16, 24, 178, 207, 209</w:t>
      </w:r>
    </w:p>
    <w:p>
      <w:pPr>
        <w:tabs>
          <w:tab w:val="right" w:pos="9638" w:leader="dot"/>
        </w:tabs>
        <w:spacing w:after="20"/>
        <w:ind w:left="200" w:right="0"/>
      </w:pPr>
      <w:r>
        <w:rPr>
          <w:rFonts w:ascii="Verdana" w:cs="Verdana" w:eastAsia="Verdana" w:hAnsi="Verdana"/>
          <w:sz w:val="19"/>
          <w:szCs w:val="19"/>
        </w:rPr>
        <w:t xml:space="preserve">Appeals to Appellate Authority (section 107)</w:t>
      </w:r>
      <w:r>
        <w:rPr>
          <w:rFonts w:ascii="Verdana" w:cs="Verdana" w:eastAsia="Verdana" w:hAnsi="Verdana"/>
          <w:sz w:val="19"/>
          <w:szCs w:val="19"/>
        </w:rPr>
        <w:t xml:space="preserve">	20, 198, 200-203, 217</w:t>
      </w:r>
    </w:p>
    <w:p>
      <w:pPr>
        <w:tabs>
          <w:tab w:val="right" w:pos="9638" w:leader="dot"/>
        </w:tabs>
        <w:spacing w:after="20"/>
        <w:ind w:left="200" w:right="0"/>
      </w:pPr>
      <w:r>
        <w:rPr>
          <w:rFonts w:ascii="Verdana" w:cs="Verdana" w:eastAsia="Verdana" w:hAnsi="Verdana"/>
          <w:sz w:val="19"/>
          <w:szCs w:val="19"/>
        </w:rPr>
        <w:t xml:space="preserve">Appellate Tribunal (GSTAT)</w:t>
      </w:r>
      <w:r>
        <w:rPr>
          <w:rFonts w:ascii="Verdana" w:cs="Verdana" w:eastAsia="Verdana" w:hAnsi="Verdana"/>
          <w:sz w:val="19"/>
          <w:szCs w:val="19"/>
        </w:rPr>
        <w:t xml:space="preserve">	16, 23, 28, 200-201, 207, 254</w:t>
      </w:r>
    </w:p>
    <w:p>
      <w:pPr>
        <w:tabs>
          <w:tab w:val="right" w:pos="9638" w:leader="dot"/>
        </w:tabs>
        <w:spacing w:after="20"/>
        <w:ind w:left="200" w:right="0"/>
      </w:pPr>
      <w:r>
        <w:rPr>
          <w:rFonts w:ascii="Verdana" w:cs="Verdana" w:eastAsia="Verdana" w:hAnsi="Verdana"/>
          <w:sz w:val="19"/>
          <w:szCs w:val="19"/>
        </w:rPr>
        <w:t xml:space="preserve">Arrest (section 69)</w:t>
      </w:r>
      <w:r>
        <w:rPr>
          <w:rFonts w:ascii="Verdana" w:cs="Verdana" w:eastAsia="Verdana" w:hAnsi="Verdana"/>
          <w:sz w:val="19"/>
          <w:szCs w:val="19"/>
        </w:rPr>
        <w:t xml:space="preserve">	193-196</w:t>
      </w:r>
    </w:p>
    <w:p>
      <w:pPr>
        <w:tabs>
          <w:tab w:val="right" w:pos="9638" w:leader="dot"/>
        </w:tabs>
        <w:spacing w:after="20"/>
        <w:ind w:left="200" w:right="0"/>
      </w:pPr>
      <w:r>
        <w:rPr>
          <w:rFonts w:ascii="Verdana" w:cs="Verdana" w:eastAsia="Verdana" w:hAnsi="Verdana"/>
          <w:sz w:val="19"/>
          <w:szCs w:val="19"/>
        </w:rPr>
        <w:t xml:space="preserve">Assessment</w:t>
      </w:r>
      <w:r>
        <w:rPr>
          <w:rFonts w:ascii="Verdana" w:cs="Verdana" w:eastAsia="Verdana" w:hAnsi="Verdana"/>
          <w:sz w:val="19"/>
          <w:szCs w:val="19"/>
        </w:rPr>
        <w:t xml:space="preserve">	178-181, 184-185, 216</w:t>
      </w:r>
    </w:p>
    <w:p>
      <w:pPr>
        <w:tabs>
          <w:tab w:val="right" w:pos="9638" w:leader="dot"/>
        </w:tabs>
        <w:spacing w:after="20"/>
        <w:ind w:left="200" w:right="0"/>
      </w:pPr>
      <w:r>
        <w:rPr>
          <w:rFonts w:ascii="Verdana" w:cs="Verdana" w:eastAsia="Verdana" w:hAnsi="Verdana"/>
          <w:sz w:val="19"/>
          <w:szCs w:val="19"/>
        </w:rPr>
        <w:t xml:space="preserve">Audit by department (section 65)</w:t>
      </w:r>
      <w:r>
        <w:rPr>
          <w:rFonts w:ascii="Verdana" w:cs="Verdana" w:eastAsia="Verdana" w:hAnsi="Verdana"/>
          <w:sz w:val="19"/>
          <w:szCs w:val="19"/>
        </w:rPr>
        <w:t xml:space="preserve">	178, 182-183, 185, 216</w:t>
      </w:r>
    </w:p>
    <w:p>
      <w:pPr>
        <w:keepNext/>
        <w:spacing w:after="40" w:before="160"/>
      </w:pPr>
      <w:r>
        <w:rPr>
          <w:rFonts w:ascii="Verdana" w:cs="Verdana" w:eastAsia="Verdana" w:hAnsi="Verdana"/>
          <w:b/>
          <w:bCs/>
          <w:color w:val="92400E"/>
          <w:sz w:val="22"/>
          <w:szCs w:val="22"/>
        </w:rPr>
        <w:t xml:space="preserve">B</w:t>
      </w:r>
    </w:p>
    <w:p>
      <w:pPr>
        <w:tabs>
          <w:tab w:val="right" w:pos="9638" w:leader="dot"/>
        </w:tabs>
        <w:spacing w:after="20"/>
        <w:ind w:left="200" w:right="0"/>
      </w:pPr>
      <w:r>
        <w:rPr>
          <w:rFonts w:ascii="Verdana" w:cs="Verdana" w:eastAsia="Verdana" w:hAnsi="Verdana"/>
          <w:sz w:val="19"/>
          <w:szCs w:val="19"/>
        </w:rPr>
        <w:t xml:space="preserve">Banking and financial services</w:t>
      </w:r>
      <w:r>
        <w:rPr>
          <w:rFonts w:ascii="Verdana" w:cs="Verdana" w:eastAsia="Verdana" w:hAnsi="Verdana"/>
          <w:sz w:val="19"/>
          <w:szCs w:val="19"/>
        </w:rPr>
        <w:t xml:space="preserve">	65, 68, 71, 105, 107, 160, 162</w:t>
      </w:r>
    </w:p>
    <w:p>
      <w:pPr>
        <w:tabs>
          <w:tab w:val="right" w:pos="9638" w:leader="dot"/>
        </w:tabs>
        <w:spacing w:after="20"/>
        <w:ind w:left="200" w:right="0"/>
      </w:pPr>
      <w:r>
        <w:rPr>
          <w:rFonts w:ascii="Verdana" w:cs="Verdana" w:eastAsia="Verdana" w:hAnsi="Verdana"/>
          <w:sz w:val="19"/>
          <w:szCs w:val="19"/>
        </w:rPr>
        <w:t xml:space="preserve">Bill of supply</w:t>
      </w:r>
      <w:r>
        <w:rPr>
          <w:rFonts w:ascii="Verdana" w:cs="Verdana" w:eastAsia="Verdana" w:hAnsi="Verdana"/>
          <w:sz w:val="19"/>
          <w:szCs w:val="19"/>
        </w:rPr>
        <w:t xml:space="preserve">	59, 63, 127, 129, 259, 261</w:t>
      </w:r>
    </w:p>
    <w:p>
      <w:pPr>
        <w:tabs>
          <w:tab w:val="right" w:pos="9638" w:leader="dot"/>
        </w:tabs>
        <w:spacing w:after="20"/>
        <w:ind w:left="200" w:right="0"/>
      </w:pPr>
      <w:r>
        <w:rPr>
          <w:rFonts w:ascii="Verdana" w:cs="Verdana" w:eastAsia="Verdana" w:hAnsi="Verdana"/>
          <w:sz w:val="19"/>
          <w:szCs w:val="19"/>
        </w:rPr>
        <w:t xml:space="preserve">Bill-to-ship-to supplies</w:t>
      </w:r>
      <w:r>
        <w:rPr>
          <w:rFonts w:ascii="Verdana" w:cs="Verdana" w:eastAsia="Verdana" w:hAnsi="Verdana"/>
          <w:sz w:val="19"/>
          <w:szCs w:val="19"/>
        </w:rPr>
        <w:t xml:space="preserve">	77, 81-82, 95, 132, 248-249</w:t>
      </w:r>
    </w:p>
    <w:p>
      <w:pPr>
        <w:tabs>
          <w:tab w:val="right" w:pos="9638" w:leader="dot"/>
        </w:tabs>
        <w:spacing w:after="20"/>
        <w:ind w:left="200" w:right="0"/>
      </w:pPr>
      <w:r>
        <w:rPr>
          <w:rFonts w:ascii="Verdana" w:cs="Verdana" w:eastAsia="Verdana" w:hAnsi="Verdana"/>
          <w:sz w:val="19"/>
          <w:szCs w:val="19"/>
        </w:rPr>
        <w:t xml:space="preserve">Blocked credits (section 17(5))</w:t>
      </w:r>
      <w:r>
        <w:rPr>
          <w:rFonts w:ascii="Verdana" w:cs="Verdana" w:eastAsia="Verdana" w:hAnsi="Verdana"/>
          <w:sz w:val="19"/>
          <w:szCs w:val="19"/>
        </w:rPr>
        <w:t xml:space="preserve">	27, 100, 103-104, 163, 212, 220</w:t>
      </w:r>
    </w:p>
    <w:p>
      <w:pPr>
        <w:keepNext/>
        <w:spacing w:after="40" w:before="160"/>
      </w:pPr>
      <w:r>
        <w:rPr>
          <w:rFonts w:ascii="Verdana" w:cs="Verdana" w:eastAsia="Verdana" w:hAnsi="Verdana"/>
          <w:b/>
          <w:bCs/>
          <w:color w:val="92400E"/>
          <w:sz w:val="22"/>
          <w:szCs w:val="22"/>
        </w:rPr>
        <w:t xml:space="preserve">C</w:t>
      </w:r>
    </w:p>
    <w:p>
      <w:pPr>
        <w:tabs>
          <w:tab w:val="right" w:pos="9638" w:leader="dot"/>
        </w:tabs>
        <w:spacing w:after="20"/>
        <w:ind w:left="200" w:right="0"/>
      </w:pPr>
      <w:r>
        <w:rPr>
          <w:rFonts w:ascii="Verdana" w:cs="Verdana" w:eastAsia="Verdana" w:hAnsi="Verdana"/>
          <w:sz w:val="19"/>
          <w:szCs w:val="19"/>
        </w:rPr>
        <w:t xml:space="preserve">Capital goods</w:t>
      </w:r>
      <w:r>
        <w:rPr>
          <w:rFonts w:ascii="Verdana" w:cs="Verdana" w:eastAsia="Verdana" w:hAnsi="Verdana"/>
          <w:sz w:val="19"/>
          <w:szCs w:val="19"/>
        </w:rPr>
        <w:t xml:space="preserve">	35, 60, 93, 107-109, 175</w:t>
      </w:r>
    </w:p>
    <w:p>
      <w:pPr>
        <w:tabs>
          <w:tab w:val="right" w:pos="9638" w:leader="dot"/>
        </w:tabs>
        <w:spacing w:after="20"/>
        <w:ind w:left="200" w:right="0"/>
      </w:pPr>
      <w:r>
        <w:rPr>
          <w:rFonts w:ascii="Verdana" w:cs="Verdana" w:eastAsia="Verdana" w:hAnsi="Verdana"/>
          <w:sz w:val="19"/>
          <w:szCs w:val="19"/>
        </w:rPr>
        <w:t xml:space="preserve">Casual taxable person</w:t>
      </w:r>
      <w:r>
        <w:rPr>
          <w:rFonts w:ascii="Verdana" w:cs="Verdana" w:eastAsia="Verdana" w:hAnsi="Verdana"/>
          <w:sz w:val="19"/>
          <w:szCs w:val="19"/>
        </w:rPr>
        <w:t xml:space="preserve">	50, 59, 121, 123, 167, 250</w:t>
      </w:r>
    </w:p>
    <w:p>
      <w:pPr>
        <w:tabs>
          <w:tab w:val="right" w:pos="9638" w:leader="dot"/>
        </w:tabs>
        <w:spacing w:after="20"/>
        <w:ind w:left="200" w:right="0"/>
      </w:pPr>
      <w:r>
        <w:rPr>
          <w:rFonts w:ascii="Verdana" w:cs="Verdana" w:eastAsia="Verdana" w:hAnsi="Verdana"/>
          <w:sz w:val="19"/>
          <w:szCs w:val="19"/>
        </w:rPr>
        <w:t xml:space="preserve">Classification (HSN and SAC)</w:t>
      </w:r>
      <w:r>
        <w:rPr>
          <w:rFonts w:ascii="Verdana" w:cs="Verdana" w:eastAsia="Verdana" w:hAnsi="Verdana"/>
          <w:sz w:val="19"/>
          <w:szCs w:val="19"/>
        </w:rPr>
        <w:t xml:space="preserve">	21, 30, 55-58, 126</w:t>
      </w:r>
    </w:p>
    <w:p>
      <w:pPr>
        <w:tabs>
          <w:tab w:val="right" w:pos="9638" w:leader="dot"/>
        </w:tabs>
        <w:spacing w:after="20"/>
        <w:ind w:left="200" w:right="0"/>
      </w:pPr>
      <w:r>
        <w:rPr>
          <w:rFonts w:ascii="Verdana" w:cs="Verdana" w:eastAsia="Verdana" w:hAnsi="Verdana"/>
          <w:sz w:val="19"/>
          <w:szCs w:val="19"/>
        </w:rPr>
        <w:t xml:space="preserve">Compensation cess</w:t>
      </w:r>
      <w:r>
        <w:rPr>
          <w:rFonts w:ascii="Verdana" w:cs="Verdana" w:eastAsia="Verdana" w:hAnsi="Verdana"/>
          <w:sz w:val="19"/>
          <w:szCs w:val="19"/>
        </w:rPr>
        <w:t xml:space="preserve">	16-17, 23, 26, 29, 33, 69</w:t>
      </w:r>
    </w:p>
    <w:p>
      <w:pPr>
        <w:tabs>
          <w:tab w:val="right" w:pos="9638" w:leader="dot"/>
        </w:tabs>
        <w:spacing w:after="20"/>
        <w:ind w:left="200" w:right="0"/>
      </w:pPr>
      <w:r>
        <w:rPr>
          <w:rFonts w:ascii="Verdana" w:cs="Verdana" w:eastAsia="Verdana" w:hAnsi="Verdana"/>
          <w:sz w:val="19"/>
          <w:szCs w:val="19"/>
        </w:rPr>
        <w:t xml:space="preserve">Composite and mixed supply</w:t>
      </w:r>
      <w:r>
        <w:rPr>
          <w:rFonts w:ascii="Verdana" w:cs="Verdana" w:eastAsia="Verdana" w:hAnsi="Verdana"/>
          <w:sz w:val="19"/>
          <w:szCs w:val="19"/>
        </w:rPr>
        <w:t xml:space="preserve">	19, 42, 46-49, 101</w:t>
      </w:r>
    </w:p>
    <w:p>
      <w:pPr>
        <w:tabs>
          <w:tab w:val="right" w:pos="9638" w:leader="dot"/>
        </w:tabs>
        <w:spacing w:after="20"/>
        <w:ind w:left="200" w:right="0"/>
      </w:pPr>
      <w:r>
        <w:rPr>
          <w:rFonts w:ascii="Verdana" w:cs="Verdana" w:eastAsia="Verdana" w:hAnsi="Verdana"/>
          <w:sz w:val="19"/>
          <w:szCs w:val="19"/>
        </w:rPr>
        <w:t xml:space="preserve">Composition scheme (section 10)</w:t>
      </w:r>
      <w:r>
        <w:rPr>
          <w:rFonts w:ascii="Verdana" w:cs="Verdana" w:eastAsia="Verdana" w:hAnsi="Verdana"/>
          <w:sz w:val="19"/>
          <w:szCs w:val="19"/>
        </w:rPr>
        <w:t xml:space="preserve">	37, 59-61, 63, 261-262</w:t>
      </w:r>
    </w:p>
    <w:p>
      <w:pPr>
        <w:tabs>
          <w:tab w:val="right" w:pos="9638" w:leader="dot"/>
        </w:tabs>
        <w:spacing w:after="20"/>
        <w:ind w:left="200" w:right="0"/>
      </w:pPr>
      <w:r>
        <w:rPr>
          <w:rFonts w:ascii="Verdana" w:cs="Verdana" w:eastAsia="Verdana" w:hAnsi="Verdana"/>
          <w:sz w:val="19"/>
          <w:szCs w:val="19"/>
        </w:rPr>
        <w:t xml:space="preserve">Consideration</w:t>
      </w:r>
      <w:r>
        <w:rPr>
          <w:rFonts w:ascii="Verdana" w:cs="Verdana" w:eastAsia="Verdana" w:hAnsi="Verdana"/>
          <w:sz w:val="19"/>
          <w:szCs w:val="19"/>
        </w:rPr>
        <w:t xml:space="preserve">	30-32, 37, 39, 44, 70</w:t>
      </w:r>
    </w:p>
    <w:p>
      <w:pPr>
        <w:tabs>
          <w:tab w:val="right" w:pos="9638" w:leader="dot"/>
        </w:tabs>
        <w:spacing w:after="20"/>
        <w:ind w:left="200" w:right="0"/>
      </w:pPr>
      <w:r>
        <w:rPr>
          <w:rFonts w:ascii="Verdana" w:cs="Verdana" w:eastAsia="Verdana" w:hAnsi="Verdana"/>
          <w:sz w:val="19"/>
          <w:szCs w:val="19"/>
        </w:rPr>
        <w:t xml:space="preserve">Constitutional provisions</w:t>
      </w:r>
      <w:r>
        <w:rPr>
          <w:rFonts w:ascii="Verdana" w:cs="Verdana" w:eastAsia="Verdana" w:hAnsi="Verdana"/>
          <w:sz w:val="19"/>
          <w:szCs w:val="19"/>
        </w:rPr>
        <w:t xml:space="preserve">	17-19, 22</w:t>
      </w:r>
    </w:p>
    <w:p>
      <w:pPr>
        <w:tabs>
          <w:tab w:val="right" w:pos="9638" w:leader="dot"/>
        </w:tabs>
        <w:spacing w:after="20"/>
        <w:ind w:left="200" w:right="0"/>
      </w:pPr>
      <w:r>
        <w:rPr>
          <w:rFonts w:ascii="Verdana" w:cs="Verdana" w:eastAsia="Verdana" w:hAnsi="Verdana"/>
          <w:sz w:val="19"/>
          <w:szCs w:val="19"/>
        </w:rPr>
        <w:t xml:space="preserve">Construction and works contracts</w:t>
      </w:r>
      <w:r>
        <w:rPr>
          <w:rFonts w:ascii="Verdana" w:cs="Verdana" w:eastAsia="Verdana" w:hAnsi="Verdana"/>
          <w:sz w:val="19"/>
          <w:szCs w:val="19"/>
        </w:rPr>
        <w:t xml:space="preserve">	24, 48-49, 101, 103, 153-154</w:t>
      </w:r>
    </w:p>
    <w:p>
      <w:pPr>
        <w:tabs>
          <w:tab w:val="right" w:pos="9638" w:leader="dot"/>
        </w:tabs>
        <w:spacing w:after="20"/>
        <w:ind w:left="200" w:right="0"/>
      </w:pPr>
      <w:r>
        <w:rPr>
          <w:rFonts w:ascii="Verdana" w:cs="Verdana" w:eastAsia="Verdana" w:hAnsi="Verdana"/>
          <w:sz w:val="19"/>
          <w:szCs w:val="19"/>
        </w:rPr>
        <w:t xml:space="preserve">Continuous supply</w:t>
      </w:r>
      <w:r>
        <w:rPr>
          <w:rFonts w:ascii="Verdana" w:cs="Verdana" w:eastAsia="Verdana" w:hAnsi="Verdana"/>
          <w:sz w:val="19"/>
          <w:szCs w:val="19"/>
        </w:rPr>
        <w:t xml:space="preserve">	65, 126</w:t>
      </w:r>
    </w:p>
    <w:p>
      <w:pPr>
        <w:tabs>
          <w:tab w:val="right" w:pos="9638" w:leader="dot"/>
        </w:tabs>
        <w:spacing w:after="20"/>
        <w:ind w:left="200" w:right="0"/>
      </w:pPr>
      <w:r>
        <w:rPr>
          <w:rFonts w:ascii="Verdana" w:cs="Verdana" w:eastAsia="Verdana" w:hAnsi="Verdana"/>
          <w:sz w:val="19"/>
          <w:szCs w:val="19"/>
        </w:rPr>
        <w:t xml:space="preserve">Corporate guarantee (rule 28(2))</w:t>
      </w:r>
      <w:r>
        <w:rPr>
          <w:rFonts w:ascii="Verdana" w:cs="Verdana" w:eastAsia="Verdana" w:hAnsi="Verdana"/>
          <w:sz w:val="19"/>
          <w:szCs w:val="19"/>
        </w:rPr>
        <w:t xml:space="preserve">	71, 75, 164-165, 177, 244-245</w:t>
      </w:r>
    </w:p>
    <w:p>
      <w:pPr>
        <w:tabs>
          <w:tab w:val="right" w:pos="9638" w:leader="dot"/>
        </w:tabs>
        <w:spacing w:after="20"/>
        <w:ind w:left="200" w:right="0"/>
      </w:pPr>
      <w:r>
        <w:rPr>
          <w:rFonts w:ascii="Verdana" w:cs="Verdana" w:eastAsia="Verdana" w:hAnsi="Verdana"/>
          <w:sz w:val="19"/>
          <w:szCs w:val="19"/>
        </w:rPr>
        <w:t xml:space="preserve">Credit notes and debit notes (section 34)</w:t>
      </w:r>
      <w:r>
        <w:rPr>
          <w:rFonts w:ascii="Verdana" w:cs="Verdana" w:eastAsia="Verdana" w:hAnsi="Verdana"/>
          <w:sz w:val="19"/>
          <w:szCs w:val="19"/>
        </w:rPr>
        <w:t xml:space="preserve">	28, 70, 109-110, 126, 128-129</w:t>
      </w:r>
    </w:p>
    <w:p>
      <w:pPr>
        <w:tabs>
          <w:tab w:val="right" w:pos="9638" w:leader="dot"/>
        </w:tabs>
        <w:spacing w:after="20"/>
        <w:ind w:left="200" w:right="0"/>
      </w:pPr>
      <w:r>
        <w:rPr>
          <w:rFonts w:ascii="Verdana" w:cs="Verdana" w:eastAsia="Verdana" w:hAnsi="Verdana"/>
          <w:sz w:val="19"/>
          <w:szCs w:val="19"/>
        </w:rPr>
        <w:t xml:space="preserve">Cross charge between distinct persons</w:t>
      </w:r>
      <w:r>
        <w:rPr>
          <w:rFonts w:ascii="Verdana" w:cs="Verdana" w:eastAsia="Verdana" w:hAnsi="Verdana"/>
          <w:sz w:val="19"/>
          <w:szCs w:val="19"/>
        </w:rPr>
        <w:t xml:space="preserve">	33, 40, 74, 113, 164, 244, 246</w:t>
      </w:r>
    </w:p>
    <w:p>
      <w:pPr>
        <w:tabs>
          <w:tab w:val="right" w:pos="9638" w:leader="dot"/>
        </w:tabs>
        <w:spacing w:after="20"/>
        <w:ind w:left="200" w:right="0"/>
      </w:pPr>
      <w:r>
        <w:rPr>
          <w:rFonts w:ascii="Verdana" w:cs="Verdana" w:eastAsia="Verdana" w:hAnsi="Verdana"/>
          <w:sz w:val="19"/>
          <w:szCs w:val="19"/>
        </w:rPr>
        <w:t xml:space="preserve">CSR expenditure, ITC</w:t>
      </w:r>
      <w:r>
        <w:rPr>
          <w:rFonts w:ascii="Verdana" w:cs="Verdana" w:eastAsia="Verdana" w:hAnsi="Verdana"/>
          <w:sz w:val="19"/>
          <w:szCs w:val="19"/>
        </w:rPr>
        <w:t xml:space="preserve">	69, 102, 104, 170, 241-243</w:t>
      </w:r>
    </w:p>
    <w:p>
      <w:pPr>
        <w:keepNext/>
        <w:spacing w:after="40" w:before="160"/>
      </w:pPr>
      <w:r>
        <w:rPr>
          <w:rFonts w:ascii="Verdana" w:cs="Verdana" w:eastAsia="Verdana" w:hAnsi="Verdana"/>
          <w:b/>
          <w:bCs/>
          <w:color w:val="92400E"/>
          <w:sz w:val="22"/>
          <w:szCs w:val="22"/>
        </w:rPr>
        <w:t xml:space="preserve">D</w:t>
      </w:r>
    </w:p>
    <w:p>
      <w:pPr>
        <w:tabs>
          <w:tab w:val="right" w:pos="9638" w:leader="dot"/>
        </w:tabs>
        <w:spacing w:after="20"/>
        <w:ind w:left="200" w:right="0"/>
      </w:pPr>
      <w:r>
        <w:rPr>
          <w:rFonts w:ascii="Verdana" w:cs="Verdana" w:eastAsia="Verdana" w:hAnsi="Verdana"/>
          <w:sz w:val="19"/>
          <w:szCs w:val="19"/>
        </w:rPr>
        <w:t xml:space="preserve">Deemed exports</w:t>
      </w:r>
      <w:r>
        <w:rPr>
          <w:rFonts w:ascii="Verdana" w:cs="Verdana" w:eastAsia="Verdana" w:hAnsi="Verdana"/>
          <w:sz w:val="19"/>
          <w:szCs w:val="19"/>
        </w:rPr>
        <w:t xml:space="preserve">	64, 88, 91-92, 144</w:t>
      </w:r>
    </w:p>
    <w:p>
      <w:pPr>
        <w:tabs>
          <w:tab w:val="right" w:pos="9638" w:leader="dot"/>
        </w:tabs>
        <w:spacing w:after="20"/>
        <w:ind w:left="200" w:right="0"/>
      </w:pPr>
      <w:r>
        <w:rPr>
          <w:rFonts w:ascii="Verdana" w:cs="Verdana" w:eastAsia="Verdana" w:hAnsi="Verdana"/>
          <w:sz w:val="19"/>
          <w:szCs w:val="19"/>
        </w:rPr>
        <w:t xml:space="preserve">Delivery challan</w:t>
      </w:r>
      <w:r>
        <w:rPr>
          <w:rFonts w:ascii="Verdana" w:cs="Verdana" w:eastAsia="Verdana" w:hAnsi="Verdana"/>
          <w:sz w:val="19"/>
          <w:szCs w:val="19"/>
        </w:rPr>
        <w:t xml:space="preserve">	112, 127, 131-132, 135, 180</w:t>
      </w:r>
    </w:p>
    <w:p>
      <w:pPr>
        <w:tabs>
          <w:tab w:val="right" w:pos="9638" w:leader="dot"/>
        </w:tabs>
        <w:spacing w:after="20"/>
        <w:ind w:left="200" w:right="0"/>
      </w:pPr>
      <w:r>
        <w:rPr>
          <w:rFonts w:ascii="Verdana" w:cs="Verdana" w:eastAsia="Verdana" w:hAnsi="Verdana"/>
          <w:sz w:val="19"/>
          <w:szCs w:val="19"/>
        </w:rPr>
        <w:t xml:space="preserve">Demand: section 73</w:t>
      </w:r>
      <w:r>
        <w:rPr>
          <w:rFonts w:ascii="Verdana" w:cs="Verdana" w:eastAsia="Verdana" w:hAnsi="Verdana"/>
          <w:sz w:val="19"/>
          <w:szCs w:val="19"/>
        </w:rPr>
        <w:t xml:space="preserve">	117, 183-184, 186-189</w:t>
      </w:r>
    </w:p>
    <w:p>
      <w:pPr>
        <w:tabs>
          <w:tab w:val="right" w:pos="9638" w:leader="dot"/>
        </w:tabs>
        <w:spacing w:after="20"/>
        <w:ind w:left="200" w:right="0"/>
      </w:pPr>
      <w:r>
        <w:rPr>
          <w:rFonts w:ascii="Verdana" w:cs="Verdana" w:eastAsia="Verdana" w:hAnsi="Verdana"/>
          <w:sz w:val="19"/>
          <w:szCs w:val="19"/>
        </w:rPr>
        <w:t xml:space="preserve">Demand: section 74</w:t>
      </w:r>
      <w:r>
        <w:rPr>
          <w:rFonts w:ascii="Verdana" w:cs="Verdana" w:eastAsia="Verdana" w:hAnsi="Verdana"/>
          <w:sz w:val="19"/>
          <w:szCs w:val="19"/>
        </w:rPr>
        <w:t xml:space="preserve">	103-104, 186-190</w:t>
      </w:r>
    </w:p>
    <w:p>
      <w:pPr>
        <w:tabs>
          <w:tab w:val="right" w:pos="9638" w:leader="dot"/>
        </w:tabs>
        <w:spacing w:after="20"/>
        <w:ind w:left="200" w:right="0"/>
      </w:pPr>
      <w:r>
        <w:rPr>
          <w:rFonts w:ascii="Verdana" w:cs="Verdana" w:eastAsia="Verdana" w:hAnsi="Verdana"/>
          <w:sz w:val="19"/>
          <w:szCs w:val="19"/>
        </w:rPr>
        <w:t xml:space="preserve">Demand: section 74A</w:t>
      </w:r>
      <w:r>
        <w:rPr>
          <w:rFonts w:ascii="Verdana" w:cs="Verdana" w:eastAsia="Verdana" w:hAnsi="Verdana"/>
          <w:sz w:val="19"/>
          <w:szCs w:val="19"/>
        </w:rPr>
        <w:t xml:space="preserve">	16, 186-187, 189, 216, 252, 254</w:t>
      </w:r>
    </w:p>
    <w:p>
      <w:pPr>
        <w:tabs>
          <w:tab w:val="right" w:pos="9638" w:leader="dot"/>
        </w:tabs>
        <w:spacing w:after="20"/>
        <w:ind w:left="200" w:right="0"/>
      </w:pPr>
      <w:r>
        <w:rPr>
          <w:rFonts w:ascii="Verdana" w:cs="Verdana" w:eastAsia="Verdana" w:hAnsi="Verdana"/>
          <w:sz w:val="19"/>
          <w:szCs w:val="19"/>
        </w:rPr>
        <w:t xml:space="preserve">Directors, services by</w:t>
      </w:r>
      <w:r>
        <w:rPr>
          <w:rFonts w:ascii="Verdana" w:cs="Verdana" w:eastAsia="Verdana" w:hAnsi="Verdana"/>
          <w:sz w:val="19"/>
          <w:szCs w:val="19"/>
        </w:rPr>
        <w:t xml:space="preserve">	50, 163-165, 244-246</w:t>
      </w:r>
    </w:p>
    <w:p>
      <w:pPr>
        <w:tabs>
          <w:tab w:val="right" w:pos="9638" w:leader="dot"/>
        </w:tabs>
        <w:spacing w:after="20"/>
        <w:ind w:left="200" w:right="0"/>
      </w:pPr>
      <w:r>
        <w:rPr>
          <w:rFonts w:ascii="Verdana" w:cs="Verdana" w:eastAsia="Verdana" w:hAnsi="Verdana"/>
          <w:sz w:val="19"/>
          <w:szCs w:val="19"/>
        </w:rPr>
        <w:t xml:space="preserve">Discounts</w:t>
      </w:r>
      <w:r>
        <w:rPr>
          <w:rFonts w:ascii="Verdana" w:cs="Verdana" w:eastAsia="Verdana" w:hAnsi="Verdana"/>
          <w:sz w:val="19"/>
          <w:szCs w:val="19"/>
        </w:rPr>
        <w:t xml:space="preserve">	27-29, 70, 110, 129, 255</w:t>
      </w:r>
    </w:p>
    <w:p>
      <w:pPr>
        <w:tabs>
          <w:tab w:val="right" w:pos="9638" w:leader="dot"/>
        </w:tabs>
        <w:spacing w:after="20"/>
        <w:ind w:left="200" w:right="0"/>
      </w:pPr>
      <w:r>
        <w:rPr>
          <w:rFonts w:ascii="Verdana" w:cs="Verdana" w:eastAsia="Verdana" w:hAnsi="Verdana"/>
          <w:sz w:val="19"/>
          <w:szCs w:val="19"/>
        </w:rPr>
        <w:t xml:space="preserve">Distinct persons</w:t>
      </w:r>
      <w:r>
        <w:rPr>
          <w:rFonts w:ascii="Verdana" w:cs="Verdana" w:eastAsia="Verdana" w:hAnsi="Verdana"/>
          <w:sz w:val="19"/>
          <w:szCs w:val="19"/>
        </w:rPr>
        <w:t xml:space="preserve">	33-34, 36, 38, 122, 198, 238</w:t>
      </w:r>
    </w:p>
    <w:p>
      <w:pPr>
        <w:tabs>
          <w:tab w:val="right" w:pos="9638" w:leader="dot"/>
        </w:tabs>
        <w:spacing w:after="20"/>
        <w:ind w:left="200" w:right="0"/>
      </w:pPr>
      <w:r>
        <w:rPr>
          <w:rFonts w:ascii="Verdana" w:cs="Verdana" w:eastAsia="Verdana" w:hAnsi="Verdana"/>
          <w:sz w:val="19"/>
          <w:szCs w:val="19"/>
        </w:rPr>
        <w:t xml:space="preserve">DRC-01A and DRC-01</w:t>
      </w:r>
      <w:r>
        <w:rPr>
          <w:rFonts w:ascii="Verdana" w:cs="Verdana" w:eastAsia="Verdana" w:hAnsi="Verdana"/>
          <w:sz w:val="19"/>
          <w:szCs w:val="19"/>
        </w:rPr>
        <w:t xml:space="preserve">	187-188, 192, 216</w:t>
      </w:r>
    </w:p>
    <w:p>
      <w:pPr>
        <w:tabs>
          <w:tab w:val="right" w:pos="9638" w:leader="dot"/>
        </w:tabs>
        <w:spacing w:after="20"/>
        <w:ind w:left="200" w:right="0"/>
      </w:pPr>
      <w:r>
        <w:rPr>
          <w:rFonts w:ascii="Verdana" w:cs="Verdana" w:eastAsia="Verdana" w:hAnsi="Verdana"/>
          <w:sz w:val="19"/>
          <w:szCs w:val="19"/>
        </w:rPr>
        <w:t xml:space="preserve">DRC-03 voluntary payment</w:t>
      </w:r>
      <w:r>
        <w:rPr>
          <w:rFonts w:ascii="Verdana" w:cs="Verdana" w:eastAsia="Verdana" w:hAnsi="Verdana"/>
          <w:sz w:val="19"/>
          <w:szCs w:val="19"/>
        </w:rPr>
        <w:t xml:space="preserve">	118, 142-143, 151, 181, 233, 256</w:t>
      </w:r>
    </w:p>
    <w:p>
      <w:pPr>
        <w:keepNext/>
        <w:spacing w:after="40" w:before="160"/>
      </w:pPr>
      <w:r>
        <w:rPr>
          <w:rFonts w:ascii="Verdana" w:cs="Verdana" w:eastAsia="Verdana" w:hAnsi="Verdana"/>
          <w:b/>
          <w:bCs/>
          <w:color w:val="92400E"/>
          <w:sz w:val="22"/>
          <w:szCs w:val="22"/>
        </w:rPr>
        <w:t xml:space="preserve">E</w:t>
      </w:r>
    </w:p>
    <w:p>
      <w:pPr>
        <w:tabs>
          <w:tab w:val="right" w:pos="9638" w:leader="dot"/>
        </w:tabs>
        <w:spacing w:after="20"/>
        <w:ind w:left="200" w:right="0"/>
      </w:pPr>
      <w:r>
        <w:rPr>
          <w:rFonts w:ascii="Verdana" w:cs="Verdana" w:eastAsia="Verdana" w:hAnsi="Verdana"/>
          <w:sz w:val="19"/>
          <w:szCs w:val="19"/>
        </w:rPr>
        <w:t xml:space="preserve">E-commerce operators</w:t>
      </w:r>
      <w:r>
        <w:rPr>
          <w:rFonts w:ascii="Verdana" w:cs="Verdana" w:eastAsia="Verdana" w:hAnsi="Verdana"/>
          <w:sz w:val="19"/>
          <w:szCs w:val="19"/>
        </w:rPr>
        <w:t xml:space="preserve">	50, 53, 59, 143, 156-157, 159</w:t>
      </w:r>
    </w:p>
    <w:p>
      <w:pPr>
        <w:tabs>
          <w:tab w:val="right" w:pos="9638" w:leader="dot"/>
        </w:tabs>
        <w:spacing w:after="20"/>
        <w:ind w:left="200" w:right="0"/>
      </w:pPr>
      <w:r>
        <w:rPr>
          <w:rFonts w:ascii="Verdana" w:cs="Verdana" w:eastAsia="Verdana" w:hAnsi="Verdana"/>
          <w:sz w:val="19"/>
          <w:szCs w:val="19"/>
        </w:rPr>
        <w:t xml:space="preserve">E-invoicing</w:t>
      </w:r>
      <w:r>
        <w:rPr>
          <w:rFonts w:ascii="Verdana" w:cs="Verdana" w:eastAsia="Verdana" w:hAnsi="Verdana"/>
          <w:sz w:val="19"/>
          <w:szCs w:val="19"/>
        </w:rPr>
        <w:t xml:space="preserve">	130-131, 134, 174, 176-177, 213</w:t>
      </w:r>
    </w:p>
    <w:p>
      <w:pPr>
        <w:tabs>
          <w:tab w:val="right" w:pos="9638" w:leader="dot"/>
        </w:tabs>
        <w:spacing w:after="20"/>
        <w:ind w:left="200" w:right="0"/>
      </w:pPr>
      <w:r>
        <w:rPr>
          <w:rFonts w:ascii="Verdana" w:cs="Verdana" w:eastAsia="Verdana" w:hAnsi="Verdana"/>
          <w:sz w:val="19"/>
          <w:szCs w:val="19"/>
        </w:rPr>
        <w:t xml:space="preserve">E-way bill</w:t>
      </w:r>
      <w:r>
        <w:rPr>
          <w:rFonts w:ascii="Verdana" w:cs="Verdana" w:eastAsia="Verdana" w:hAnsi="Verdana"/>
          <w:sz w:val="19"/>
          <w:szCs w:val="19"/>
        </w:rPr>
        <w:t xml:space="preserve">	12, 130-131, 134, 180, 195, 248</w:t>
      </w:r>
    </w:p>
    <w:p>
      <w:pPr>
        <w:tabs>
          <w:tab w:val="right" w:pos="9638" w:leader="dot"/>
        </w:tabs>
        <w:spacing w:after="20"/>
        <w:ind w:left="200" w:right="0"/>
      </w:pPr>
      <w:r>
        <w:rPr>
          <w:rFonts w:ascii="Verdana" w:cs="Verdana" w:eastAsia="Verdana" w:hAnsi="Verdana"/>
          <w:sz w:val="19"/>
          <w:szCs w:val="19"/>
        </w:rPr>
        <w:t xml:space="preserve">Electronic cash and credit ledgers</w:t>
      </w:r>
      <w:r>
        <w:rPr>
          <w:rFonts w:ascii="Verdana" w:cs="Verdana" w:eastAsia="Verdana" w:hAnsi="Verdana"/>
          <w:sz w:val="19"/>
          <w:szCs w:val="19"/>
        </w:rPr>
        <w:t xml:space="preserve">	51, 117, 141-142, 156, 210-211</w:t>
      </w:r>
    </w:p>
    <w:p>
      <w:pPr>
        <w:tabs>
          <w:tab w:val="right" w:pos="9638" w:leader="dot"/>
        </w:tabs>
        <w:spacing w:after="20"/>
        <w:ind w:left="200" w:right="0"/>
      </w:pPr>
      <w:r>
        <w:rPr>
          <w:rFonts w:ascii="Verdana" w:cs="Verdana" w:eastAsia="Verdana" w:hAnsi="Verdana"/>
          <w:sz w:val="19"/>
          <w:szCs w:val="19"/>
        </w:rPr>
        <w:t xml:space="preserve">Employees, supplies to and by</w:t>
      </w:r>
      <w:r>
        <w:rPr>
          <w:rFonts w:ascii="Verdana" w:cs="Verdana" w:eastAsia="Verdana" w:hAnsi="Verdana"/>
          <w:sz w:val="19"/>
          <w:szCs w:val="19"/>
        </w:rPr>
        <w:t xml:space="preserve">	40, 44-45, 74, 163-165</w:t>
      </w:r>
    </w:p>
    <w:p>
      <w:pPr>
        <w:tabs>
          <w:tab w:val="right" w:pos="9638" w:leader="dot"/>
        </w:tabs>
        <w:spacing w:after="20"/>
        <w:ind w:left="200" w:right="0"/>
      </w:pPr>
      <w:r>
        <w:rPr>
          <w:rFonts w:ascii="Verdana" w:cs="Verdana" w:eastAsia="Verdana" w:hAnsi="Verdana"/>
          <w:sz w:val="19"/>
          <w:szCs w:val="19"/>
        </w:rPr>
        <w:t xml:space="preserve">Exempt supply</w:t>
      </w:r>
      <w:r>
        <w:rPr>
          <w:rFonts w:ascii="Verdana" w:cs="Verdana" w:eastAsia="Verdana" w:hAnsi="Verdana"/>
          <w:sz w:val="19"/>
          <w:szCs w:val="19"/>
        </w:rPr>
        <w:t xml:space="preserve">	25, 54, 105-107, 110, 223</w:t>
      </w:r>
    </w:p>
    <w:p>
      <w:pPr>
        <w:tabs>
          <w:tab w:val="right" w:pos="9638" w:leader="dot"/>
        </w:tabs>
        <w:spacing w:after="20"/>
        <w:ind w:left="200" w:right="0"/>
      </w:pPr>
      <w:r>
        <w:rPr>
          <w:rFonts w:ascii="Verdana" w:cs="Verdana" w:eastAsia="Verdana" w:hAnsi="Verdana"/>
          <w:sz w:val="19"/>
          <w:szCs w:val="19"/>
        </w:rPr>
        <w:t xml:space="preserve">Exemptions (section 11)</w:t>
      </w:r>
      <w:r>
        <w:rPr>
          <w:rFonts w:ascii="Verdana" w:cs="Verdana" w:eastAsia="Verdana" w:hAnsi="Verdana"/>
          <w:sz w:val="19"/>
          <w:szCs w:val="19"/>
        </w:rPr>
        <w:t xml:space="preserve">	20-22, 36, 38, 50, 53</w:t>
      </w:r>
    </w:p>
    <w:p>
      <w:pPr>
        <w:tabs>
          <w:tab w:val="right" w:pos="9638" w:leader="dot"/>
        </w:tabs>
        <w:spacing w:after="20"/>
        <w:ind w:left="200" w:right="0"/>
      </w:pPr>
      <w:r>
        <w:rPr>
          <w:rFonts w:ascii="Verdana" w:cs="Verdana" w:eastAsia="Verdana" w:hAnsi="Verdana"/>
          <w:sz w:val="19"/>
          <w:szCs w:val="19"/>
        </w:rPr>
        <w:t xml:space="preserve">Export of goods</w:t>
      </w:r>
      <w:r>
        <w:rPr>
          <w:rFonts w:ascii="Verdana" w:cs="Verdana" w:eastAsia="Verdana" w:hAnsi="Verdana"/>
          <w:sz w:val="19"/>
          <w:szCs w:val="19"/>
        </w:rPr>
        <w:t xml:space="preserve">	36, 89, 144, 147</w:t>
      </w:r>
    </w:p>
    <w:p>
      <w:pPr>
        <w:tabs>
          <w:tab w:val="right" w:pos="9638" w:leader="dot"/>
        </w:tabs>
        <w:spacing w:after="20"/>
        <w:ind w:left="200" w:right="0"/>
      </w:pPr>
      <w:r>
        <w:rPr>
          <w:rFonts w:ascii="Verdana" w:cs="Verdana" w:eastAsia="Verdana" w:hAnsi="Verdana"/>
          <w:sz w:val="19"/>
          <w:szCs w:val="19"/>
        </w:rPr>
        <w:t xml:space="preserve">Export of services</w:t>
      </w:r>
      <w:r>
        <w:rPr>
          <w:rFonts w:ascii="Verdana" w:cs="Verdana" w:eastAsia="Verdana" w:hAnsi="Verdana"/>
          <w:sz w:val="19"/>
          <w:szCs w:val="19"/>
        </w:rPr>
        <w:t xml:space="preserve">	32, 85, 89, 92, 144, 174, 226</w:t>
      </w:r>
    </w:p>
    <w:p>
      <w:pPr>
        <w:keepNext/>
        <w:spacing w:after="40" w:before="160"/>
      </w:pPr>
      <w:r>
        <w:rPr>
          <w:rFonts w:ascii="Verdana" w:cs="Verdana" w:eastAsia="Verdana" w:hAnsi="Verdana"/>
          <w:b/>
          <w:bCs/>
          <w:color w:val="92400E"/>
          <w:sz w:val="22"/>
          <w:szCs w:val="22"/>
        </w:rPr>
        <w:t xml:space="preserve">F</w:t>
      </w:r>
    </w:p>
    <w:p>
      <w:pPr>
        <w:tabs>
          <w:tab w:val="right" w:pos="9638" w:leader="dot"/>
        </w:tabs>
        <w:spacing w:after="20"/>
        <w:ind w:left="200" w:right="0"/>
      </w:pPr>
      <w:r>
        <w:rPr>
          <w:rFonts w:ascii="Verdana" w:cs="Verdana" w:eastAsia="Verdana" w:hAnsi="Verdana"/>
          <w:sz w:val="19"/>
          <w:szCs w:val="19"/>
        </w:rPr>
        <w:t xml:space="preserve">Finance Act, 2025 amendments</w:t>
      </w:r>
      <w:r>
        <w:rPr>
          <w:rFonts w:ascii="Verdana" w:cs="Verdana" w:eastAsia="Verdana" w:hAnsi="Verdana"/>
          <w:sz w:val="19"/>
          <w:szCs w:val="19"/>
        </w:rPr>
        <w:t xml:space="preserve">	16, 26-27, 29, 42, 66, 155</w:t>
      </w:r>
    </w:p>
    <w:p>
      <w:pPr>
        <w:tabs>
          <w:tab w:val="right" w:pos="9638" w:leader="dot"/>
        </w:tabs>
        <w:spacing w:after="20"/>
        <w:ind w:left="200" w:right="0"/>
      </w:pPr>
      <w:r>
        <w:rPr>
          <w:rFonts w:ascii="Verdana" w:cs="Verdana" w:eastAsia="Verdana" w:hAnsi="Verdana"/>
          <w:sz w:val="19"/>
          <w:szCs w:val="19"/>
        </w:rPr>
        <w:t xml:space="preserve">Finance Act, 2026 amendments</w:t>
      </w:r>
      <w:r>
        <w:rPr>
          <w:rFonts w:ascii="Verdana" w:cs="Verdana" w:eastAsia="Verdana" w:hAnsi="Verdana"/>
          <w:sz w:val="19"/>
          <w:szCs w:val="19"/>
        </w:rPr>
        <w:t xml:space="preserve">	16, 20, 27-29, 58, 84</w:t>
      </w:r>
    </w:p>
    <w:p>
      <w:pPr>
        <w:tabs>
          <w:tab w:val="right" w:pos="9638" w:leader="dot"/>
        </w:tabs>
        <w:spacing w:after="20"/>
        <w:ind w:left="200" w:right="0"/>
      </w:pPr>
      <w:r>
        <w:rPr>
          <w:rFonts w:ascii="Verdana" w:cs="Verdana" w:eastAsia="Verdana" w:hAnsi="Verdana"/>
          <w:sz w:val="19"/>
          <w:szCs w:val="19"/>
        </w:rPr>
        <w:t xml:space="preserve">Fraud and suppression</w:t>
      </w:r>
      <w:r>
        <w:rPr>
          <w:rFonts w:ascii="Verdana" w:cs="Verdana" w:eastAsia="Verdana" w:hAnsi="Verdana"/>
          <w:sz w:val="19"/>
          <w:szCs w:val="19"/>
        </w:rPr>
        <w:t xml:space="preserve">	103, 186-188, 190, 252-253</w:t>
      </w:r>
    </w:p>
    <w:p>
      <w:pPr>
        <w:tabs>
          <w:tab w:val="right" w:pos="9638" w:leader="dot"/>
        </w:tabs>
        <w:spacing w:after="20"/>
        <w:ind w:left="200" w:right="0"/>
      </w:pPr>
      <w:r>
        <w:rPr>
          <w:rFonts w:ascii="Verdana" w:cs="Verdana" w:eastAsia="Verdana" w:hAnsi="Verdana"/>
          <w:sz w:val="19"/>
          <w:szCs w:val="19"/>
        </w:rPr>
        <w:t xml:space="preserve">Free samples and gifts</w:t>
      </w:r>
      <w:r>
        <w:rPr>
          <w:rFonts w:ascii="Verdana" w:cs="Verdana" w:eastAsia="Verdana" w:hAnsi="Verdana"/>
          <w:sz w:val="19"/>
          <w:szCs w:val="19"/>
        </w:rPr>
        <w:t xml:space="preserve">	40, 43, 67, 102-104, 163</w:t>
      </w:r>
    </w:p>
    <w:p>
      <w:pPr>
        <w:keepNext/>
        <w:spacing w:after="40" w:before="160"/>
      </w:pPr>
      <w:r>
        <w:rPr>
          <w:rFonts w:ascii="Verdana" w:cs="Verdana" w:eastAsia="Verdana" w:hAnsi="Verdana"/>
          <w:b/>
          <w:bCs/>
          <w:color w:val="92400E"/>
          <w:sz w:val="22"/>
          <w:szCs w:val="22"/>
        </w:rPr>
        <w:t xml:space="preserve">G</w:t>
      </w:r>
    </w:p>
    <w:p>
      <w:pPr>
        <w:tabs>
          <w:tab w:val="right" w:pos="9638" w:leader="dot"/>
        </w:tabs>
        <w:spacing w:after="20"/>
        <w:ind w:left="200" w:right="0"/>
      </w:pPr>
      <w:r>
        <w:rPr>
          <w:rFonts w:ascii="Verdana" w:cs="Verdana" w:eastAsia="Verdana" w:hAnsi="Verdana"/>
          <w:sz w:val="19"/>
          <w:szCs w:val="19"/>
        </w:rPr>
        <w:t xml:space="preserve">Goods transport agency (GTA)</w:t>
      </w:r>
      <w:r>
        <w:rPr>
          <w:rFonts w:ascii="Verdana" w:cs="Verdana" w:eastAsia="Verdana" w:hAnsi="Verdana"/>
          <w:sz w:val="19"/>
          <w:szCs w:val="19"/>
        </w:rPr>
        <w:t xml:space="preserve">	50, 52, 167, 183, 220, 250-251</w:t>
      </w:r>
    </w:p>
    <w:p>
      <w:pPr>
        <w:tabs>
          <w:tab w:val="right" w:pos="9638" w:leader="dot"/>
        </w:tabs>
        <w:spacing w:after="20"/>
        <w:ind w:left="200" w:right="0"/>
      </w:pPr>
      <w:r>
        <w:rPr>
          <w:rFonts w:ascii="Verdana" w:cs="Verdana" w:eastAsia="Verdana" w:hAnsi="Verdana"/>
          <w:sz w:val="19"/>
          <w:szCs w:val="19"/>
        </w:rPr>
        <w:t xml:space="preserve">Grants, donations and sponsorship</w:t>
      </w:r>
      <w:r>
        <w:rPr>
          <w:rFonts w:ascii="Verdana" w:cs="Verdana" w:eastAsia="Verdana" w:hAnsi="Verdana"/>
          <w:sz w:val="19"/>
          <w:szCs w:val="19"/>
        </w:rPr>
        <w:t xml:space="preserve">	44, 169-171, 202, 241-242</w:t>
      </w:r>
    </w:p>
    <w:p>
      <w:pPr>
        <w:tabs>
          <w:tab w:val="right" w:pos="9638" w:leader="dot"/>
        </w:tabs>
        <w:spacing w:after="20"/>
        <w:ind w:left="200" w:right="0"/>
      </w:pPr>
      <w:r>
        <w:rPr>
          <w:rFonts w:ascii="Verdana" w:cs="Verdana" w:eastAsia="Verdana" w:hAnsi="Verdana"/>
          <w:sz w:val="19"/>
          <w:szCs w:val="19"/>
        </w:rPr>
        <w:t xml:space="preserve">GST 2.0 rate rationalisation</w:t>
      </w:r>
      <w:r>
        <w:rPr>
          <w:rFonts w:ascii="Verdana" w:cs="Verdana" w:eastAsia="Verdana" w:hAnsi="Verdana"/>
          <w:sz w:val="19"/>
          <w:szCs w:val="19"/>
        </w:rPr>
        <w:t xml:space="preserve">	23-24, 56, 166, 179, 207, 229</w:t>
      </w:r>
    </w:p>
    <w:p>
      <w:pPr>
        <w:tabs>
          <w:tab w:val="right" w:pos="9638" w:leader="dot"/>
        </w:tabs>
        <w:spacing w:after="20"/>
        <w:ind w:left="200" w:right="0"/>
      </w:pPr>
      <w:r>
        <w:rPr>
          <w:rFonts w:ascii="Verdana" w:cs="Verdana" w:eastAsia="Verdana" w:hAnsi="Verdana"/>
          <w:sz w:val="19"/>
          <w:szCs w:val="19"/>
        </w:rPr>
        <w:t xml:space="preserve">GST Council</w:t>
      </w:r>
      <w:r>
        <w:rPr>
          <w:rFonts w:ascii="Verdana" w:cs="Verdana" w:eastAsia="Verdana" w:hAnsi="Verdana"/>
          <w:sz w:val="19"/>
          <w:szCs w:val="19"/>
        </w:rPr>
        <w:t xml:space="preserve">	15, 17-19, 21-23</w:t>
      </w:r>
    </w:p>
    <w:p>
      <w:pPr>
        <w:tabs>
          <w:tab w:val="right" w:pos="9638" w:leader="dot"/>
        </w:tabs>
        <w:spacing w:after="20"/>
        <w:ind w:left="200" w:right="0"/>
      </w:pPr>
      <w:r>
        <w:rPr>
          <w:rFonts w:ascii="Verdana" w:cs="Verdana" w:eastAsia="Verdana" w:hAnsi="Verdana"/>
          <w:sz w:val="19"/>
          <w:szCs w:val="19"/>
        </w:rPr>
        <w:t xml:space="preserve">GSTR-1 and GSTR-1A</w:t>
      </w:r>
      <w:r>
        <w:rPr>
          <w:rFonts w:ascii="Verdana" w:cs="Verdana" w:eastAsia="Verdana" w:hAnsi="Verdana"/>
          <w:sz w:val="19"/>
          <w:szCs w:val="19"/>
        </w:rPr>
        <w:t xml:space="preserve">	28, 81, 116, 137-138, 180, 213</w:t>
      </w:r>
    </w:p>
    <w:p>
      <w:pPr>
        <w:tabs>
          <w:tab w:val="right" w:pos="9638" w:leader="dot"/>
        </w:tabs>
        <w:spacing w:after="20"/>
        <w:ind w:left="200" w:right="0"/>
      </w:pPr>
      <w:r>
        <w:rPr>
          <w:rFonts w:ascii="Verdana" w:cs="Verdana" w:eastAsia="Verdana" w:hAnsi="Verdana"/>
          <w:sz w:val="19"/>
          <w:szCs w:val="19"/>
        </w:rPr>
        <w:t xml:space="preserve">GSTR-2B</w:t>
      </w:r>
      <w:r>
        <w:rPr>
          <w:rFonts w:ascii="Verdana" w:cs="Verdana" w:eastAsia="Verdana" w:hAnsi="Verdana"/>
          <w:sz w:val="19"/>
          <w:szCs w:val="19"/>
        </w:rPr>
        <w:t xml:space="preserve">	94, 97, 115-116, 118, 213, 217</w:t>
      </w:r>
    </w:p>
    <w:p>
      <w:pPr>
        <w:tabs>
          <w:tab w:val="right" w:pos="9638" w:leader="dot"/>
        </w:tabs>
        <w:spacing w:after="20"/>
        <w:ind w:left="200" w:right="0"/>
      </w:pPr>
      <w:r>
        <w:rPr>
          <w:rFonts w:ascii="Verdana" w:cs="Verdana" w:eastAsia="Verdana" w:hAnsi="Verdana"/>
          <w:sz w:val="19"/>
          <w:szCs w:val="19"/>
        </w:rPr>
        <w:t xml:space="preserve">GSTR-3B</w:t>
      </w:r>
      <w:r>
        <w:rPr>
          <w:rFonts w:ascii="Verdana" w:cs="Verdana" w:eastAsia="Verdana" w:hAnsi="Verdana"/>
          <w:sz w:val="19"/>
          <w:szCs w:val="19"/>
        </w:rPr>
        <w:t xml:space="preserve">	95, 116, 138-139, 142, 213, 219</w:t>
      </w:r>
    </w:p>
    <w:p>
      <w:pPr>
        <w:keepNext/>
        <w:spacing w:after="40" w:before="160"/>
      </w:pPr>
      <w:r>
        <w:rPr>
          <w:rFonts w:ascii="Verdana" w:cs="Verdana" w:eastAsia="Verdana" w:hAnsi="Verdana"/>
          <w:b/>
          <w:bCs/>
          <w:color w:val="92400E"/>
          <w:sz w:val="22"/>
          <w:szCs w:val="22"/>
        </w:rPr>
        <w:t xml:space="preserve">H</w:t>
      </w:r>
    </w:p>
    <w:p>
      <w:pPr>
        <w:tabs>
          <w:tab w:val="right" w:pos="9638" w:leader="dot"/>
        </w:tabs>
        <w:spacing w:after="20"/>
        <w:ind w:left="200" w:right="0"/>
      </w:pPr>
      <w:r>
        <w:rPr>
          <w:rFonts w:ascii="Verdana" w:cs="Verdana" w:eastAsia="Verdana" w:hAnsi="Verdana"/>
          <w:sz w:val="19"/>
          <w:szCs w:val="19"/>
        </w:rPr>
        <w:t xml:space="preserve">Healthcare services</w:t>
      </w:r>
      <w:r>
        <w:rPr>
          <w:rFonts w:ascii="Verdana" w:cs="Verdana" w:eastAsia="Verdana" w:hAnsi="Verdana"/>
          <w:sz w:val="19"/>
          <w:szCs w:val="19"/>
        </w:rPr>
        <w:t xml:space="preserve">	49, 53, 71, 153, 169, 171, 248</w:t>
      </w:r>
    </w:p>
    <w:p>
      <w:pPr>
        <w:tabs>
          <w:tab w:val="right" w:pos="9638" w:leader="dot"/>
        </w:tabs>
        <w:spacing w:after="20"/>
        <w:ind w:left="200" w:right="0"/>
      </w:pPr>
      <w:r>
        <w:rPr>
          <w:rFonts w:ascii="Verdana" w:cs="Verdana" w:eastAsia="Verdana" w:hAnsi="Verdana"/>
          <w:sz w:val="19"/>
          <w:szCs w:val="19"/>
        </w:rPr>
        <w:t xml:space="preserve">Hotels and restaurants</w:t>
      </w:r>
      <w:r>
        <w:rPr>
          <w:rFonts w:ascii="Verdana" w:cs="Verdana" w:eastAsia="Verdana" w:hAnsi="Verdana"/>
          <w:sz w:val="19"/>
          <w:szCs w:val="19"/>
        </w:rPr>
        <w:t xml:space="preserve">	62, 157, 166, 235-237, 261</w:t>
      </w:r>
    </w:p>
    <w:p>
      <w:pPr>
        <w:keepNext/>
        <w:spacing w:after="40" w:before="160"/>
      </w:pPr>
      <w:r>
        <w:rPr>
          <w:rFonts w:ascii="Verdana" w:cs="Verdana" w:eastAsia="Verdana" w:hAnsi="Verdana"/>
          <w:b/>
          <w:bCs/>
          <w:color w:val="92400E"/>
          <w:sz w:val="22"/>
          <w:szCs w:val="22"/>
        </w:rPr>
        <w:t xml:space="preserve">I</w:t>
      </w:r>
    </w:p>
    <w:p>
      <w:pPr>
        <w:tabs>
          <w:tab w:val="right" w:pos="9638" w:leader="dot"/>
        </w:tabs>
        <w:spacing w:after="20"/>
        <w:ind w:left="200" w:right="0"/>
      </w:pPr>
      <w:r>
        <w:rPr>
          <w:rFonts w:ascii="Verdana" w:cs="Verdana" w:eastAsia="Verdana" w:hAnsi="Verdana"/>
          <w:sz w:val="19"/>
          <w:szCs w:val="19"/>
        </w:rPr>
        <w:t xml:space="preserve">IGST</w:t>
      </w:r>
      <w:r>
        <w:rPr>
          <w:rFonts w:ascii="Verdana" w:cs="Verdana" w:eastAsia="Verdana" w:hAnsi="Verdana"/>
          <w:sz w:val="19"/>
          <w:szCs w:val="19"/>
        </w:rPr>
        <w:t xml:space="preserve">	50, 76, 80-81, 83, 88, 90</w:t>
      </w:r>
    </w:p>
    <w:p>
      <w:pPr>
        <w:tabs>
          <w:tab w:val="right" w:pos="9638" w:leader="dot"/>
        </w:tabs>
        <w:spacing w:after="20"/>
        <w:ind w:left="200" w:right="0"/>
      </w:pPr>
      <w:r>
        <w:rPr>
          <w:rFonts w:ascii="Verdana" w:cs="Verdana" w:eastAsia="Verdana" w:hAnsi="Verdana"/>
          <w:sz w:val="19"/>
          <w:szCs w:val="19"/>
        </w:rPr>
        <w:t xml:space="preserve">Import of goods</w:t>
      </w:r>
      <w:r>
        <w:rPr>
          <w:rFonts w:ascii="Verdana" w:cs="Verdana" w:eastAsia="Verdana" w:hAnsi="Verdana"/>
          <w:sz w:val="19"/>
          <w:szCs w:val="19"/>
        </w:rPr>
        <w:t xml:space="preserve">	15, 19, 88, 91-92, 247-248</w:t>
      </w:r>
    </w:p>
    <w:p>
      <w:pPr>
        <w:tabs>
          <w:tab w:val="right" w:pos="9638" w:leader="dot"/>
        </w:tabs>
        <w:spacing w:after="20"/>
        <w:ind w:left="200" w:right="0"/>
      </w:pPr>
      <w:r>
        <w:rPr>
          <w:rFonts w:ascii="Verdana" w:cs="Verdana" w:eastAsia="Verdana" w:hAnsi="Verdana"/>
          <w:sz w:val="19"/>
          <w:szCs w:val="19"/>
        </w:rPr>
        <w:t xml:space="preserve">Import of services</w:t>
      </w:r>
      <w:r>
        <w:rPr>
          <w:rFonts w:ascii="Verdana" w:cs="Verdana" w:eastAsia="Verdana" w:hAnsi="Verdana"/>
          <w:sz w:val="19"/>
          <w:szCs w:val="19"/>
        </w:rPr>
        <w:t xml:space="preserve">	38-39, 45, 51-52, 66, 88</w:t>
      </w:r>
    </w:p>
    <w:p>
      <w:pPr>
        <w:tabs>
          <w:tab w:val="right" w:pos="9638" w:leader="dot"/>
        </w:tabs>
        <w:spacing w:after="20"/>
        <w:ind w:left="200" w:right="0"/>
      </w:pPr>
      <w:r>
        <w:rPr>
          <w:rFonts w:ascii="Verdana" w:cs="Verdana" w:eastAsia="Verdana" w:hAnsi="Verdana"/>
          <w:sz w:val="19"/>
          <w:szCs w:val="19"/>
        </w:rPr>
        <w:t xml:space="preserve">Input Service Distributor (ISD)</w:t>
      </w:r>
      <w:r>
        <w:rPr>
          <w:rFonts w:ascii="Verdana" w:cs="Verdana" w:eastAsia="Verdana" w:hAnsi="Verdana"/>
          <w:sz w:val="19"/>
          <w:szCs w:val="19"/>
        </w:rPr>
        <w:t xml:space="preserve">	112-113, 127, 211, 242, 244-245</w:t>
      </w:r>
    </w:p>
    <w:p>
      <w:pPr>
        <w:tabs>
          <w:tab w:val="right" w:pos="9638" w:leader="dot"/>
        </w:tabs>
        <w:spacing w:after="20"/>
        <w:ind w:left="200" w:right="0"/>
      </w:pPr>
      <w:r>
        <w:rPr>
          <w:rFonts w:ascii="Verdana" w:cs="Verdana" w:eastAsia="Verdana" w:hAnsi="Verdana"/>
          <w:sz w:val="19"/>
          <w:szCs w:val="19"/>
        </w:rPr>
        <w:t xml:space="preserve">Input tax credit, conditions (section 16)</w:t>
      </w:r>
      <w:r>
        <w:rPr>
          <w:rFonts w:ascii="Verdana" w:cs="Verdana" w:eastAsia="Verdana" w:hAnsi="Verdana"/>
          <w:sz w:val="19"/>
          <w:szCs w:val="19"/>
        </w:rPr>
        <w:t xml:space="preserve">	90, 93-97, 99</w:t>
      </w:r>
    </w:p>
    <w:p>
      <w:pPr>
        <w:tabs>
          <w:tab w:val="right" w:pos="9638" w:leader="dot"/>
        </w:tabs>
        <w:spacing w:after="20"/>
        <w:ind w:left="200" w:right="0"/>
      </w:pPr>
      <w:r>
        <w:rPr>
          <w:rFonts w:ascii="Verdana" w:cs="Verdana" w:eastAsia="Verdana" w:hAnsi="Verdana"/>
          <w:sz w:val="19"/>
          <w:szCs w:val="19"/>
        </w:rPr>
        <w:t xml:space="preserve">Input tax credit, time limit (section 16(4))</w:t>
      </w:r>
      <w:r>
        <w:rPr>
          <w:rFonts w:ascii="Verdana" w:cs="Verdana" w:eastAsia="Verdana" w:hAnsi="Verdana"/>
          <w:sz w:val="19"/>
          <w:szCs w:val="19"/>
        </w:rPr>
        <w:t xml:space="preserve">	51, 90, 95, 97, 116, 119, 256</w:t>
      </w:r>
    </w:p>
    <w:p>
      <w:pPr>
        <w:tabs>
          <w:tab w:val="right" w:pos="9638" w:leader="dot"/>
        </w:tabs>
        <w:spacing w:after="20"/>
        <w:ind w:left="200" w:right="0"/>
      </w:pPr>
      <w:r>
        <w:rPr>
          <w:rFonts w:ascii="Verdana" w:cs="Verdana" w:eastAsia="Verdana" w:hAnsi="Verdana"/>
          <w:sz w:val="19"/>
          <w:szCs w:val="19"/>
        </w:rPr>
        <w:t xml:space="preserve">Insurance</w:t>
      </w:r>
      <w:r>
        <w:rPr>
          <w:rFonts w:ascii="Verdana" w:cs="Verdana" w:eastAsia="Verdana" w:hAnsi="Verdana"/>
          <w:sz w:val="19"/>
          <w:szCs w:val="19"/>
        </w:rPr>
        <w:t xml:space="preserve">	25, 100, 103, 160-162, 183</w:t>
      </w:r>
    </w:p>
    <w:p>
      <w:pPr>
        <w:tabs>
          <w:tab w:val="right" w:pos="9638" w:leader="dot"/>
        </w:tabs>
        <w:spacing w:after="20"/>
        <w:ind w:left="200" w:right="0"/>
      </w:pPr>
      <w:r>
        <w:rPr>
          <w:rFonts w:ascii="Verdana" w:cs="Verdana" w:eastAsia="Verdana" w:hAnsi="Verdana"/>
          <w:sz w:val="19"/>
          <w:szCs w:val="19"/>
        </w:rPr>
        <w:t xml:space="preserve">Interest (section 50)</w:t>
      </w:r>
      <w:r>
        <w:rPr>
          <w:rFonts w:ascii="Verdana" w:cs="Verdana" w:eastAsia="Verdana" w:hAnsi="Verdana"/>
          <w:sz w:val="19"/>
          <w:szCs w:val="19"/>
        </w:rPr>
        <w:t xml:space="preserve">	64, 141-142, 181, 192, 217, 256</w:t>
      </w:r>
    </w:p>
    <w:p>
      <w:pPr>
        <w:tabs>
          <w:tab w:val="right" w:pos="9638" w:leader="dot"/>
        </w:tabs>
        <w:spacing w:after="20"/>
        <w:ind w:left="200" w:right="0"/>
      </w:pPr>
      <w:r>
        <w:rPr>
          <w:rFonts w:ascii="Verdana" w:cs="Verdana" w:eastAsia="Verdana" w:hAnsi="Verdana"/>
          <w:sz w:val="19"/>
          <w:szCs w:val="19"/>
        </w:rPr>
        <w:t xml:space="preserve">Intermediary services</w:t>
      </w:r>
      <w:r>
        <w:rPr>
          <w:rFonts w:ascii="Verdana" w:cs="Verdana" w:eastAsia="Verdana" w:hAnsi="Verdana"/>
          <w:sz w:val="19"/>
          <w:szCs w:val="19"/>
        </w:rPr>
        <w:t xml:space="preserve">	16, 27, 29, 84-85, 87</w:t>
      </w:r>
    </w:p>
    <w:p>
      <w:pPr>
        <w:tabs>
          <w:tab w:val="right" w:pos="9638" w:leader="dot"/>
        </w:tabs>
        <w:spacing w:after="20"/>
        <w:ind w:left="200" w:right="0"/>
      </w:pPr>
      <w:r>
        <w:rPr>
          <w:rFonts w:ascii="Verdana" w:cs="Verdana" w:eastAsia="Verdana" w:hAnsi="Verdana"/>
          <w:sz w:val="19"/>
          <w:szCs w:val="19"/>
        </w:rPr>
        <w:t xml:space="preserve">Inverted duty structure</w:t>
      </w:r>
      <w:r>
        <w:rPr>
          <w:rFonts w:ascii="Verdana" w:cs="Verdana" w:eastAsia="Verdana" w:hAnsi="Verdana"/>
          <w:sz w:val="19"/>
          <w:szCs w:val="19"/>
        </w:rPr>
        <w:t xml:space="preserve">	57-58, 146-147, 208, 229-230</w:t>
      </w:r>
    </w:p>
    <w:p>
      <w:pPr>
        <w:tabs>
          <w:tab w:val="right" w:pos="9638" w:leader="dot"/>
        </w:tabs>
        <w:spacing w:after="20"/>
        <w:ind w:left="200" w:right="0"/>
      </w:pPr>
      <w:r>
        <w:rPr>
          <w:rFonts w:ascii="Verdana" w:cs="Verdana" w:eastAsia="Verdana" w:hAnsi="Verdana"/>
          <w:sz w:val="19"/>
          <w:szCs w:val="19"/>
        </w:rPr>
        <w:t xml:space="preserve">Invoice Management System (IMS)</w:t>
      </w:r>
      <w:r>
        <w:rPr>
          <w:rFonts w:ascii="Verdana" w:cs="Verdana" w:eastAsia="Verdana" w:hAnsi="Verdana"/>
          <w:sz w:val="19"/>
          <w:szCs w:val="19"/>
        </w:rPr>
        <w:t xml:space="preserve">	15-16, 28, 109, 115-116, 119</w:t>
      </w:r>
    </w:p>
    <w:p>
      <w:pPr>
        <w:keepNext/>
        <w:spacing w:after="40" w:before="160"/>
      </w:pPr>
      <w:r>
        <w:rPr>
          <w:rFonts w:ascii="Verdana" w:cs="Verdana" w:eastAsia="Verdana" w:hAnsi="Verdana"/>
          <w:b/>
          <w:bCs/>
          <w:color w:val="92400E"/>
          <w:sz w:val="22"/>
          <w:szCs w:val="22"/>
        </w:rPr>
        <w:t xml:space="preserve">J</w:t>
      </w:r>
    </w:p>
    <w:p>
      <w:pPr>
        <w:tabs>
          <w:tab w:val="right" w:pos="9638" w:leader="dot"/>
        </w:tabs>
        <w:spacing w:after="20"/>
        <w:ind w:left="200" w:right="0"/>
      </w:pPr>
      <w:r>
        <w:rPr>
          <w:rFonts w:ascii="Verdana" w:cs="Verdana" w:eastAsia="Verdana" w:hAnsi="Verdana"/>
          <w:sz w:val="19"/>
          <w:szCs w:val="19"/>
        </w:rPr>
        <w:t xml:space="preserve">Job work (section 143)</w:t>
      </w:r>
      <w:r>
        <w:rPr>
          <w:rFonts w:ascii="Verdana" w:cs="Verdana" w:eastAsia="Verdana" w:hAnsi="Verdana"/>
          <w:sz w:val="19"/>
          <w:szCs w:val="19"/>
        </w:rPr>
        <w:t xml:space="preserve">	24, 41, 112, 131-132, 135-136</w:t>
      </w:r>
    </w:p>
    <w:p>
      <w:pPr>
        <w:tabs>
          <w:tab w:val="right" w:pos="9638" w:leader="dot"/>
        </w:tabs>
        <w:spacing w:after="20"/>
        <w:ind w:left="200" w:right="0"/>
      </w:pPr>
      <w:r>
        <w:rPr>
          <w:rFonts w:ascii="Verdana" w:cs="Verdana" w:eastAsia="Verdana" w:hAnsi="Verdana"/>
          <w:sz w:val="19"/>
          <w:szCs w:val="19"/>
        </w:rPr>
        <w:t xml:space="preserve">Joint development agreements</w:t>
      </w:r>
      <w:r>
        <w:rPr>
          <w:rFonts w:ascii="Verdana" w:cs="Verdana" w:eastAsia="Verdana" w:hAnsi="Verdana"/>
          <w:sz w:val="19"/>
          <w:szCs w:val="19"/>
        </w:rPr>
        <w:t xml:space="preserve">	52, 150, 152, 155, 232-234</w:t>
      </w:r>
    </w:p>
    <w:p>
      <w:pPr>
        <w:keepNext/>
        <w:spacing w:after="40" w:before="160"/>
      </w:pPr>
      <w:r>
        <w:rPr>
          <w:rFonts w:ascii="Verdana" w:cs="Verdana" w:eastAsia="Verdana" w:hAnsi="Verdana"/>
          <w:b/>
          <w:bCs/>
          <w:color w:val="92400E"/>
          <w:sz w:val="22"/>
          <w:szCs w:val="22"/>
        </w:rPr>
        <w:t xml:space="preserve">L</w:t>
      </w:r>
    </w:p>
    <w:p>
      <w:pPr>
        <w:tabs>
          <w:tab w:val="right" w:pos="9638" w:leader="dot"/>
        </w:tabs>
        <w:spacing w:after="20"/>
        <w:ind w:left="200" w:right="0"/>
      </w:pPr>
      <w:r>
        <w:rPr>
          <w:rFonts w:ascii="Verdana" w:cs="Verdana" w:eastAsia="Verdana" w:hAnsi="Verdana"/>
          <w:sz w:val="19"/>
          <w:szCs w:val="19"/>
        </w:rPr>
        <w:t xml:space="preserve">Late fee</w:t>
      </w:r>
      <w:r>
        <w:rPr>
          <w:rFonts w:ascii="Verdana" w:cs="Verdana" w:eastAsia="Verdana" w:hAnsi="Verdana"/>
          <w:sz w:val="19"/>
          <w:szCs w:val="19"/>
        </w:rPr>
        <w:t xml:space="preserve">	67, 139, 181-182, 204-206</w:t>
      </w:r>
    </w:p>
    <w:p>
      <w:pPr>
        <w:tabs>
          <w:tab w:val="right" w:pos="9638" w:leader="dot"/>
        </w:tabs>
        <w:spacing w:after="20"/>
        <w:ind w:left="200" w:right="0"/>
      </w:pPr>
      <w:r>
        <w:rPr>
          <w:rFonts w:ascii="Verdana" w:cs="Verdana" w:eastAsia="Verdana" w:hAnsi="Verdana"/>
          <w:sz w:val="19"/>
          <w:szCs w:val="19"/>
        </w:rPr>
        <w:t xml:space="preserve">Letter of undertaking (LUT)</w:t>
      </w:r>
      <w:r>
        <w:rPr>
          <w:rFonts w:ascii="Verdana" w:cs="Verdana" w:eastAsia="Verdana" w:hAnsi="Verdana"/>
          <w:sz w:val="19"/>
          <w:szCs w:val="19"/>
        </w:rPr>
        <w:t xml:space="preserve">	13, 90-92, 113, 146, 211</w:t>
      </w:r>
    </w:p>
    <w:p>
      <w:pPr>
        <w:tabs>
          <w:tab w:val="right" w:pos="9638" w:leader="dot"/>
        </w:tabs>
        <w:spacing w:after="20"/>
        <w:ind w:left="200" w:right="0"/>
      </w:pPr>
      <w:r>
        <w:rPr>
          <w:rFonts w:ascii="Verdana" w:cs="Verdana" w:eastAsia="Verdana" w:hAnsi="Verdana"/>
          <w:sz w:val="19"/>
          <w:szCs w:val="19"/>
        </w:rPr>
        <w:t xml:space="preserve">Liquidated damages and compensation</w:t>
      </w:r>
      <w:r>
        <w:rPr>
          <w:rFonts w:ascii="Verdana" w:cs="Verdana" w:eastAsia="Verdana" w:hAnsi="Verdana"/>
          <w:sz w:val="19"/>
          <w:szCs w:val="19"/>
        </w:rPr>
        <w:t xml:space="preserve">	43-45, 163</w:t>
      </w:r>
    </w:p>
    <w:p>
      <w:pPr>
        <w:keepNext/>
        <w:spacing w:after="40" w:before="160"/>
      </w:pPr>
      <w:r>
        <w:rPr>
          <w:rFonts w:ascii="Verdana" w:cs="Verdana" w:eastAsia="Verdana" w:hAnsi="Verdana"/>
          <w:b/>
          <w:bCs/>
          <w:color w:val="92400E"/>
          <w:sz w:val="22"/>
          <w:szCs w:val="22"/>
        </w:rPr>
        <w:t xml:space="preserve">M</w:t>
      </w:r>
    </w:p>
    <w:p>
      <w:pPr>
        <w:tabs>
          <w:tab w:val="right" w:pos="9638" w:leader="dot"/>
        </w:tabs>
        <w:spacing w:after="20"/>
        <w:ind w:left="200" w:right="0"/>
      </w:pPr>
      <w:r>
        <w:rPr>
          <w:rFonts w:ascii="Verdana" w:cs="Verdana" w:eastAsia="Verdana" w:hAnsi="Verdana"/>
          <w:sz w:val="19"/>
          <w:szCs w:val="19"/>
        </w:rPr>
        <w:t xml:space="preserve">Merger, demerger and transfer of business</w:t>
      </w:r>
      <w:r>
        <w:rPr>
          <w:rFonts w:ascii="Verdana" w:cs="Verdana" w:eastAsia="Verdana" w:hAnsi="Verdana"/>
          <w:sz w:val="19"/>
          <w:szCs w:val="19"/>
        </w:rPr>
        <w:t xml:space="preserve">	111-112, 114, 175, 258-260</w:t>
      </w:r>
    </w:p>
    <w:p>
      <w:pPr>
        <w:tabs>
          <w:tab w:val="right" w:pos="9638" w:leader="dot"/>
        </w:tabs>
        <w:spacing w:after="20"/>
        <w:ind w:left="200" w:right="0"/>
      </w:pPr>
      <w:r>
        <w:rPr>
          <w:rFonts w:ascii="Verdana" w:cs="Verdana" w:eastAsia="Verdana" w:hAnsi="Verdana"/>
          <w:sz w:val="19"/>
          <w:szCs w:val="19"/>
        </w:rPr>
        <w:t xml:space="preserve">Motor vehicles, ITC</w:t>
      </w:r>
      <w:r>
        <w:rPr>
          <w:rFonts w:ascii="Verdana" w:cs="Verdana" w:eastAsia="Verdana" w:hAnsi="Verdana"/>
          <w:sz w:val="19"/>
          <w:szCs w:val="19"/>
        </w:rPr>
        <w:t xml:space="preserve">	24, 51, 77, 100, 103, 166-167</w:t>
      </w:r>
    </w:p>
    <w:p>
      <w:pPr>
        <w:keepNext/>
        <w:spacing w:after="40" w:before="160"/>
      </w:pPr>
      <w:r>
        <w:rPr>
          <w:rFonts w:ascii="Verdana" w:cs="Verdana" w:eastAsia="Verdana" w:hAnsi="Verdana"/>
          <w:b/>
          <w:bCs/>
          <w:color w:val="92400E"/>
          <w:sz w:val="22"/>
          <w:szCs w:val="22"/>
        </w:rPr>
        <w:t xml:space="preserve">N</w:t>
      </w:r>
    </w:p>
    <w:p>
      <w:pPr>
        <w:tabs>
          <w:tab w:val="right" w:pos="9638" w:leader="dot"/>
        </w:tabs>
        <w:spacing w:after="20"/>
        <w:ind w:left="200" w:right="0"/>
      </w:pPr>
      <w:r>
        <w:rPr>
          <w:rFonts w:ascii="Verdana" w:cs="Verdana" w:eastAsia="Verdana" w:hAnsi="Verdana"/>
          <w:sz w:val="19"/>
          <w:szCs w:val="19"/>
        </w:rPr>
        <w:t xml:space="preserve">Non-resident taxable person</w:t>
      </w:r>
      <w:r>
        <w:rPr>
          <w:rFonts w:ascii="Verdana" w:cs="Verdana" w:eastAsia="Verdana" w:hAnsi="Verdana"/>
          <w:sz w:val="19"/>
          <w:szCs w:val="19"/>
        </w:rPr>
        <w:t xml:space="preserve">	59, 102, 104, 121, 123, 137</w:t>
      </w:r>
    </w:p>
    <w:p>
      <w:pPr>
        <w:tabs>
          <w:tab w:val="right" w:pos="9638" w:leader="dot"/>
        </w:tabs>
        <w:spacing w:after="20"/>
        <w:ind w:left="200" w:right="0"/>
      </w:pPr>
      <w:r>
        <w:rPr>
          <w:rFonts w:ascii="Verdana" w:cs="Verdana" w:eastAsia="Verdana" w:hAnsi="Verdana"/>
          <w:sz w:val="19"/>
          <w:szCs w:val="19"/>
        </w:rPr>
        <w:t xml:space="preserve">Notices, replying to</w:t>
      </w:r>
      <w:r>
        <w:rPr>
          <w:rFonts w:ascii="Verdana" w:cs="Verdana" w:eastAsia="Verdana" w:hAnsi="Verdana"/>
          <w:sz w:val="19"/>
          <w:szCs w:val="19"/>
        </w:rPr>
        <w:t xml:space="preserve">	20, 49, 181, 184-185, 187, 252</w:t>
      </w:r>
    </w:p>
    <w:p>
      <w:pPr>
        <w:keepNext/>
        <w:spacing w:after="40" w:before="160"/>
      </w:pPr>
      <w:r>
        <w:rPr>
          <w:rFonts w:ascii="Verdana" w:cs="Verdana" w:eastAsia="Verdana" w:hAnsi="Verdana"/>
          <w:b/>
          <w:bCs/>
          <w:color w:val="92400E"/>
          <w:sz w:val="22"/>
          <w:szCs w:val="22"/>
        </w:rPr>
        <w:t xml:space="preserve">O</w:t>
      </w:r>
    </w:p>
    <w:p>
      <w:pPr>
        <w:tabs>
          <w:tab w:val="right" w:pos="9638" w:leader="dot"/>
        </w:tabs>
        <w:spacing w:after="20"/>
        <w:ind w:left="200" w:right="0"/>
      </w:pPr>
      <w:r>
        <w:rPr>
          <w:rFonts w:ascii="Verdana" w:cs="Verdana" w:eastAsia="Verdana" w:hAnsi="Verdana"/>
          <w:sz w:val="19"/>
          <w:szCs w:val="19"/>
        </w:rPr>
        <w:t xml:space="preserve">OIDAR services</w:t>
      </w:r>
      <w:r>
        <w:rPr>
          <w:rFonts w:ascii="Verdana" w:cs="Verdana" w:eastAsia="Verdana" w:hAnsi="Verdana"/>
          <w:sz w:val="19"/>
          <w:szCs w:val="19"/>
        </w:rPr>
        <w:t xml:space="preserve">	38, 83, 86-88, 92, 157</w:t>
      </w:r>
    </w:p>
    <w:p>
      <w:pPr>
        <w:tabs>
          <w:tab w:val="right" w:pos="9638" w:leader="dot"/>
        </w:tabs>
        <w:spacing w:after="20"/>
        <w:ind w:left="200" w:right="0"/>
      </w:pPr>
      <w:r>
        <w:rPr>
          <w:rFonts w:ascii="Verdana" w:cs="Verdana" w:eastAsia="Verdana" w:hAnsi="Verdana"/>
          <w:sz w:val="19"/>
          <w:szCs w:val="19"/>
        </w:rPr>
        <w:t xml:space="preserve">Online gaming</w:t>
      </w:r>
      <w:r>
        <w:rPr>
          <w:rFonts w:ascii="Verdana" w:cs="Verdana" w:eastAsia="Verdana" w:hAnsi="Verdana"/>
          <w:sz w:val="19"/>
          <w:szCs w:val="19"/>
        </w:rPr>
        <w:t xml:space="preserve">	16, 24, 30, 72, 156, 158-159</w:t>
      </w:r>
    </w:p>
    <w:p>
      <w:pPr>
        <w:keepNext/>
        <w:spacing w:after="40" w:before="160"/>
      </w:pPr>
      <w:r>
        <w:rPr>
          <w:rFonts w:ascii="Verdana" w:cs="Verdana" w:eastAsia="Verdana" w:hAnsi="Verdana"/>
          <w:b/>
          <w:bCs/>
          <w:color w:val="92400E"/>
          <w:sz w:val="22"/>
          <w:szCs w:val="22"/>
        </w:rPr>
        <w:t xml:space="preserve">P</w:t>
      </w:r>
    </w:p>
    <w:p>
      <w:pPr>
        <w:tabs>
          <w:tab w:val="right" w:pos="9638" w:leader="dot"/>
        </w:tabs>
        <w:spacing w:after="20"/>
        <w:ind w:left="200" w:right="0"/>
      </w:pPr>
      <w:r>
        <w:rPr>
          <w:rFonts w:ascii="Verdana" w:cs="Verdana" w:eastAsia="Verdana" w:hAnsi="Verdana"/>
          <w:sz w:val="19"/>
          <w:szCs w:val="19"/>
        </w:rPr>
        <w:t xml:space="preserve">Payment of tax (section 49)</w:t>
      </w:r>
      <w:r>
        <w:rPr>
          <w:rFonts w:ascii="Verdana" w:cs="Verdana" w:eastAsia="Verdana" w:hAnsi="Verdana"/>
          <w:sz w:val="19"/>
          <w:szCs w:val="19"/>
        </w:rPr>
        <w:t xml:space="preserve">	141, 144, 220, 222</w:t>
      </w:r>
    </w:p>
    <w:p>
      <w:pPr>
        <w:tabs>
          <w:tab w:val="right" w:pos="9638" w:leader="dot"/>
        </w:tabs>
        <w:spacing w:after="20"/>
        <w:ind w:left="200" w:right="0"/>
      </w:pPr>
      <w:r>
        <w:rPr>
          <w:rFonts w:ascii="Verdana" w:cs="Verdana" w:eastAsia="Verdana" w:hAnsi="Verdana"/>
          <w:sz w:val="19"/>
          <w:szCs w:val="19"/>
        </w:rPr>
        <w:t xml:space="preserve">Penalties (sections 122 to 138)</w:t>
      </w:r>
      <w:r>
        <w:rPr>
          <w:rFonts w:ascii="Verdana" w:cs="Verdana" w:eastAsia="Verdana" w:hAnsi="Verdana"/>
          <w:sz w:val="19"/>
          <w:szCs w:val="19"/>
        </w:rPr>
        <w:t xml:space="preserve">	43, 133, 188, 200, 204-206</w:t>
      </w:r>
    </w:p>
    <w:p>
      <w:pPr>
        <w:tabs>
          <w:tab w:val="right" w:pos="9638" w:leader="dot"/>
        </w:tabs>
        <w:spacing w:after="20"/>
        <w:ind w:left="200" w:right="0"/>
      </w:pPr>
      <w:r>
        <w:rPr>
          <w:rFonts w:ascii="Verdana" w:cs="Verdana" w:eastAsia="Verdana" w:hAnsi="Verdana"/>
          <w:sz w:val="19"/>
          <w:szCs w:val="19"/>
        </w:rPr>
        <w:t xml:space="preserve">Personal hearing</w:t>
      </w:r>
      <w:r>
        <w:rPr>
          <w:rFonts w:ascii="Verdana" w:cs="Verdana" w:eastAsia="Verdana" w:hAnsi="Verdana"/>
          <w:sz w:val="19"/>
          <w:szCs w:val="19"/>
        </w:rPr>
        <w:t xml:space="preserve">	188, 202, 217, 253</w:t>
      </w:r>
    </w:p>
    <w:p>
      <w:pPr>
        <w:tabs>
          <w:tab w:val="right" w:pos="9638" w:leader="dot"/>
        </w:tabs>
        <w:spacing w:after="20"/>
        <w:ind w:left="200" w:right="0"/>
      </w:pPr>
      <w:r>
        <w:rPr>
          <w:rFonts w:ascii="Verdana" w:cs="Verdana" w:eastAsia="Verdana" w:hAnsi="Verdana"/>
          <w:sz w:val="19"/>
          <w:szCs w:val="19"/>
        </w:rPr>
        <w:t xml:space="preserve">Place of supply of goods (IGST section 10)</w:t>
      </w:r>
      <w:r>
        <w:rPr>
          <w:rFonts w:ascii="Verdana" w:cs="Verdana" w:eastAsia="Verdana" w:hAnsi="Verdana"/>
          <w:sz w:val="19"/>
          <w:szCs w:val="19"/>
        </w:rPr>
        <w:t xml:space="preserve">	59, 63, 76-78, 95, 261</w:t>
      </w:r>
    </w:p>
    <w:p>
      <w:pPr>
        <w:tabs>
          <w:tab w:val="right" w:pos="9638" w:leader="dot"/>
        </w:tabs>
        <w:spacing w:after="20"/>
        <w:ind w:left="200" w:right="0"/>
      </w:pPr>
      <w:r>
        <w:rPr>
          <w:rFonts w:ascii="Verdana" w:cs="Verdana" w:eastAsia="Verdana" w:hAnsi="Verdana"/>
          <w:sz w:val="19"/>
          <w:szCs w:val="19"/>
        </w:rPr>
        <w:t xml:space="preserve">Place of supply of services (IGST sections 12 and 13)</w:t>
      </w:r>
      <w:r>
        <w:rPr>
          <w:rFonts w:ascii="Verdana" w:cs="Verdana" w:eastAsia="Verdana" w:hAnsi="Verdana"/>
          <w:sz w:val="19"/>
          <w:szCs w:val="19"/>
        </w:rPr>
        <w:t xml:space="preserve">	27, 66, 78, 83-86</w:t>
      </w:r>
    </w:p>
    <w:p>
      <w:pPr>
        <w:tabs>
          <w:tab w:val="right" w:pos="9638" w:leader="dot"/>
        </w:tabs>
        <w:spacing w:after="20"/>
        <w:ind w:left="200" w:right="0"/>
      </w:pPr>
      <w:r>
        <w:rPr>
          <w:rFonts w:ascii="Verdana" w:cs="Verdana" w:eastAsia="Verdana" w:hAnsi="Verdana"/>
          <w:sz w:val="19"/>
          <w:szCs w:val="19"/>
        </w:rPr>
        <w:t xml:space="preserve">Plant or machinery, construction of</w:t>
      </w:r>
      <w:r>
        <w:rPr>
          <w:rFonts w:ascii="Verdana" w:cs="Verdana" w:eastAsia="Verdana" w:hAnsi="Verdana"/>
          <w:sz w:val="19"/>
          <w:szCs w:val="19"/>
        </w:rPr>
        <w:t xml:space="preserve">	26-27, 101-102, 154-155, 258</w:t>
      </w:r>
    </w:p>
    <w:p>
      <w:pPr>
        <w:tabs>
          <w:tab w:val="right" w:pos="9638" w:leader="dot"/>
        </w:tabs>
        <w:spacing w:after="20"/>
        <w:ind w:left="200" w:right="0"/>
      </w:pPr>
      <w:r>
        <w:rPr>
          <w:rFonts w:ascii="Verdana" w:cs="Verdana" w:eastAsia="Verdana" w:hAnsi="Verdana"/>
          <w:sz w:val="19"/>
          <w:szCs w:val="19"/>
        </w:rPr>
        <w:t xml:space="preserve">Pre-deposit for appeals</w:t>
      </w:r>
      <w:r>
        <w:rPr>
          <w:rFonts w:ascii="Verdana" w:cs="Verdana" w:eastAsia="Verdana" w:hAnsi="Verdana"/>
          <w:sz w:val="19"/>
          <w:szCs w:val="19"/>
        </w:rPr>
        <w:t xml:space="preserve">	26, 28-29, 133, 177, 200, 254</w:t>
      </w:r>
    </w:p>
    <w:p>
      <w:pPr>
        <w:tabs>
          <w:tab w:val="right" w:pos="9638" w:leader="dot"/>
        </w:tabs>
        <w:spacing w:after="20"/>
        <w:ind w:left="200" w:right="0"/>
      </w:pPr>
      <w:r>
        <w:rPr>
          <w:rFonts w:ascii="Verdana" w:cs="Verdana" w:eastAsia="Verdana" w:hAnsi="Verdana"/>
          <w:sz w:val="19"/>
          <w:szCs w:val="19"/>
        </w:rPr>
        <w:t xml:space="preserve">Prosecution and compounding (sections 132 and 138)</w:t>
      </w:r>
      <w:r>
        <w:rPr>
          <w:rFonts w:ascii="Verdana" w:cs="Verdana" w:eastAsia="Verdana" w:hAnsi="Verdana"/>
          <w:sz w:val="19"/>
          <w:szCs w:val="19"/>
        </w:rPr>
        <w:t xml:space="preserve">	201, 204-206</w:t>
      </w:r>
    </w:p>
    <w:p>
      <w:pPr>
        <w:tabs>
          <w:tab w:val="right" w:pos="9638" w:leader="dot"/>
        </w:tabs>
        <w:spacing w:after="20"/>
        <w:ind w:left="200" w:right="0"/>
      </w:pPr>
      <w:r>
        <w:rPr>
          <w:rFonts w:ascii="Verdana" w:cs="Verdana" w:eastAsia="Verdana" w:hAnsi="Verdana"/>
          <w:sz w:val="19"/>
          <w:szCs w:val="19"/>
        </w:rPr>
        <w:t xml:space="preserve">Provisional attachment (section 83)</w:t>
      </w:r>
      <w:r>
        <w:rPr>
          <w:rFonts w:ascii="Verdana" w:cs="Verdana" w:eastAsia="Verdana" w:hAnsi="Verdana"/>
          <w:sz w:val="19"/>
          <w:szCs w:val="19"/>
        </w:rPr>
        <w:t xml:space="preserve">	191-192</w:t>
      </w:r>
    </w:p>
    <w:p>
      <w:pPr>
        <w:tabs>
          <w:tab w:val="right" w:pos="9638" w:leader="dot"/>
        </w:tabs>
        <w:spacing w:after="20"/>
        <w:ind w:left="200" w:right="0"/>
      </w:pPr>
      <w:r>
        <w:rPr>
          <w:rFonts w:ascii="Verdana" w:cs="Verdana" w:eastAsia="Verdana" w:hAnsi="Verdana"/>
          <w:sz w:val="19"/>
          <w:szCs w:val="19"/>
        </w:rPr>
        <w:t xml:space="preserve">Provisional refund</w:t>
      </w:r>
      <w:r>
        <w:rPr>
          <w:rFonts w:ascii="Verdana" w:cs="Verdana" w:eastAsia="Verdana" w:hAnsi="Verdana"/>
          <w:sz w:val="19"/>
          <w:szCs w:val="19"/>
        </w:rPr>
        <w:t xml:space="preserve">	27, 58, 145, 148, 227, 229-230</w:t>
      </w:r>
    </w:p>
    <w:p>
      <w:pPr>
        <w:tabs>
          <w:tab w:val="right" w:pos="9638" w:leader="dot"/>
        </w:tabs>
        <w:spacing w:after="20"/>
        <w:ind w:left="200" w:right="0"/>
      </w:pPr>
      <w:r>
        <w:rPr>
          <w:rFonts w:ascii="Verdana" w:cs="Verdana" w:eastAsia="Verdana" w:hAnsi="Verdana"/>
          <w:sz w:val="19"/>
          <w:szCs w:val="19"/>
        </w:rPr>
        <w:t xml:space="preserve">Pure agent (rule 33)</w:t>
      </w:r>
      <w:r>
        <w:rPr>
          <w:rFonts w:ascii="Verdana" w:cs="Verdana" w:eastAsia="Verdana" w:hAnsi="Verdana"/>
          <w:sz w:val="19"/>
          <w:szCs w:val="19"/>
        </w:rPr>
        <w:t xml:space="preserve">	72-73, 75</w:t>
      </w:r>
    </w:p>
    <w:p>
      <w:pPr>
        <w:keepNext/>
        <w:spacing w:after="40" w:before="160"/>
      </w:pPr>
      <w:r>
        <w:rPr>
          <w:rFonts w:ascii="Verdana" w:cs="Verdana" w:eastAsia="Verdana" w:hAnsi="Verdana"/>
          <w:b/>
          <w:bCs/>
          <w:color w:val="92400E"/>
          <w:sz w:val="22"/>
          <w:szCs w:val="22"/>
        </w:rPr>
        <w:t xml:space="preserve">Q</w:t>
      </w:r>
    </w:p>
    <w:p>
      <w:pPr>
        <w:tabs>
          <w:tab w:val="right" w:pos="9638" w:leader="dot"/>
        </w:tabs>
        <w:spacing w:after="20"/>
        <w:ind w:left="200" w:right="0"/>
      </w:pPr>
      <w:r>
        <w:rPr>
          <w:rFonts w:ascii="Verdana" w:cs="Verdana" w:eastAsia="Verdana" w:hAnsi="Verdana"/>
          <w:sz w:val="19"/>
          <w:szCs w:val="19"/>
        </w:rPr>
        <w:t xml:space="preserve">QRMP scheme</w:t>
      </w:r>
      <w:r>
        <w:rPr>
          <w:rFonts w:ascii="Verdana" w:cs="Verdana" w:eastAsia="Verdana" w:hAnsi="Verdana"/>
          <w:sz w:val="19"/>
          <w:szCs w:val="19"/>
        </w:rPr>
        <w:t xml:space="preserve">	16, 116, 137, 140, 172</w:t>
      </w:r>
    </w:p>
    <w:p>
      <w:pPr>
        <w:keepNext/>
        <w:spacing w:after="40" w:before="160"/>
      </w:pPr>
      <w:r>
        <w:rPr>
          <w:rFonts w:ascii="Verdana" w:cs="Verdana" w:eastAsia="Verdana" w:hAnsi="Verdana"/>
          <w:b/>
          <w:bCs/>
          <w:color w:val="92400E"/>
          <w:sz w:val="22"/>
          <w:szCs w:val="22"/>
        </w:rPr>
        <w:t xml:space="preserve">R</w:t>
      </w:r>
    </w:p>
    <w:p>
      <w:pPr>
        <w:tabs>
          <w:tab w:val="right" w:pos="9638" w:leader="dot"/>
        </w:tabs>
        <w:spacing w:after="20"/>
        <w:ind w:left="200" w:right="0"/>
      </w:pPr>
      <w:r>
        <w:rPr>
          <w:rFonts w:ascii="Verdana" w:cs="Verdana" w:eastAsia="Verdana" w:hAnsi="Verdana"/>
          <w:sz w:val="19"/>
          <w:szCs w:val="19"/>
        </w:rPr>
        <w:t xml:space="preserve">Real estate</w:t>
      </w:r>
      <w:r>
        <w:rPr>
          <w:rFonts w:ascii="Verdana" w:cs="Verdana" w:eastAsia="Verdana" w:hAnsi="Verdana"/>
          <w:sz w:val="19"/>
          <w:szCs w:val="19"/>
        </w:rPr>
        <w:t xml:space="preserve">	52, 149-152, 232-233</w:t>
      </w:r>
    </w:p>
    <w:p>
      <w:pPr>
        <w:tabs>
          <w:tab w:val="right" w:pos="9638" w:leader="dot"/>
        </w:tabs>
        <w:spacing w:after="20"/>
        <w:ind w:left="200" w:right="0"/>
      </w:pPr>
      <w:r>
        <w:rPr>
          <w:rFonts w:ascii="Verdana" w:cs="Verdana" w:eastAsia="Verdana" w:hAnsi="Verdana"/>
          <w:sz w:val="19"/>
          <w:szCs w:val="19"/>
        </w:rPr>
        <w:t xml:space="preserve">Reconciliation</w:t>
      </w:r>
      <w:r>
        <w:rPr>
          <w:rFonts w:ascii="Verdana" w:cs="Verdana" w:eastAsia="Verdana" w:hAnsi="Verdana"/>
          <w:sz w:val="19"/>
          <w:szCs w:val="19"/>
        </w:rPr>
        <w:t xml:space="preserve">	116, 213-215, 255-257</w:t>
      </w:r>
    </w:p>
    <w:p>
      <w:pPr>
        <w:tabs>
          <w:tab w:val="right" w:pos="9638" w:leader="dot"/>
        </w:tabs>
        <w:spacing w:after="20"/>
        <w:ind w:left="200" w:right="0"/>
      </w:pPr>
      <w:r>
        <w:rPr>
          <w:rFonts w:ascii="Verdana" w:cs="Verdana" w:eastAsia="Verdana" w:hAnsi="Verdana"/>
          <w:sz w:val="19"/>
          <w:szCs w:val="19"/>
        </w:rPr>
        <w:t xml:space="preserve">Records and accounts (section 35)</w:t>
      </w:r>
      <w:r>
        <w:rPr>
          <w:rFonts w:ascii="Verdana" w:cs="Verdana" w:eastAsia="Verdana" w:hAnsi="Verdana"/>
          <w:sz w:val="19"/>
          <w:szCs w:val="19"/>
        </w:rPr>
        <w:t xml:space="preserve">	35, 120, 135-136, 210</w:t>
      </w:r>
    </w:p>
    <w:p>
      <w:pPr>
        <w:tabs>
          <w:tab w:val="right" w:pos="9638" w:leader="dot"/>
        </w:tabs>
        <w:spacing w:after="20"/>
        <w:ind w:left="200" w:right="0"/>
      </w:pPr>
      <w:r>
        <w:rPr>
          <w:rFonts w:ascii="Verdana" w:cs="Verdana" w:eastAsia="Verdana" w:hAnsi="Verdana"/>
          <w:sz w:val="19"/>
          <w:szCs w:val="19"/>
        </w:rPr>
        <w:t xml:space="preserve">Rectification of returns and orders</w:t>
      </w:r>
      <w:r>
        <w:rPr>
          <w:rFonts w:ascii="Verdana" w:cs="Verdana" w:eastAsia="Verdana" w:hAnsi="Verdana"/>
          <w:sz w:val="19"/>
          <w:szCs w:val="19"/>
        </w:rPr>
        <w:t xml:space="preserve">	115, 138, 191-192, 204, 206, 213</w:t>
      </w:r>
    </w:p>
    <w:p>
      <w:pPr>
        <w:tabs>
          <w:tab w:val="right" w:pos="9638" w:leader="dot"/>
        </w:tabs>
        <w:spacing w:after="20"/>
        <w:ind w:left="200" w:right="0"/>
      </w:pPr>
      <w:r>
        <w:rPr>
          <w:rFonts w:ascii="Verdana" w:cs="Verdana" w:eastAsia="Verdana" w:hAnsi="Verdana"/>
          <w:sz w:val="19"/>
          <w:szCs w:val="19"/>
        </w:rPr>
        <w:t xml:space="preserve">Refunds (section 54)</w:t>
      </w:r>
      <w:r>
        <w:rPr>
          <w:rFonts w:ascii="Verdana" w:cs="Verdana" w:eastAsia="Verdana" w:hAnsi="Verdana"/>
          <w:sz w:val="19"/>
          <w:szCs w:val="19"/>
        </w:rPr>
        <w:t xml:space="preserve">	58, 144-147, 226, 230</w:t>
      </w:r>
    </w:p>
    <w:p>
      <w:pPr>
        <w:tabs>
          <w:tab w:val="right" w:pos="9638" w:leader="dot"/>
        </w:tabs>
        <w:spacing w:after="20"/>
        <w:ind w:left="200" w:right="0"/>
      </w:pPr>
      <w:r>
        <w:rPr>
          <w:rFonts w:ascii="Verdana" w:cs="Verdana" w:eastAsia="Verdana" w:hAnsi="Verdana"/>
          <w:sz w:val="19"/>
          <w:szCs w:val="19"/>
        </w:rPr>
        <w:t xml:space="preserve">Registration (sections 22 to 30)</w:t>
      </w:r>
      <w:r>
        <w:rPr>
          <w:rFonts w:ascii="Verdana" w:cs="Verdana" w:eastAsia="Verdana" w:hAnsi="Verdana"/>
          <w:sz w:val="19"/>
          <w:szCs w:val="19"/>
        </w:rPr>
        <w:t xml:space="preserve">	97, 111, 120-122, 156, 172</w:t>
      </w:r>
    </w:p>
    <w:p>
      <w:pPr>
        <w:tabs>
          <w:tab w:val="right" w:pos="9638" w:leader="dot"/>
        </w:tabs>
        <w:spacing w:after="20"/>
        <w:ind w:left="200" w:right="0"/>
      </w:pPr>
      <w:r>
        <w:rPr>
          <w:rFonts w:ascii="Verdana" w:cs="Verdana" w:eastAsia="Verdana" w:hAnsi="Verdana"/>
          <w:sz w:val="19"/>
          <w:szCs w:val="19"/>
        </w:rPr>
        <w:t xml:space="preserve">Registration, cancellation and revocation</w:t>
      </w:r>
      <w:r>
        <w:rPr>
          <w:rFonts w:ascii="Verdana" w:cs="Verdana" w:eastAsia="Verdana" w:hAnsi="Verdana"/>
          <w:sz w:val="19"/>
          <w:szCs w:val="19"/>
        </w:rPr>
        <w:t xml:space="preserve">	97, 108, 124-125, 175, 177, 182</w:t>
      </w:r>
    </w:p>
    <w:p>
      <w:pPr>
        <w:tabs>
          <w:tab w:val="right" w:pos="9638" w:leader="dot"/>
        </w:tabs>
        <w:spacing w:after="20"/>
        <w:ind w:left="200" w:right="0"/>
      </w:pPr>
      <w:r>
        <w:rPr>
          <w:rFonts w:ascii="Verdana" w:cs="Verdana" w:eastAsia="Verdana" w:hAnsi="Verdana"/>
          <w:sz w:val="19"/>
          <w:szCs w:val="19"/>
        </w:rPr>
        <w:t xml:space="preserve">Related persons</w:t>
      </w:r>
      <w:r>
        <w:rPr>
          <w:rFonts w:ascii="Verdana" w:cs="Verdana" w:eastAsia="Verdana" w:hAnsi="Verdana"/>
          <w:sz w:val="19"/>
          <w:szCs w:val="19"/>
        </w:rPr>
        <w:t xml:space="preserve">	33-34, 39, 70-71, 163, 245</w:t>
      </w:r>
    </w:p>
    <w:p>
      <w:pPr>
        <w:tabs>
          <w:tab w:val="right" w:pos="9638" w:leader="dot"/>
        </w:tabs>
        <w:spacing w:after="20"/>
        <w:ind w:left="200" w:right="0"/>
      </w:pPr>
      <w:r>
        <w:rPr>
          <w:rFonts w:ascii="Verdana" w:cs="Verdana" w:eastAsia="Verdana" w:hAnsi="Verdana"/>
          <w:sz w:val="19"/>
          <w:szCs w:val="19"/>
        </w:rPr>
        <w:t xml:space="preserve">Renting of immovable property</w:t>
      </w:r>
      <w:r>
        <w:rPr>
          <w:rFonts w:ascii="Verdana" w:cs="Verdana" w:eastAsia="Verdana" w:hAnsi="Verdana"/>
          <w:sz w:val="19"/>
          <w:szCs w:val="19"/>
        </w:rPr>
        <w:t xml:space="preserve">	31, 42, 51, 53, 154</w:t>
      </w:r>
    </w:p>
    <w:p>
      <w:pPr>
        <w:tabs>
          <w:tab w:val="right" w:pos="9638" w:leader="dot"/>
        </w:tabs>
        <w:spacing w:after="20"/>
        <w:ind w:left="200" w:right="0"/>
      </w:pPr>
      <w:r>
        <w:rPr>
          <w:rFonts w:ascii="Verdana" w:cs="Verdana" w:eastAsia="Verdana" w:hAnsi="Verdana"/>
          <w:sz w:val="19"/>
          <w:szCs w:val="19"/>
        </w:rPr>
        <w:t xml:space="preserve">Reverse charge (section 9(3) and 9(4))</w:t>
      </w:r>
      <w:r>
        <w:rPr>
          <w:rFonts w:ascii="Verdana" w:cs="Verdana" w:eastAsia="Verdana" w:hAnsi="Verdana"/>
          <w:sz w:val="19"/>
          <w:szCs w:val="19"/>
        </w:rPr>
        <w:t xml:space="preserve">	50-52, 66, 154, 172, 245</w:t>
      </w:r>
    </w:p>
    <w:p>
      <w:pPr>
        <w:tabs>
          <w:tab w:val="right" w:pos="9638" w:leader="dot"/>
        </w:tabs>
        <w:spacing w:after="20"/>
        <w:ind w:left="200" w:right="0"/>
      </w:pPr>
      <w:r>
        <w:rPr>
          <w:rFonts w:ascii="Verdana" w:cs="Verdana" w:eastAsia="Verdana" w:hAnsi="Verdana"/>
          <w:sz w:val="19"/>
          <w:szCs w:val="19"/>
        </w:rPr>
        <w:t xml:space="preserve">Rule 36(4) and GSTR-2B matching</w:t>
      </w:r>
      <w:r>
        <w:rPr>
          <w:rFonts w:ascii="Verdana" w:cs="Verdana" w:eastAsia="Verdana" w:hAnsi="Verdana"/>
          <w:sz w:val="19"/>
          <w:szCs w:val="19"/>
        </w:rPr>
        <w:t xml:space="preserve">	94, 115, 119</w:t>
      </w:r>
    </w:p>
    <w:p>
      <w:pPr>
        <w:tabs>
          <w:tab w:val="right" w:pos="9638" w:leader="dot"/>
        </w:tabs>
        <w:spacing w:after="20"/>
        <w:ind w:left="200" w:right="0"/>
      </w:pPr>
      <w:r>
        <w:rPr>
          <w:rFonts w:ascii="Verdana" w:cs="Verdana" w:eastAsia="Verdana" w:hAnsi="Verdana"/>
          <w:sz w:val="19"/>
          <w:szCs w:val="19"/>
        </w:rPr>
        <w:t xml:space="preserve">Rule 37 (180-day payment rule)</w:t>
      </w:r>
      <w:r>
        <w:rPr>
          <w:rFonts w:ascii="Verdana" w:cs="Verdana" w:eastAsia="Verdana" w:hAnsi="Verdana"/>
          <w:sz w:val="19"/>
          <w:szCs w:val="19"/>
        </w:rPr>
        <w:t xml:space="preserve">	96, 99, 125, 173, 211, 220, 222</w:t>
      </w:r>
    </w:p>
    <w:p>
      <w:pPr>
        <w:tabs>
          <w:tab w:val="right" w:pos="9638" w:leader="dot"/>
        </w:tabs>
        <w:spacing w:after="20"/>
        <w:ind w:left="200" w:right="0"/>
      </w:pPr>
      <w:r>
        <w:rPr>
          <w:rFonts w:ascii="Verdana" w:cs="Verdana" w:eastAsia="Verdana" w:hAnsi="Verdana"/>
          <w:sz w:val="19"/>
          <w:szCs w:val="19"/>
        </w:rPr>
        <w:t xml:space="preserve">Rule 37A</w:t>
      </w:r>
      <w:r>
        <w:rPr>
          <w:rFonts w:ascii="Verdana" w:cs="Verdana" w:eastAsia="Verdana" w:hAnsi="Verdana"/>
          <w:sz w:val="19"/>
          <w:szCs w:val="19"/>
        </w:rPr>
        <w:t xml:space="preserve">	95, 99, 118, 214</w:t>
      </w:r>
    </w:p>
    <w:p>
      <w:pPr>
        <w:tabs>
          <w:tab w:val="right" w:pos="9638" w:leader="dot"/>
        </w:tabs>
        <w:spacing w:after="20"/>
        <w:ind w:left="200" w:right="0"/>
      </w:pPr>
      <w:r>
        <w:rPr>
          <w:rFonts w:ascii="Verdana" w:cs="Verdana" w:eastAsia="Verdana" w:hAnsi="Verdana"/>
          <w:sz w:val="19"/>
          <w:szCs w:val="19"/>
        </w:rPr>
        <w:t xml:space="preserve">Rule 42 and rule 43 reversals</w:t>
      </w:r>
      <w:r>
        <w:rPr>
          <w:rFonts w:ascii="Verdana" w:cs="Verdana" w:eastAsia="Verdana" w:hAnsi="Verdana"/>
          <w:sz w:val="19"/>
          <w:szCs w:val="19"/>
        </w:rPr>
        <w:t xml:space="preserve">	105-107, 160, 214, 223-224</w:t>
      </w:r>
    </w:p>
    <w:p>
      <w:pPr>
        <w:tabs>
          <w:tab w:val="right" w:pos="9638" w:leader="dot"/>
        </w:tabs>
        <w:spacing w:after="20"/>
        <w:ind w:left="200" w:right="0"/>
      </w:pPr>
      <w:r>
        <w:rPr>
          <w:rFonts w:ascii="Verdana" w:cs="Verdana" w:eastAsia="Verdana" w:hAnsi="Verdana"/>
          <w:sz w:val="19"/>
          <w:szCs w:val="19"/>
        </w:rPr>
        <w:t xml:space="preserve">Rule 86A (blocking of credit)</w:t>
      </w:r>
      <w:r>
        <w:rPr>
          <w:rFonts w:ascii="Verdana" w:cs="Verdana" w:eastAsia="Verdana" w:hAnsi="Verdana"/>
          <w:sz w:val="19"/>
          <w:szCs w:val="19"/>
        </w:rPr>
        <w:t xml:space="preserve">	117, 119</w:t>
      </w:r>
    </w:p>
    <w:p>
      <w:pPr>
        <w:tabs>
          <w:tab w:val="right" w:pos="9638" w:leader="dot"/>
        </w:tabs>
        <w:spacing w:after="20"/>
        <w:ind w:left="200" w:right="0"/>
      </w:pPr>
      <w:r>
        <w:rPr>
          <w:rFonts w:ascii="Verdana" w:cs="Verdana" w:eastAsia="Verdana" w:hAnsi="Verdana"/>
          <w:sz w:val="19"/>
          <w:szCs w:val="19"/>
        </w:rPr>
        <w:t xml:space="preserve">Rule 86B (1% cash payment)</w:t>
      </w:r>
      <w:r>
        <w:rPr>
          <w:rFonts w:ascii="Verdana" w:cs="Verdana" w:eastAsia="Verdana" w:hAnsi="Verdana"/>
          <w:sz w:val="19"/>
          <w:szCs w:val="19"/>
        </w:rPr>
        <w:t xml:space="preserve">	16, 117, 119, 141, 173-174, 221</w:t>
      </w:r>
    </w:p>
    <w:p>
      <w:pPr>
        <w:tabs>
          <w:tab w:val="right" w:pos="9638" w:leader="dot"/>
        </w:tabs>
        <w:spacing w:after="20"/>
        <w:ind w:left="200" w:right="0"/>
      </w:pPr>
      <w:r>
        <w:rPr>
          <w:rFonts w:ascii="Verdana" w:cs="Verdana" w:eastAsia="Verdana" w:hAnsi="Verdana"/>
          <w:sz w:val="19"/>
          <w:szCs w:val="19"/>
        </w:rPr>
        <w:t xml:space="preserve">Rules 88C and 88D</w:t>
      </w:r>
      <w:r>
        <w:rPr>
          <w:rFonts w:ascii="Verdana" w:cs="Verdana" w:eastAsia="Verdana" w:hAnsi="Verdana"/>
          <w:sz w:val="19"/>
          <w:szCs w:val="19"/>
        </w:rPr>
        <w:t xml:space="preserve">	118-119, 138, 179, 216</w:t>
      </w:r>
    </w:p>
    <w:p>
      <w:pPr>
        <w:keepNext/>
        <w:spacing w:after="40" w:before="160"/>
      </w:pPr>
      <w:r>
        <w:rPr>
          <w:rFonts w:ascii="Verdana" w:cs="Verdana" w:eastAsia="Verdana" w:hAnsi="Verdana"/>
          <w:b/>
          <w:bCs/>
          <w:color w:val="92400E"/>
          <w:sz w:val="22"/>
          <w:szCs w:val="22"/>
        </w:rPr>
        <w:t xml:space="preserve">S</w:t>
      </w:r>
    </w:p>
    <w:p>
      <w:pPr>
        <w:tabs>
          <w:tab w:val="right" w:pos="9638" w:leader="dot"/>
        </w:tabs>
        <w:spacing w:after="20"/>
        <w:ind w:left="200" w:right="0"/>
      </w:pPr>
      <w:r>
        <w:rPr>
          <w:rFonts w:ascii="Verdana" w:cs="Verdana" w:eastAsia="Verdana" w:hAnsi="Verdana"/>
          <w:sz w:val="19"/>
          <w:szCs w:val="19"/>
        </w:rPr>
        <w:t xml:space="preserve">Sale of capital goods (section 18(6))</w:t>
      </w:r>
      <w:r>
        <w:rPr>
          <w:rFonts w:ascii="Verdana" w:cs="Verdana" w:eastAsia="Verdana" w:hAnsi="Verdana"/>
          <w:sz w:val="19"/>
          <w:szCs w:val="19"/>
        </w:rPr>
        <w:t xml:space="preserve">	37, 109, 175, 177, 258-260</w:t>
      </w:r>
    </w:p>
    <w:p>
      <w:pPr>
        <w:tabs>
          <w:tab w:val="right" w:pos="9638" w:leader="dot"/>
        </w:tabs>
        <w:spacing w:after="20"/>
        <w:ind w:left="200" w:right="0"/>
      </w:pPr>
      <w:r>
        <w:rPr>
          <w:rFonts w:ascii="Verdana" w:cs="Verdana" w:eastAsia="Verdana" w:hAnsi="Verdana"/>
          <w:sz w:val="19"/>
          <w:szCs w:val="19"/>
        </w:rPr>
        <w:t xml:space="preserve">Schedule I (supply without consideration)</w:t>
      </w:r>
      <w:r>
        <w:rPr>
          <w:rFonts w:ascii="Verdana" w:cs="Verdana" w:eastAsia="Verdana" w:hAnsi="Verdana"/>
          <w:sz w:val="19"/>
          <w:szCs w:val="19"/>
        </w:rPr>
        <w:t xml:space="preserve">	33-35, 39, 41, 74, 163</w:t>
      </w:r>
    </w:p>
    <w:p>
      <w:pPr>
        <w:tabs>
          <w:tab w:val="right" w:pos="9638" w:leader="dot"/>
        </w:tabs>
        <w:spacing w:after="20"/>
        <w:ind w:left="200" w:right="0"/>
      </w:pPr>
      <w:r>
        <w:rPr>
          <w:rFonts w:ascii="Verdana" w:cs="Verdana" w:eastAsia="Verdana" w:hAnsi="Verdana"/>
          <w:sz w:val="19"/>
          <w:szCs w:val="19"/>
        </w:rPr>
        <w:t xml:space="preserve">Schedule II</w:t>
      </w:r>
      <w:r>
        <w:rPr>
          <w:rFonts w:ascii="Verdana" w:cs="Verdana" w:eastAsia="Verdana" w:hAnsi="Verdana"/>
          <w:sz w:val="19"/>
          <w:szCs w:val="19"/>
        </w:rPr>
        <w:t xml:space="preserve">	30, 37, 41-43, 48, 149</w:t>
      </w:r>
    </w:p>
    <w:p>
      <w:pPr>
        <w:tabs>
          <w:tab w:val="right" w:pos="9638" w:leader="dot"/>
        </w:tabs>
        <w:spacing w:after="20"/>
        <w:ind w:left="200" w:right="0"/>
      </w:pPr>
      <w:r>
        <w:rPr>
          <w:rFonts w:ascii="Verdana" w:cs="Verdana" w:eastAsia="Verdana" w:hAnsi="Verdana"/>
          <w:sz w:val="19"/>
          <w:szCs w:val="19"/>
        </w:rPr>
        <w:t xml:space="preserve">Schedule III (neither goods nor services)</w:t>
      </w:r>
      <w:r>
        <w:rPr>
          <w:rFonts w:ascii="Verdana" w:cs="Verdana" w:eastAsia="Verdana" w:hAnsi="Verdana"/>
          <w:sz w:val="19"/>
          <w:szCs w:val="19"/>
        </w:rPr>
        <w:t xml:space="preserve">	27, 29, 33, 42-43, 163, 259</w:t>
      </w:r>
    </w:p>
    <w:p>
      <w:pPr>
        <w:tabs>
          <w:tab w:val="right" w:pos="9638" w:leader="dot"/>
        </w:tabs>
        <w:spacing w:after="20"/>
        <w:ind w:left="200" w:right="0"/>
      </w:pPr>
      <w:r>
        <w:rPr>
          <w:rFonts w:ascii="Verdana" w:cs="Verdana" w:eastAsia="Verdana" w:hAnsi="Verdana"/>
          <w:sz w:val="19"/>
          <w:szCs w:val="19"/>
        </w:rPr>
        <w:t xml:space="preserve">Search and seizure (section 67)</w:t>
      </w:r>
      <w:r>
        <w:rPr>
          <w:rFonts w:ascii="Verdana" w:cs="Verdana" w:eastAsia="Verdana" w:hAnsi="Verdana"/>
          <w:sz w:val="19"/>
          <w:szCs w:val="19"/>
        </w:rPr>
        <w:t xml:space="preserve">	73, 178, 193-196, 201</w:t>
      </w:r>
    </w:p>
    <w:p>
      <w:pPr>
        <w:tabs>
          <w:tab w:val="right" w:pos="9638" w:leader="dot"/>
        </w:tabs>
        <w:spacing w:after="20"/>
        <w:ind w:left="200" w:right="0"/>
      </w:pPr>
      <w:r>
        <w:rPr>
          <w:rFonts w:ascii="Verdana" w:cs="Verdana" w:eastAsia="Verdana" w:hAnsi="Verdana"/>
          <w:sz w:val="19"/>
          <w:szCs w:val="19"/>
        </w:rPr>
        <w:t xml:space="preserve">Secondment of employees</w:t>
      </w:r>
      <w:r>
        <w:rPr>
          <w:rFonts w:ascii="Verdana" w:cs="Verdana" w:eastAsia="Verdana" w:hAnsi="Verdana"/>
          <w:sz w:val="19"/>
          <w:szCs w:val="19"/>
        </w:rPr>
        <w:t xml:space="preserve">	41, 74-75, 164, 244-246</w:t>
      </w:r>
    </w:p>
    <w:p>
      <w:pPr>
        <w:tabs>
          <w:tab w:val="right" w:pos="9638" w:leader="dot"/>
        </w:tabs>
        <w:spacing w:after="20"/>
        <w:ind w:left="200" w:right="0"/>
      </w:pPr>
      <w:r>
        <w:rPr>
          <w:rFonts w:ascii="Verdana" w:cs="Verdana" w:eastAsia="Verdana" w:hAnsi="Verdana"/>
          <w:sz w:val="19"/>
          <w:szCs w:val="19"/>
        </w:rPr>
        <w:t xml:space="preserve">Section 128A waiver</w:t>
      </w:r>
      <w:r>
        <w:rPr>
          <w:rFonts w:ascii="Verdana" w:cs="Verdana" w:eastAsia="Verdana" w:hAnsi="Verdana"/>
          <w:sz w:val="19"/>
          <w:szCs w:val="19"/>
        </w:rPr>
        <w:t xml:space="preserve">	186, 189</w:t>
      </w:r>
    </w:p>
    <w:p>
      <w:pPr>
        <w:tabs>
          <w:tab w:val="right" w:pos="9638" w:leader="dot"/>
        </w:tabs>
        <w:spacing w:after="20"/>
        <w:ind w:left="200" w:right="0"/>
      </w:pPr>
      <w:r>
        <w:rPr>
          <w:rFonts w:ascii="Verdana" w:cs="Verdana" w:eastAsia="Verdana" w:hAnsi="Verdana"/>
          <w:sz w:val="19"/>
          <w:szCs w:val="19"/>
        </w:rPr>
        <w:t xml:space="preserve">SEZ supplies</w:t>
      </w:r>
      <w:r>
        <w:rPr>
          <w:rFonts w:ascii="Verdana" w:cs="Verdana" w:eastAsia="Verdana" w:hAnsi="Verdana"/>
          <w:sz w:val="19"/>
          <w:szCs w:val="19"/>
        </w:rPr>
        <w:t xml:space="preserve">	76, 88, 90-92, 122, 147</w:t>
      </w:r>
    </w:p>
    <w:p>
      <w:pPr>
        <w:tabs>
          <w:tab w:val="right" w:pos="9638" w:leader="dot"/>
        </w:tabs>
        <w:spacing w:after="20"/>
        <w:ind w:left="200" w:right="0"/>
      </w:pPr>
      <w:r>
        <w:rPr>
          <w:rFonts w:ascii="Verdana" w:cs="Verdana" w:eastAsia="Verdana" w:hAnsi="Verdana"/>
          <w:sz w:val="19"/>
          <w:szCs w:val="19"/>
        </w:rPr>
        <w:t xml:space="preserve">Special category States</w:t>
      </w:r>
      <w:r>
        <w:rPr>
          <w:rFonts w:ascii="Verdana" w:cs="Verdana" w:eastAsia="Verdana" w:hAnsi="Verdana"/>
          <w:sz w:val="19"/>
          <w:szCs w:val="19"/>
        </w:rPr>
        <w:t xml:space="preserve">	59, 120</w:t>
      </w:r>
    </w:p>
    <w:p>
      <w:pPr>
        <w:tabs>
          <w:tab w:val="right" w:pos="9638" w:leader="dot"/>
        </w:tabs>
        <w:spacing w:after="20"/>
        <w:ind w:left="200" w:right="0"/>
      </w:pPr>
      <w:r>
        <w:rPr>
          <w:rFonts w:ascii="Verdana" w:cs="Verdana" w:eastAsia="Verdana" w:hAnsi="Verdana"/>
          <w:sz w:val="19"/>
          <w:szCs w:val="19"/>
        </w:rPr>
        <w:t xml:space="preserve">Summons (section 70)</w:t>
      </w:r>
      <w:r>
        <w:rPr>
          <w:rFonts w:ascii="Verdana" w:cs="Verdana" w:eastAsia="Verdana" w:hAnsi="Verdana"/>
          <w:sz w:val="19"/>
          <w:szCs w:val="19"/>
        </w:rPr>
        <w:t xml:space="preserve">	190, 193-194, 196</w:t>
      </w:r>
    </w:p>
    <w:p>
      <w:pPr>
        <w:tabs>
          <w:tab w:val="right" w:pos="9638" w:leader="dot"/>
        </w:tabs>
        <w:spacing w:after="20"/>
        <w:ind w:left="200" w:right="0"/>
      </w:pPr>
      <w:r>
        <w:rPr>
          <w:rFonts w:ascii="Verdana" w:cs="Verdana" w:eastAsia="Verdana" w:hAnsi="Verdana"/>
          <w:sz w:val="19"/>
          <w:szCs w:val="19"/>
        </w:rPr>
        <w:t xml:space="preserve">Supply, meaning and scope (section 7)</w:t>
      </w:r>
      <w:r>
        <w:rPr>
          <w:rFonts w:ascii="Verdana" w:cs="Verdana" w:eastAsia="Verdana" w:hAnsi="Verdana"/>
          <w:sz w:val="19"/>
          <w:szCs w:val="19"/>
        </w:rPr>
        <w:t xml:space="preserve">	31, 37-39, 45, 76, 171</w:t>
      </w:r>
    </w:p>
    <w:p>
      <w:pPr>
        <w:keepNext/>
        <w:spacing w:after="40" w:before="160"/>
      </w:pPr>
      <w:r>
        <w:rPr>
          <w:rFonts w:ascii="Verdana" w:cs="Verdana" w:eastAsia="Verdana" w:hAnsi="Verdana"/>
          <w:b/>
          <w:bCs/>
          <w:color w:val="92400E"/>
          <w:sz w:val="22"/>
          <w:szCs w:val="22"/>
        </w:rPr>
        <w:t xml:space="preserve">T</w:t>
      </w:r>
    </w:p>
    <w:p>
      <w:pPr>
        <w:tabs>
          <w:tab w:val="right" w:pos="9638" w:leader="dot"/>
        </w:tabs>
        <w:spacing w:after="20"/>
        <w:ind w:left="200" w:right="0"/>
      </w:pPr>
      <w:r>
        <w:rPr>
          <w:rFonts w:ascii="Verdana" w:cs="Verdana" w:eastAsia="Verdana" w:hAnsi="Verdana"/>
          <w:sz w:val="19"/>
          <w:szCs w:val="19"/>
        </w:rPr>
        <w:t xml:space="preserve">Tax invoice (section 31)</w:t>
      </w:r>
      <w:r>
        <w:rPr>
          <w:rFonts w:ascii="Verdana" w:cs="Verdana" w:eastAsia="Verdana" w:hAnsi="Verdana"/>
          <w:sz w:val="19"/>
          <w:szCs w:val="19"/>
        </w:rPr>
        <w:t xml:space="preserve">	51, 59, 64-65, 126-127, 129</w:t>
      </w:r>
    </w:p>
    <w:p>
      <w:pPr>
        <w:tabs>
          <w:tab w:val="right" w:pos="9638" w:leader="dot"/>
        </w:tabs>
        <w:spacing w:after="20"/>
        <w:ind w:left="200" w:right="0"/>
      </w:pPr>
      <w:r>
        <w:rPr>
          <w:rFonts w:ascii="Verdana" w:cs="Verdana" w:eastAsia="Verdana" w:hAnsi="Verdana"/>
          <w:sz w:val="19"/>
          <w:szCs w:val="19"/>
        </w:rPr>
        <w:t xml:space="preserve">TCS by e-commerce operators (section 52)</w:t>
      </w:r>
      <w:r>
        <w:rPr>
          <w:rFonts w:ascii="Verdana" w:cs="Verdana" w:eastAsia="Verdana" w:hAnsi="Verdana"/>
          <w:sz w:val="19"/>
          <w:szCs w:val="19"/>
        </w:rPr>
        <w:t xml:space="preserve">	121, 141, 143, 156, 238-240</w:t>
      </w:r>
    </w:p>
    <w:p>
      <w:pPr>
        <w:tabs>
          <w:tab w:val="right" w:pos="9638" w:leader="dot"/>
        </w:tabs>
        <w:spacing w:after="20"/>
        <w:ind w:left="200" w:right="0"/>
      </w:pPr>
      <w:r>
        <w:rPr>
          <w:rFonts w:ascii="Verdana" w:cs="Verdana" w:eastAsia="Verdana" w:hAnsi="Verdana"/>
          <w:sz w:val="19"/>
          <w:szCs w:val="19"/>
        </w:rPr>
        <w:t xml:space="preserve">TDS under GST (section 51)</w:t>
      </w:r>
      <w:r>
        <w:rPr>
          <w:rFonts w:ascii="Verdana" w:cs="Verdana" w:eastAsia="Verdana" w:hAnsi="Verdana"/>
          <w:sz w:val="19"/>
          <w:szCs w:val="19"/>
        </w:rPr>
        <w:t xml:space="preserve">	121, 137, 141-143, 170, 213</w:t>
      </w:r>
    </w:p>
    <w:p>
      <w:pPr>
        <w:tabs>
          <w:tab w:val="right" w:pos="9638" w:leader="dot"/>
        </w:tabs>
        <w:spacing w:after="20"/>
        <w:ind w:left="200" w:right="0"/>
      </w:pPr>
      <w:r>
        <w:rPr>
          <w:rFonts w:ascii="Verdana" w:cs="Verdana" w:eastAsia="Verdana" w:hAnsi="Verdana"/>
          <w:sz w:val="19"/>
          <w:szCs w:val="19"/>
        </w:rPr>
        <w:t xml:space="preserve">Three-year bar on returns</w:t>
      </w:r>
      <w:r>
        <w:rPr>
          <w:rFonts w:ascii="Verdana" w:cs="Verdana" w:eastAsia="Verdana" w:hAnsi="Verdana"/>
          <w:sz w:val="19"/>
          <w:szCs w:val="19"/>
        </w:rPr>
        <w:t xml:space="preserve">	16, 28-29, 71, 138-140</w:t>
      </w:r>
    </w:p>
    <w:p>
      <w:pPr>
        <w:tabs>
          <w:tab w:val="right" w:pos="9638" w:leader="dot"/>
        </w:tabs>
        <w:spacing w:after="20"/>
        <w:ind w:left="200" w:right="0"/>
      </w:pPr>
      <w:r>
        <w:rPr>
          <w:rFonts w:ascii="Verdana" w:cs="Verdana" w:eastAsia="Verdana" w:hAnsi="Verdana"/>
          <w:sz w:val="19"/>
          <w:szCs w:val="19"/>
        </w:rPr>
        <w:t xml:space="preserve">Time of supply (sections 12 to 14)</w:t>
      </w:r>
      <w:r>
        <w:rPr>
          <w:rFonts w:ascii="Verdana" w:cs="Verdana" w:eastAsia="Verdana" w:hAnsi="Verdana"/>
          <w:sz w:val="19"/>
          <w:szCs w:val="19"/>
        </w:rPr>
        <w:t xml:space="preserve">	26, 64-68, 70</w:t>
      </w:r>
    </w:p>
    <w:p>
      <w:pPr>
        <w:tabs>
          <w:tab w:val="right" w:pos="9638" w:leader="dot"/>
        </w:tabs>
        <w:spacing w:after="20"/>
        <w:ind w:left="200" w:right="0"/>
      </w:pPr>
      <w:r>
        <w:rPr>
          <w:rFonts w:ascii="Verdana" w:cs="Verdana" w:eastAsia="Verdana" w:hAnsi="Verdana"/>
          <w:sz w:val="19"/>
          <w:szCs w:val="19"/>
        </w:rPr>
        <w:t xml:space="preserve">Tobacco and pan masala</w:t>
      </w:r>
      <w:r>
        <w:rPr>
          <w:rFonts w:ascii="Verdana" w:cs="Verdana" w:eastAsia="Verdana" w:hAnsi="Verdana"/>
          <w:sz w:val="19"/>
          <w:szCs w:val="19"/>
        </w:rPr>
        <w:t xml:space="preserve">	16-17, 26, 29, 57, 59, 120</w:t>
      </w:r>
    </w:p>
    <w:p>
      <w:pPr>
        <w:tabs>
          <w:tab w:val="right" w:pos="9638" w:leader="dot"/>
        </w:tabs>
        <w:spacing w:after="20"/>
        <w:ind w:left="200" w:right="0"/>
      </w:pPr>
      <w:r>
        <w:rPr>
          <w:rFonts w:ascii="Verdana" w:cs="Verdana" w:eastAsia="Verdana" w:hAnsi="Verdana"/>
          <w:sz w:val="19"/>
          <w:szCs w:val="19"/>
        </w:rPr>
        <w:t xml:space="preserve">Transaction value (section 15)</w:t>
      </w:r>
      <w:r>
        <w:rPr>
          <w:rFonts w:ascii="Verdana" w:cs="Verdana" w:eastAsia="Verdana" w:hAnsi="Verdana"/>
          <w:sz w:val="19"/>
          <w:szCs w:val="19"/>
        </w:rPr>
        <w:t xml:space="preserve">	33, 37, 69-70, 72-73, 75</w:t>
      </w:r>
    </w:p>
    <w:p>
      <w:pPr>
        <w:tabs>
          <w:tab w:val="right" w:pos="9638" w:leader="dot"/>
        </w:tabs>
        <w:spacing w:after="20"/>
        <w:ind w:left="200" w:right="0"/>
      </w:pPr>
      <w:r>
        <w:rPr>
          <w:rFonts w:ascii="Verdana" w:cs="Verdana" w:eastAsia="Verdana" w:hAnsi="Verdana"/>
          <w:sz w:val="19"/>
          <w:szCs w:val="19"/>
        </w:rPr>
        <w:t xml:space="preserve">Transfer of business</w:t>
      </w:r>
      <w:r>
        <w:rPr>
          <w:rFonts w:ascii="Verdana" w:cs="Verdana" w:eastAsia="Verdana" w:hAnsi="Verdana"/>
          <w:sz w:val="19"/>
          <w:szCs w:val="19"/>
        </w:rPr>
        <w:t xml:space="preserve">	175, 177, 192, 258-260</w:t>
      </w:r>
    </w:p>
    <w:p>
      <w:pPr>
        <w:keepNext/>
        <w:spacing w:after="40" w:before="160"/>
      </w:pPr>
      <w:r>
        <w:rPr>
          <w:rFonts w:ascii="Verdana" w:cs="Verdana" w:eastAsia="Verdana" w:hAnsi="Verdana"/>
          <w:b/>
          <w:bCs/>
          <w:color w:val="92400E"/>
          <w:sz w:val="22"/>
          <w:szCs w:val="22"/>
        </w:rPr>
        <w:t xml:space="preserve">U</w:t>
      </w:r>
    </w:p>
    <w:p>
      <w:pPr>
        <w:tabs>
          <w:tab w:val="right" w:pos="9638" w:leader="dot"/>
        </w:tabs>
        <w:spacing w:after="20"/>
        <w:ind w:left="200" w:right="0"/>
      </w:pPr>
      <w:r>
        <w:rPr>
          <w:rFonts w:ascii="Verdana" w:cs="Verdana" w:eastAsia="Verdana" w:hAnsi="Verdana"/>
          <w:sz w:val="19"/>
          <w:szCs w:val="19"/>
        </w:rPr>
        <w:t xml:space="preserve">Unjust enrichment</w:t>
      </w:r>
      <w:r>
        <w:rPr>
          <w:rFonts w:ascii="Verdana" w:cs="Verdana" w:eastAsia="Verdana" w:hAnsi="Verdana"/>
          <w:sz w:val="19"/>
          <w:szCs w:val="19"/>
        </w:rPr>
        <w:t xml:space="preserve">	145-146, 148, 230</w:t>
      </w:r>
    </w:p>
    <w:p>
      <w:pPr>
        <w:keepNext/>
        <w:spacing w:after="40" w:before="160"/>
      </w:pPr>
      <w:r>
        <w:rPr>
          <w:rFonts w:ascii="Verdana" w:cs="Verdana" w:eastAsia="Verdana" w:hAnsi="Verdana"/>
          <w:b/>
          <w:bCs/>
          <w:color w:val="92400E"/>
          <w:sz w:val="22"/>
          <w:szCs w:val="22"/>
        </w:rPr>
        <w:t xml:space="preserve">V</w:t>
      </w:r>
    </w:p>
    <w:p>
      <w:pPr>
        <w:tabs>
          <w:tab w:val="right" w:pos="9638" w:leader="dot"/>
        </w:tabs>
        <w:spacing w:after="20"/>
        <w:ind w:left="200" w:right="0"/>
      </w:pPr>
      <w:r>
        <w:rPr>
          <w:rFonts w:ascii="Verdana" w:cs="Verdana" w:eastAsia="Verdana" w:hAnsi="Verdana"/>
          <w:sz w:val="19"/>
          <w:szCs w:val="19"/>
        </w:rPr>
        <w:t xml:space="preserve">Valuation rules (rules 27 to 35)</w:t>
      </w:r>
      <w:r>
        <w:rPr>
          <w:rFonts w:ascii="Verdana" w:cs="Verdana" w:eastAsia="Verdana" w:hAnsi="Verdana"/>
          <w:sz w:val="19"/>
          <w:szCs w:val="19"/>
        </w:rPr>
        <w:t xml:space="preserve">	34, 71-72, 74-75, 160, 165</w:t>
      </w:r>
    </w:p>
    <w:p>
      <w:pPr>
        <w:tabs>
          <w:tab w:val="right" w:pos="9638" w:leader="dot"/>
        </w:tabs>
        <w:spacing w:after="20"/>
        <w:ind w:left="200" w:right="0"/>
      </w:pPr>
      <w:r>
        <w:rPr>
          <w:rFonts w:ascii="Verdana" w:cs="Verdana" w:eastAsia="Verdana" w:hAnsi="Verdana"/>
          <w:sz w:val="19"/>
          <w:szCs w:val="19"/>
        </w:rPr>
        <w:t xml:space="preserve">Vouchers</w:t>
      </w:r>
      <w:r>
        <w:rPr>
          <w:rFonts w:ascii="Verdana" w:cs="Verdana" w:eastAsia="Verdana" w:hAnsi="Verdana"/>
          <w:sz w:val="19"/>
          <w:szCs w:val="19"/>
        </w:rPr>
        <w:t xml:space="preserve">	43, 45, 66-68, 127-128</w:t>
      </w:r>
    </w:p>
    <w:p>
      <w:pPr>
        <w:keepNext/>
        <w:spacing w:after="40" w:before="160"/>
      </w:pPr>
      <w:r>
        <w:rPr>
          <w:rFonts w:ascii="Verdana" w:cs="Verdana" w:eastAsia="Verdana" w:hAnsi="Verdana"/>
          <w:b/>
          <w:bCs/>
          <w:color w:val="92400E"/>
          <w:sz w:val="22"/>
          <w:szCs w:val="22"/>
        </w:rPr>
        <w:t xml:space="preserve">Z</w:t>
      </w:r>
    </w:p>
    <w:p>
      <w:pPr>
        <w:tabs>
          <w:tab w:val="right" w:pos="9638" w:leader="dot"/>
        </w:tabs>
        <w:spacing w:after="20"/>
        <w:ind w:left="200" w:right="0"/>
      </w:pPr>
      <w:r>
        <w:rPr>
          <w:rFonts w:ascii="Verdana" w:cs="Verdana" w:eastAsia="Verdana" w:hAnsi="Verdana"/>
          <w:sz w:val="19"/>
          <w:szCs w:val="19"/>
        </w:rPr>
        <w:t xml:space="preserve">Zero-rated supply (IGST section 16)</w:t>
      </w:r>
      <w:r>
        <w:rPr>
          <w:rFonts w:ascii="Verdana" w:cs="Verdana" w:eastAsia="Verdana" w:hAnsi="Verdana"/>
          <w:sz w:val="19"/>
          <w:szCs w:val="19"/>
        </w:rPr>
        <w:t xml:space="preserve">	35-36, 90-91, 113, 146, 227</w:t>
      </w:r>
    </w:p>
    <w:sectPr>
      <w:headerReference w:type="default" r:id="rId7"/>
      <w:footerReference w:type="default" r:id="rId8"/>
      <w:pgSz w:w="11906" w:h="16838" w:orient="portrait"/>
      <w:pgMar w:top="1300" w:right="1134" w:bottom="1300"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Verdana" w:cs="Verdana" w:eastAsia="Verdana" w:hAnsi="Verdana"/>
        <w:color w:val="808080"/>
        <w:sz w:val="16"/>
        <w:szCs w:val="16"/>
      </w:rPr>
      <w:t xml:space="preserve">First Edition, 28 September 2026</w:t>
    </w:r>
    <w:r>
      <w:rPr>
        <w:rFonts w:ascii="Verdana" w:cs="Verdana" w:eastAsia="Verdana" w:hAnsi="Verdana"/>
        <w:color w:val="808080"/>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638"/>
      </w:tabs>
    </w:pPr>
    <w:r>
      <w:rPr>
        <w:rFonts w:ascii="Verdana" w:cs="Verdana" w:eastAsia="Verdana" w:hAnsi="Verdana"/>
        <w:color w:val="808080"/>
        <w:sz w:val="16"/>
        <w:szCs w:val="16"/>
      </w:rPr>
      <w:t xml:space="preserve">Goods and Services Tax: The Professional's Master Guide</w:t>
    </w:r>
    <w:r>
      <w:rPr>
        <w:rFonts w:ascii="Verdana" w:cs="Verdana" w:eastAsia="Verdana" w:hAnsi="Verdana"/>
        <w:color w:val="808080"/>
        <w:sz w:val="16"/>
        <w:szCs w:val="16"/>
      </w:rPr>
      <w:t xml:space="preserve">	Vipin Nair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o"/>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Part">
    <w:name w:val="TocPart"/>
    <w:basedOn w:val="Normal"/>
    <w:next w:val="Normal"/>
  </w:style>
  <w:style w:type="paragraph" w:styleId="Heading1">
    <w:name w:val="Heading 1"/>
    <w:basedOn w:val="Normal"/>
    <w:next w:val="Normal"/>
    <w:qFormat/>
    <w:pPr>
      <w:spacing w:after="200"/>
      <w:outlineLvl w:val="0"/>
    </w:pPr>
    <w:rPr>
      <w:rFonts w:ascii="Verdana" w:cs="Verdana" w:eastAsia="Verdana" w:hAnsi="Verdana"/>
      <w:b/>
      <w:bCs/>
      <w:color w:val="92400E"/>
      <w:sz w:val="34"/>
      <w:szCs w:val="34"/>
    </w:rPr>
  </w:style>
  <w:style w:type="paragraph" w:styleId="Heading2">
    <w:name w:val="Heading 2"/>
    <w:basedOn w:val="Normal"/>
    <w:next w:val="Normal"/>
    <w:qFormat/>
    <w:pPr>
      <w:spacing w:after="120" w:before="240"/>
      <w:outlineLvl w:val="1"/>
    </w:pPr>
    <w:rPr>
      <w:rFonts w:ascii="Verdana" w:cs="Verdana" w:eastAsia="Verdana" w:hAnsi="Verdana"/>
      <w:b/>
      <w:bCs/>
      <w:color w:val="D97706"/>
      <w:sz w:val="26"/>
      <w:szCs w:val="26"/>
    </w:rPr>
  </w:style>
  <w:style w:type="paragraph" w:styleId="Heading3">
    <w:name w:val="Heading 3"/>
    <w:basedOn w:val="Normal"/>
    <w:next w:val="Normal"/>
    <w:qFormat/>
    <w:pPr>
      <w:outlineLvl w:val="2"/>
    </w:pPr>
    <w:rPr>
      <w:rFonts w:ascii="Verdana" w:cs="Verdana" w:eastAsia="Verdana" w:hAnsi="Verdana"/>
      <w:b/>
      <w:bCs/>
      <w:color w:val="92400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Goods and Services Tax: The Professional's Master Guide</dc:title>
  <dc:creator>Vipin Nair</dc:creator>
  <dc:description>First Edition, 28 September 2026</dc:description>
  <cp:lastModifiedBy>Vipin Nair</cp:lastModifiedBy>
  <cp:revision>1</cp:revision>
  <dcterms:created xsi:type="dcterms:W3CDTF">2026-09-29T01:42:08.296Z</dcterms:created>
  <dcterms:modified xsi:type="dcterms:W3CDTF">2026-09-29T01:42:08.296Z</dcterms:modified>
</cp:coreProperties>
</file>

<file path=docProps/custom.xml><?xml version="1.0" encoding="utf-8"?>
<Properties xmlns="http://schemas.openxmlformats.org/officeDocument/2006/custom-properties" xmlns:vt="http://schemas.openxmlformats.org/officeDocument/2006/docPropsVTypes"/>
</file>