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2A2A2A"/>
          <w:sz w:val="32"/>
          <w:szCs w:val="32"/>
        </w:rPr>
        <w:t xml:space="preserve">Prompt Engineering Best Practices: Anthropic vs OpenAI</w:t>
      </w:r>
    </w:p>
    <w:p>
      <w:pPr>
        <w:spacing w:after="200"/>
      </w:pPr>
      <w:r>
        <w:rPr>
          <w:rFonts w:ascii="Calibri" w:cs="Calibri" w:eastAsia="Calibri" w:hAnsi="Calibri"/>
          <w:color w:val="888888"/>
          <w:sz w:val="20"/>
          <w:szCs w:val="20"/>
        </w:rPr>
        <w:t xml:space="preserve">A side-by-side reference for building production prompts  |  Week 3  |  GenAIEducate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A2A2A" w:val="clear"/>
          </w:tcPr>
          <w:p>
            <w:pPr>
              <w:jc w:val="center"/>
            </w:pPr>
            <w:r>
              <w:rPr>
                <w:rFonts w:ascii="Calibri" w:cs="Calibri" w:eastAsia="Calibri" w:hAnsi="Calibri"/>
                <w:b/>
                <w:bCs/>
                <w:color w:val="FFFFFF"/>
                <w:sz w:val="20"/>
                <w:szCs w:val="20"/>
              </w:rPr>
              <w:t xml:space="preserve">TECHNIQUE</w:t>
            </w:r>
          </w:p>
        </w:tc>
        <w:tc>
          <w:tcPr>
            <w:tcW w:type="dxa" w:w="4800"/>
            <w:shd w:fill="D97706" w:val="clear"/>
            <w:vAlign w:val="center"/>
          </w:tcPr>
          <w:p>
            <w:pPr>
              <w:jc w:val="center"/>
            </w:pPr>
            <w:r>
              <w:rPr>
                <w:rFonts w:ascii="Calibri" w:cs="Calibri" w:eastAsia="Calibri" w:hAnsi="Calibri"/>
                <w:b/>
                <w:bCs/>
                <w:color w:val="FFFFFF"/>
                <w:sz w:val="22"/>
                <w:szCs w:val="22"/>
              </w:rPr>
              <w:t xml:space="preserve">ANTHROPIC (Claude)</w:t>
            </w:r>
          </w:p>
        </w:tc>
        <w:tc>
          <w:tcPr>
            <w:tcW w:type="dxa" w:w="4800"/>
            <w:shd w:fill="10A37F" w:val="clear"/>
            <w:vAlign w:val="center"/>
          </w:tcPr>
          <w:p>
            <w:pPr>
              <w:jc w:val="center"/>
            </w:pPr>
            <w:r>
              <w:rPr>
                <w:rFonts w:ascii="Calibri" w:cs="Calibri" w:eastAsia="Calibri" w:hAnsi="Calibri"/>
                <w:b/>
                <w:bCs/>
                <w:color w:val="FFFFFF"/>
                <w:sz w:val="22"/>
                <w:szCs w:val="22"/>
              </w:rPr>
              <w:t xml:space="preserve">OPENAI (GPT)</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Be Clear &amp; Direct</w:t>
            </w:r>
          </w:p>
        </w:tc>
        <w:tc>
          <w:tcPr>
            <w:tcW w:type="dxa" w:w="4800"/>
            <w:vAlign w:val="top"/>
          </w:tcPr>
          <w:p>
            <w:pPr>
              <w:spacing w:after="20" w:before="40"/>
            </w:pPr>
            <w:r>
              <w:rPr>
                <w:rFonts w:ascii="Calibri" w:cs="Calibri" w:eastAsia="Calibri" w:hAnsi="Calibri"/>
                <w:b w:val="false"/>
                <w:bCs w:val="false"/>
                <w:color w:val="2A2A2A"/>
                <w:sz w:val="20"/>
                <w:szCs w:val="20"/>
              </w:rPr>
              <w:t xml:space="preserve">Write prompts like instructions for a brilliant new hire who has zero context on your project.</w:t>
            </w:r>
          </w:p>
          <w:p>
            <w:pPr>
              <w:spacing w:after="20" w:before="20"/>
            </w:pPr>
            <w:r>
              <w:rPr>
                <w:rFonts w:ascii="Calibri" w:cs="Calibri" w:eastAsia="Calibri" w:hAnsi="Calibri"/>
                <w:b w:val="false"/>
                <w:bCs w:val="false"/>
                <w:color w:val="2A2A2A"/>
                <w:sz w:val="20"/>
                <w:szCs w:val="20"/>
              </w:rPr>
              <w:t xml:space="preserve">State what you want explicitly. If you want a list, say 'give me a list.' If you want JSON, specify the exact fields.</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Anthropic emphasizes 'give Claude permission to say I don't know' to reduce hallucinations.</w:t>
            </w:r>
          </w:p>
        </w:tc>
        <w:tc>
          <w:tcPr>
            <w:tcW w:type="dxa" w:w="4800"/>
            <w:vAlign w:val="top"/>
          </w:tcPr>
          <w:p>
            <w:pPr>
              <w:spacing w:after="20" w:before="40"/>
            </w:pPr>
            <w:r>
              <w:rPr>
                <w:rFonts w:ascii="Calibri" w:cs="Calibri" w:eastAsia="Calibri" w:hAnsi="Calibri"/>
                <w:b w:val="false"/>
                <w:bCs w:val="false"/>
                <w:color w:val="2A2A2A"/>
                <w:sz w:val="20"/>
                <w:szCs w:val="20"/>
              </w:rPr>
              <w:t xml:space="preserve">Write clear, specific instructions. Include details about context, outcome, length, format, and style.</w:t>
            </w:r>
          </w:p>
          <w:p>
            <w:pPr>
              <w:spacing w:after="20" w:before="20"/>
            </w:pPr>
            <w:r>
              <w:rPr>
                <w:rFonts w:ascii="Calibri" w:cs="Calibri" w:eastAsia="Calibri" w:hAnsi="Calibri"/>
                <w:b w:val="false"/>
                <w:bCs w:val="false"/>
                <w:color w:val="2A2A2A"/>
                <w:sz w:val="20"/>
                <w:szCs w:val="20"/>
              </w:rPr>
              <w:t xml:space="preserve">Reduce 'fluffy' language. Instead of 'summarize briefly', say 'summarize in 2 sentences.'</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OpenAI recommends specifying the persona in the system message: 'You are a senior tax advisor.'</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Use Examples (Few-shot)</w:t>
            </w:r>
          </w:p>
        </w:tc>
        <w:tc>
          <w:tcPr>
            <w:tcW w:type="dxa" w:w="4800"/>
            <w:vAlign w:val="top"/>
          </w:tcPr>
          <w:p>
            <w:pPr>
              <w:spacing w:after="20" w:before="40"/>
            </w:pPr>
            <w:r>
              <w:rPr>
                <w:rFonts w:ascii="Calibri" w:cs="Calibri" w:eastAsia="Calibri" w:hAnsi="Calibri"/>
                <w:b w:val="false"/>
                <w:bCs w:val="false"/>
                <w:color w:val="2A2A2A"/>
                <w:sz w:val="20"/>
                <w:szCs w:val="20"/>
              </w:rPr>
              <w:t xml:space="preserve">Examples are 'pictures worth a thousand words' for LLMs. Show 2-5 diverse examples covering edge cases.</w:t>
            </w:r>
          </w:p>
          <w:p>
            <w:pPr>
              <w:spacing w:after="20" w:before="20"/>
            </w:pPr>
            <w:r>
              <w:rPr>
                <w:rFonts w:ascii="Calibri" w:cs="Calibri" w:eastAsia="Calibri" w:hAnsi="Calibri"/>
                <w:b w:val="false"/>
                <w:bCs w:val="false"/>
                <w:color w:val="2A2A2A"/>
                <w:sz w:val="20"/>
                <w:szCs w:val="20"/>
              </w:rPr>
              <w:t xml:space="preserve">Quality over quantity: one bad example hurts more than having no examples.</w:t>
            </w:r>
          </w:p>
          <w:p>
            <w:pPr>
              <w:spacing w:after="20" w:before="20"/>
            </w:pPr>
            <w:r>
              <w:rPr>
                <w:rFonts w:ascii="Calibri" w:cs="Calibri" w:eastAsia="Calibri" w:hAnsi="Calibri"/>
                <w:b/>
                <w:bCs/>
                <w:color w:val="1E5C4A"/>
                <w:sz w:val="20"/>
                <w:szCs w:val="20"/>
              </w:rPr>
              <w:t xml:space="preserve">Tip: </w:t>
            </w:r>
            <w:r>
              <w:rPr>
                <w:rFonts w:ascii="Calibri" w:cs="Calibri" w:eastAsia="Calibri" w:hAnsi="Calibri"/>
                <w:color w:val="2A2A2A"/>
                <w:sz w:val="20"/>
                <w:szCs w:val="20"/>
              </w:rPr>
              <w:t xml:space="preserve">Use XML tags to clearly mark examples: &lt;example&gt;input: ... output: ...&lt;/example&gt;</w:t>
            </w:r>
          </w:p>
        </w:tc>
        <w:tc>
          <w:tcPr>
            <w:tcW w:type="dxa" w:w="4800"/>
            <w:vAlign w:val="top"/>
          </w:tcPr>
          <w:p>
            <w:pPr>
              <w:spacing w:after="20" w:before="40"/>
            </w:pPr>
            <w:r>
              <w:rPr>
                <w:rFonts w:ascii="Calibri" w:cs="Calibri" w:eastAsia="Calibri" w:hAnsi="Calibri"/>
                <w:b w:val="false"/>
                <w:bCs w:val="false"/>
                <w:color w:val="2A2A2A"/>
                <w:sz w:val="20"/>
                <w:szCs w:val="20"/>
              </w:rPr>
              <w:t xml:space="preserve">Few-shot examples set the pattern for format and tone. Include 2-5 examples.</w:t>
            </w:r>
          </w:p>
          <w:p>
            <w:pPr>
              <w:spacing w:after="20" w:before="20"/>
            </w:pPr>
            <w:r>
              <w:rPr>
                <w:rFonts w:ascii="Calibri" w:cs="Calibri" w:eastAsia="Calibri" w:hAnsi="Calibri"/>
                <w:b w:val="false"/>
                <w:bCs w:val="false"/>
                <w:color w:val="2A2A2A"/>
                <w:sz w:val="20"/>
                <w:szCs w:val="20"/>
              </w:rPr>
              <w:t xml:space="preserve">Cover the tricky cases in examples, not just the obvious ones.</w:t>
            </w:r>
          </w:p>
          <w:p>
            <w:pPr>
              <w:spacing w:after="20" w:before="20"/>
            </w:pPr>
            <w:r>
              <w:rPr>
                <w:rFonts w:ascii="Calibri" w:cs="Calibri" w:eastAsia="Calibri" w:hAnsi="Calibri"/>
                <w:b/>
                <w:bCs/>
                <w:color w:val="1E5C4A"/>
                <w:sz w:val="20"/>
                <w:szCs w:val="20"/>
              </w:rPr>
              <w:t xml:space="preserve">Tip: </w:t>
            </w:r>
            <w:r>
              <w:rPr>
                <w:rFonts w:ascii="Calibri" w:cs="Calibri" w:eastAsia="Calibri" w:hAnsi="Calibri"/>
                <w:color w:val="2A2A2A"/>
                <w:sz w:val="20"/>
                <w:szCs w:val="20"/>
              </w:rPr>
              <w:t xml:space="preserve">OpenAI's Playground has a 'Generate Anything' feature that auto-creates example-rich prompts.</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Structure &amp; Delimiters</w:t>
            </w:r>
          </w:p>
        </w:tc>
        <w:tc>
          <w:tcPr>
            <w:tcW w:type="dxa" w:w="4800"/>
            <w:vAlign w:val="top"/>
          </w:tcPr>
          <w:p>
            <w:pPr>
              <w:spacing w:after="20" w:before="40"/>
            </w:pPr>
            <w:r>
              <w:rPr>
                <w:rFonts w:ascii="Calibri" w:cs="Calibri" w:eastAsia="Calibri" w:hAnsi="Calibri"/>
                <w:b w:val="false"/>
                <w:bCs w:val="false"/>
                <w:color w:val="2A2A2A"/>
                <w:sz w:val="20"/>
                <w:szCs w:val="20"/>
              </w:rPr>
              <w:t xml:space="preserve">XML tags are Anthropic's primary recommendation: &lt;document&gt;, &lt;instructions&gt;, &lt;user_input&gt;.</w:t>
            </w:r>
          </w:p>
          <w:p>
            <w:pPr>
              <w:spacing w:after="20" w:before="20"/>
            </w:pPr>
            <w:r>
              <w:rPr>
                <w:rFonts w:ascii="Calibri" w:cs="Calibri" w:eastAsia="Calibri" w:hAnsi="Calibri"/>
                <w:b w:val="false"/>
                <w:bCs w:val="false"/>
                <w:color w:val="2A2A2A"/>
                <w:sz w:val="20"/>
                <w:szCs w:val="20"/>
              </w:rPr>
              <w:t xml:space="preserve">Claude is specifically trained to recognize XML tag boundaries, making them the most reliable delimiter.</w:t>
            </w:r>
          </w:p>
          <w:p>
            <w:pPr>
              <w:spacing w:after="20" w:before="20"/>
            </w:pPr>
            <w:r>
              <w:rPr>
                <w:rFonts w:ascii="Calibri" w:cs="Calibri" w:eastAsia="Calibri" w:hAnsi="Calibri"/>
                <w:b/>
                <w:bCs/>
                <w:color w:val="1E5C4A"/>
                <w:sz w:val="20"/>
                <w:szCs w:val="20"/>
              </w:rPr>
              <w:t xml:space="preserve">Pattern: </w:t>
            </w:r>
            <w:r>
              <w:rPr>
                <w:rFonts w:ascii="Calibri" w:cs="Calibri" w:eastAsia="Calibri" w:hAnsi="Calibri"/>
                <w:color w:val="2A2A2A"/>
                <w:sz w:val="20"/>
                <w:szCs w:val="20"/>
              </w:rPr>
              <w:t xml:space="preserve">Put instructions outside tags, data inside tags. Model knows the difference.</w:t>
            </w:r>
          </w:p>
        </w:tc>
        <w:tc>
          <w:tcPr>
            <w:tcW w:type="dxa" w:w="4800"/>
            <w:vAlign w:val="top"/>
          </w:tcPr>
          <w:p>
            <w:pPr>
              <w:spacing w:after="20" w:before="40"/>
            </w:pPr>
            <w:r>
              <w:rPr>
                <w:rFonts w:ascii="Calibri" w:cs="Calibri" w:eastAsia="Calibri" w:hAnsi="Calibri"/>
                <w:b w:val="false"/>
                <w:bCs w:val="false"/>
                <w:color w:val="2A2A2A"/>
                <w:sz w:val="20"/>
                <w:szCs w:val="20"/>
              </w:rPr>
              <w:t xml:space="preserve">Use triple quotes ("""), backticks (```), or XML tags to separate instructions from data.</w:t>
            </w:r>
          </w:p>
          <w:p>
            <w:pPr>
              <w:spacing w:after="20" w:before="20"/>
            </w:pPr>
            <w:r>
              <w:rPr>
                <w:rFonts w:ascii="Calibri" w:cs="Calibri" w:eastAsia="Calibri" w:hAnsi="Calibri"/>
                <w:b w:val="false"/>
                <w:bCs w:val="false"/>
                <w:color w:val="2A2A2A"/>
                <w:sz w:val="20"/>
                <w:szCs w:val="20"/>
              </w:rPr>
              <w:t xml:space="preserve">Use section titles and markdown headers (### Input:) for multi-part prompts.</w:t>
            </w:r>
          </w:p>
          <w:p>
            <w:pPr>
              <w:spacing w:after="20" w:before="20"/>
            </w:pPr>
            <w:r>
              <w:rPr>
                <w:rFonts w:ascii="Calibri" w:cs="Calibri" w:eastAsia="Calibri" w:hAnsi="Calibri"/>
                <w:b/>
                <w:bCs/>
                <w:color w:val="1E5C4A"/>
                <w:sz w:val="20"/>
                <w:szCs w:val="20"/>
              </w:rPr>
              <w:t xml:space="preserve">Pattern: </w:t>
            </w:r>
            <w:r>
              <w:rPr>
                <w:rFonts w:ascii="Calibri" w:cs="Calibri" w:eastAsia="Calibri" w:hAnsi="Calibri"/>
                <w:color w:val="2A2A2A"/>
                <w:sz w:val="20"/>
                <w:szCs w:val="20"/>
              </w:rPr>
              <w:t xml:space="preserve">OpenAI recommends 'specify steps required to complete a task' as numbered list.</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Chain-of-Thought / Reasoning</w:t>
            </w:r>
          </w:p>
        </w:tc>
        <w:tc>
          <w:tcPr>
            <w:tcW w:type="dxa" w:w="4800"/>
            <w:vAlign w:val="top"/>
          </w:tcPr>
          <w:p>
            <w:pPr>
              <w:spacing w:after="20" w:before="40"/>
            </w:pPr>
            <w:r>
              <w:rPr>
                <w:rFonts w:ascii="Calibri" w:cs="Calibri" w:eastAsia="Calibri" w:hAnsi="Calibri"/>
                <w:b w:val="false"/>
                <w:bCs w:val="false"/>
                <w:color w:val="2A2A2A"/>
                <w:sz w:val="20"/>
                <w:szCs w:val="20"/>
              </w:rPr>
              <w:t xml:space="preserve">For complex reasoning, use extended thinking (built-in feature) rather than manual CoT prompting.</w:t>
            </w:r>
          </w:p>
          <w:p>
            <w:pPr>
              <w:spacing w:after="20" w:before="20"/>
            </w:pPr>
            <w:r>
              <w:rPr>
                <w:rFonts w:ascii="Calibri" w:cs="Calibri" w:eastAsia="Calibri" w:hAnsi="Calibri"/>
                <w:b w:val="false"/>
                <w:bCs w:val="false"/>
                <w:color w:val="2A2A2A"/>
                <w:sz w:val="20"/>
                <w:szCs w:val="20"/>
              </w:rPr>
              <w:t xml:space="preserve">For standard models: 'Think step by step before answering' still works well.</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Anthropic's extended thinking feature automates structured reasoning inside the model. No manual 'think step by step' needed.</w:t>
            </w:r>
          </w:p>
        </w:tc>
        <w:tc>
          <w:tcPr>
            <w:tcW w:type="dxa" w:w="4800"/>
            <w:vAlign w:val="top"/>
          </w:tcPr>
          <w:p>
            <w:pPr>
              <w:spacing w:after="20" w:before="40"/>
            </w:pPr>
            <w:r>
              <w:rPr>
                <w:rFonts w:ascii="Calibri" w:cs="Calibri" w:eastAsia="Calibri" w:hAnsi="Calibri"/>
                <w:b w:val="false"/>
                <w:bCs w:val="false"/>
                <w:color w:val="2A2A2A"/>
                <w:sz w:val="20"/>
                <w:szCs w:val="20"/>
              </w:rPr>
              <w:t xml:space="preserve">'Give the model time to think.' Ask it to work out its own solution before concluding.</w:t>
            </w:r>
          </w:p>
          <w:p>
            <w:pPr>
              <w:spacing w:after="20" w:before="20"/>
            </w:pPr>
            <w:r>
              <w:rPr>
                <w:rFonts w:ascii="Calibri" w:cs="Calibri" w:eastAsia="Calibri" w:hAnsi="Calibri"/>
                <w:b w:val="false"/>
                <w:bCs w:val="false"/>
                <w:color w:val="2A2A2A"/>
                <w:sz w:val="20"/>
                <w:szCs w:val="20"/>
              </w:rPr>
              <w:t xml:space="preserve">Use 'inner monologue' pattern: ask model to reason in a hidden section, then give final answer.</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OpenAI reasoning models (o1, o3) have built-in chain-of-thought. For GPT models, manual CoT prompting is still needed.</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Output Control</w:t>
            </w:r>
          </w:p>
        </w:tc>
        <w:tc>
          <w:tcPr>
            <w:tcW w:type="dxa" w:w="4800"/>
            <w:vAlign w:val="top"/>
          </w:tcPr>
          <w:p>
            <w:pPr>
              <w:spacing w:after="20" w:before="40"/>
            </w:pPr>
            <w:r>
              <w:rPr>
                <w:rFonts w:ascii="Calibri" w:cs="Calibri" w:eastAsia="Calibri" w:hAnsi="Calibri"/>
                <w:b w:val="false"/>
                <w:bCs w:val="false"/>
                <w:color w:val="2A2A2A"/>
                <w:sz w:val="20"/>
                <w:szCs w:val="20"/>
              </w:rPr>
              <w:t xml:space="preserve">Prefill Claude's response to force format: start the assistant message with '{ ' for JSON or '1. ' for lists.</w:t>
            </w:r>
          </w:p>
          <w:p>
            <w:pPr>
              <w:spacing w:after="20" w:before="20"/>
            </w:pPr>
            <w:r>
              <w:rPr>
                <w:rFonts w:ascii="Calibri" w:cs="Calibri" w:eastAsia="Calibri" w:hAnsi="Calibri"/>
                <w:b w:val="false"/>
                <w:bCs w:val="false"/>
                <w:color w:val="2A2A2A"/>
                <w:sz w:val="20"/>
                <w:szCs w:val="20"/>
              </w:rPr>
              <w:t xml:space="preserve">Negative constraints work well: 'Do NOT include greetings, sign-offs, or bullet points.'</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Anthropic supports prefilling (starting the assistant's response), which is very powerful for controlling output format. OpenAI does not.</w:t>
            </w:r>
          </w:p>
        </w:tc>
        <w:tc>
          <w:tcPr>
            <w:tcW w:type="dxa" w:w="4800"/>
            <w:vAlign w:val="top"/>
          </w:tcPr>
          <w:p>
            <w:pPr>
              <w:spacing w:after="20" w:before="40"/>
            </w:pPr>
            <w:r>
              <w:rPr>
                <w:rFonts w:ascii="Calibri" w:cs="Calibri" w:eastAsia="Calibri" w:hAnsi="Calibri"/>
                <w:b w:val="false"/>
                <w:bCs w:val="false"/>
                <w:color w:val="2A2A2A"/>
                <w:sz w:val="20"/>
                <w:szCs w:val="20"/>
              </w:rPr>
              <w:t xml:space="preserve">Use response_format={"type": "json_object"} for guaranteed valid JSON output.</w:t>
            </w:r>
          </w:p>
          <w:p>
            <w:pPr>
              <w:spacing w:after="20" w:before="20"/>
            </w:pPr>
            <w:r>
              <w:rPr>
                <w:rFonts w:ascii="Calibri" w:cs="Calibri" w:eastAsia="Calibri" w:hAnsi="Calibri"/>
                <w:b w:val="false"/>
                <w:bCs w:val="false"/>
                <w:color w:val="2A2A2A"/>
                <w:sz w:val="20"/>
                <w:szCs w:val="20"/>
              </w:rPr>
              <w:t xml:space="preserve">Structured Outputs with json_schema parameter: define exact JSON shape, model is constrained to match.</w:t>
            </w:r>
          </w:p>
          <w:p>
            <w:pPr>
              <w:spacing w:after="20" w:before="20"/>
            </w:pPr>
            <w:r>
              <w:rPr>
                <w:rFonts w:ascii="Calibri" w:cs="Calibri" w:eastAsia="Calibri" w:hAnsi="Calibri"/>
                <w:b/>
                <w:bCs/>
                <w:color w:val="1E5C4A"/>
                <w:sz w:val="20"/>
                <w:szCs w:val="20"/>
              </w:rPr>
              <w:t xml:space="preserve">Unique: </w:t>
            </w:r>
            <w:r>
              <w:rPr>
                <w:rFonts w:ascii="Calibri" w:cs="Calibri" w:eastAsia="Calibri" w:hAnsi="Calibri"/>
                <w:color w:val="2A2A2A"/>
                <w:sz w:val="20"/>
                <w:szCs w:val="20"/>
              </w:rPr>
              <w:t xml:space="preserve">OpenAI's response_format and Structured Outputs guarantee valid JSON at API level. No parsing failures possible.</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System Prompts</w:t>
            </w:r>
          </w:p>
        </w:tc>
        <w:tc>
          <w:tcPr>
            <w:tcW w:type="dxa" w:w="4800"/>
            <w:vAlign w:val="top"/>
          </w:tcPr>
          <w:p>
            <w:pPr>
              <w:spacing w:after="20" w:before="40"/>
            </w:pPr>
            <w:r>
              <w:rPr>
                <w:rFonts w:ascii="Calibri" w:cs="Calibri" w:eastAsia="Calibri" w:hAnsi="Calibri"/>
                <w:b w:val="false"/>
                <w:bCs w:val="false"/>
                <w:color w:val="2A2A2A"/>
                <w:sz w:val="20"/>
                <w:szCs w:val="20"/>
              </w:rPr>
              <w:t xml:space="preserve">System prompt = the job description for your AI. Define WHO, WHAT, HOW, and constraints.</w:t>
            </w:r>
          </w:p>
          <w:p>
            <w:pPr>
              <w:spacing w:after="20" w:before="20"/>
            </w:pPr>
            <w:r>
              <w:rPr>
                <w:rFonts w:ascii="Calibri" w:cs="Calibri" w:eastAsia="Calibri" w:hAnsi="Calibri"/>
                <w:b w:val="false"/>
                <w:bCs w:val="false"/>
                <w:color w:val="2A2A2A"/>
                <w:sz w:val="20"/>
                <w:szCs w:val="20"/>
              </w:rPr>
              <w:t xml:space="preserve">Put stable instructions first, variable input last (maximizes prompt caching).</w:t>
            </w:r>
          </w:p>
          <w:p>
            <w:pPr>
              <w:spacing w:after="20" w:before="20"/>
            </w:pPr>
            <w:r>
              <w:rPr>
                <w:rFonts w:ascii="Calibri" w:cs="Calibri" w:eastAsia="Calibri" w:hAnsi="Calibri"/>
                <w:b/>
                <w:bCs/>
                <w:color w:val="1E5C4A"/>
                <w:sz w:val="20"/>
                <w:szCs w:val="20"/>
              </w:rPr>
              <w:t xml:space="preserve">Caching: </w:t>
            </w:r>
            <w:r>
              <w:rPr>
                <w:rFonts w:ascii="Calibri" w:cs="Calibri" w:eastAsia="Calibri" w:hAnsi="Calibri"/>
                <w:color w:val="2A2A2A"/>
                <w:sz w:val="20"/>
                <w:szCs w:val="20"/>
              </w:rPr>
              <w:t xml:space="preserve">Anthropic's prompt caching gives 90% discount on cached prefix tokens. Put system prompt + examples at the START.</w:t>
            </w:r>
          </w:p>
        </w:tc>
        <w:tc>
          <w:tcPr>
            <w:tcW w:type="dxa" w:w="4800"/>
            <w:vAlign w:val="top"/>
          </w:tcPr>
          <w:p>
            <w:pPr>
              <w:spacing w:after="20" w:before="40"/>
            </w:pPr>
            <w:r>
              <w:rPr>
                <w:rFonts w:ascii="Calibri" w:cs="Calibri" w:eastAsia="Calibri" w:hAnsi="Calibri"/>
                <w:b w:val="false"/>
                <w:bCs w:val="false"/>
                <w:color w:val="2A2A2A"/>
                <w:sz w:val="20"/>
                <w:szCs w:val="20"/>
              </w:rPr>
              <w:t xml:space="preserve">System message sets behavior, persona, and constraints. Keep it focused and specific.</w:t>
            </w:r>
          </w:p>
          <w:p>
            <w:pPr>
              <w:spacing w:after="20" w:before="20"/>
            </w:pPr>
            <w:r>
              <w:rPr>
                <w:rFonts w:ascii="Calibri" w:cs="Calibri" w:eastAsia="Calibri" w:hAnsi="Calibri"/>
                <w:b w:val="false"/>
                <w:bCs w:val="false"/>
                <w:color w:val="2A2A2A"/>
                <w:sz w:val="20"/>
                <w:szCs w:val="20"/>
              </w:rPr>
              <w:t xml:space="preserve">OpenAI caches identical prompt prefixes &gt; 1024 tokens at 50% discount automatically.</w:t>
            </w:r>
          </w:p>
          <w:p>
            <w:pPr>
              <w:spacing w:after="20" w:before="20"/>
            </w:pPr>
            <w:r>
              <w:rPr>
                <w:rFonts w:ascii="Calibri" w:cs="Calibri" w:eastAsia="Calibri" w:hAnsi="Calibri"/>
                <w:b/>
                <w:bCs/>
                <w:color w:val="1E5C4A"/>
                <w:sz w:val="20"/>
                <w:szCs w:val="20"/>
              </w:rPr>
              <w:t xml:space="preserve">Caching: </w:t>
            </w:r>
            <w:r>
              <w:rPr>
                <w:rFonts w:ascii="Calibri" w:cs="Calibri" w:eastAsia="Calibri" w:hAnsi="Calibri"/>
                <w:color w:val="2A2A2A"/>
                <w:sz w:val="20"/>
                <w:szCs w:val="20"/>
              </w:rPr>
              <w:t xml:space="preserve">OpenAI's automatic prompt caching gives 50% discount. Same advice: stable content first, variable content last.</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Complex Tasks</w:t>
            </w:r>
          </w:p>
        </w:tc>
        <w:tc>
          <w:tcPr>
            <w:tcW w:type="dxa" w:w="4800"/>
            <w:vAlign w:val="top"/>
          </w:tcPr>
          <w:p>
            <w:pPr>
              <w:spacing w:after="20" w:before="40"/>
            </w:pPr>
            <w:r>
              <w:rPr>
                <w:rFonts w:ascii="Calibri" w:cs="Calibri" w:eastAsia="Calibri" w:hAnsi="Calibri"/>
                <w:b w:val="false"/>
                <w:bCs w:val="false"/>
                <w:color w:val="2A2A2A"/>
                <w:sz w:val="20"/>
                <w:szCs w:val="20"/>
              </w:rPr>
              <w:t xml:space="preserve">Prompt chaining: break into sequential steps. Output of Step 1 feeds into Step 2.</w:t>
            </w:r>
          </w:p>
          <w:p>
            <w:pPr>
              <w:spacing w:after="20" w:before="20"/>
            </w:pPr>
            <w:r>
              <w:rPr>
                <w:rFonts w:ascii="Calibri" w:cs="Calibri" w:eastAsia="Calibri" w:hAnsi="Calibri"/>
                <w:b w:val="false"/>
                <w:bCs w:val="false"/>
                <w:color w:val="2A2A2A"/>
                <w:sz w:val="20"/>
                <w:szCs w:val="20"/>
              </w:rPr>
              <w:t xml:space="preserve">Anthropic calls this 'the most effective way to handle complex workflows.'</w:t>
            </w:r>
          </w:p>
          <w:p>
            <w:pPr>
              <w:spacing w:after="20" w:before="20"/>
            </w:pPr>
            <w:r>
              <w:rPr>
                <w:rFonts w:ascii="Calibri" w:cs="Calibri" w:eastAsia="Calibri" w:hAnsi="Calibri"/>
                <w:b/>
                <w:bCs/>
                <w:color w:val="1E5C4A"/>
                <w:sz w:val="20"/>
                <w:szCs w:val="20"/>
              </w:rPr>
              <w:t xml:space="preserve">Agentic: </w:t>
            </w:r>
            <w:r>
              <w:rPr>
                <w:rFonts w:ascii="Calibri" w:cs="Calibri" w:eastAsia="Calibri" w:hAnsi="Calibri"/>
                <w:color w:val="2A2A2A"/>
                <w:sz w:val="20"/>
                <w:szCs w:val="20"/>
              </w:rPr>
              <w:t xml:space="preserve">For agents, curate a minimal set of tools. Do NOT stuff every edge case into the prompt. Use examples instead of rules.</w:t>
            </w:r>
          </w:p>
        </w:tc>
        <w:tc>
          <w:tcPr>
            <w:tcW w:type="dxa" w:w="4800"/>
            <w:vAlign w:val="top"/>
          </w:tcPr>
          <w:p>
            <w:pPr>
              <w:spacing w:after="20" w:before="40"/>
            </w:pPr>
            <w:r>
              <w:rPr>
                <w:rFonts w:ascii="Calibri" w:cs="Calibri" w:eastAsia="Calibri" w:hAnsi="Calibri"/>
                <w:b w:val="false"/>
                <w:bCs w:val="false"/>
                <w:color w:val="2A2A2A"/>
                <w:sz w:val="20"/>
                <w:szCs w:val="20"/>
              </w:rPr>
              <w:t xml:space="preserve">Split complex tasks into simpler subtasks. Use intent classification to route queries.</w:t>
            </w:r>
          </w:p>
          <w:p>
            <w:pPr>
              <w:spacing w:after="20" w:before="20"/>
            </w:pPr>
            <w:r>
              <w:rPr>
                <w:rFonts w:ascii="Calibri" w:cs="Calibri" w:eastAsia="Calibri" w:hAnsi="Calibri"/>
                <w:b w:val="false"/>
                <w:bCs w:val="false"/>
                <w:color w:val="2A2A2A"/>
                <w:sz w:val="20"/>
                <w:szCs w:val="20"/>
              </w:rPr>
              <w:t xml:space="preserve">For long documents, use embeddings to find relevant sections before prompting.</w:t>
            </w:r>
          </w:p>
          <w:p>
            <w:pPr>
              <w:spacing w:after="20" w:before="20"/>
            </w:pPr>
            <w:r>
              <w:rPr>
                <w:rFonts w:ascii="Calibri" w:cs="Calibri" w:eastAsia="Calibri" w:hAnsi="Calibri"/>
                <w:b/>
                <w:bCs/>
                <w:color w:val="1E5C4A"/>
                <w:sz w:val="20"/>
                <w:szCs w:val="20"/>
              </w:rPr>
              <w:t xml:space="preserve">Agentic: </w:t>
            </w:r>
            <w:r>
              <w:rPr>
                <w:rFonts w:ascii="Calibri" w:cs="Calibri" w:eastAsia="Calibri" w:hAnsi="Calibri"/>
                <w:color w:val="2A2A2A"/>
                <w:sz w:val="20"/>
                <w:szCs w:val="20"/>
              </w:rPr>
              <w:t xml:space="preserve">Use structured tool definitions. Pin production apps to specific model snapshots for consistency.</w:t>
            </w:r>
          </w:p>
        </w:tc>
      </w:tr>
      <w:tr>
        <w:tc>
          <w:tcPr>
            <w:tcW w:type="dxa" w:w="1800"/>
            <w:shd w:fill="F5F5F5" w:val="clear"/>
            <w:vAlign w:val="top"/>
          </w:tcPr>
          <w:p>
            <w:pPr>
              <w:spacing w:after="20" w:before="40"/>
            </w:pPr>
            <w:r>
              <w:rPr>
                <w:rFonts w:ascii="Calibri" w:cs="Calibri" w:eastAsia="Calibri" w:hAnsi="Calibri"/>
                <w:b/>
                <w:bCs/>
                <w:color w:val="1E5C4A"/>
                <w:sz w:val="20"/>
                <w:szCs w:val="20"/>
              </w:rPr>
              <w:t xml:space="preserve">Testing &amp; Iteration</w:t>
            </w:r>
          </w:p>
        </w:tc>
        <w:tc>
          <w:tcPr>
            <w:tcW w:type="dxa" w:w="4800"/>
            <w:vAlign w:val="top"/>
          </w:tcPr>
          <w:p>
            <w:pPr>
              <w:spacing w:after="20" w:before="40"/>
            </w:pPr>
            <w:r>
              <w:rPr>
                <w:rFonts w:ascii="Calibri" w:cs="Calibri" w:eastAsia="Calibri" w:hAnsi="Calibri"/>
                <w:b w:val="false"/>
                <w:bCs w:val="false"/>
                <w:color w:val="2A2A2A"/>
                <w:sz w:val="20"/>
                <w:szCs w:val="20"/>
              </w:rPr>
              <w:t xml:space="preserve">Build evaluation criteria BEFORE writing prompts. Test against 20+ diverse inputs.</w:t>
            </w:r>
          </w:p>
          <w:p>
            <w:pPr>
              <w:spacing w:after="20" w:before="20"/>
            </w:pPr>
            <w:r>
              <w:rPr>
                <w:rFonts w:ascii="Calibri" w:cs="Calibri" w:eastAsia="Calibri" w:hAnsi="Calibri"/>
                <w:b w:val="false"/>
                <w:bCs w:val="false"/>
                <w:color w:val="2A2A2A"/>
                <w:sz w:val="20"/>
                <w:szCs w:val="20"/>
              </w:rPr>
              <w:t xml:space="preserve">Use the Anthropic Workbench prompt improver: submit prompt + feedback + examples.</w:t>
            </w:r>
          </w:p>
          <w:p>
            <w:pPr>
              <w:spacing w:after="20" w:before="20"/>
            </w:pPr>
            <w:r>
              <w:rPr>
                <w:rFonts w:ascii="Calibri" w:cs="Calibri" w:eastAsia="Calibri" w:hAnsi="Calibri"/>
                <w:b/>
                <w:bCs/>
                <w:color w:val="1E5C4A"/>
                <w:sz w:val="20"/>
                <w:szCs w:val="20"/>
              </w:rPr>
              <w:t xml:space="preserve">Process: </w:t>
            </w:r>
            <w:r>
              <w:rPr>
                <w:rFonts w:ascii="Calibri" w:cs="Calibri" w:eastAsia="Calibri" w:hAnsi="Calibri"/>
                <w:color w:val="2A2A2A"/>
                <w:sz w:val="20"/>
                <w:szCs w:val="20"/>
              </w:rPr>
              <w:t xml:space="preserve">Define success criteria, build evals, write prompt, test, iterate. Treat it like software engineering.</w:t>
            </w:r>
          </w:p>
        </w:tc>
        <w:tc>
          <w:tcPr>
            <w:tcW w:type="dxa" w:w="4800"/>
            <w:vAlign w:val="top"/>
          </w:tcPr>
          <w:p>
            <w:pPr>
              <w:spacing w:after="20" w:before="40"/>
            </w:pPr>
            <w:r>
              <w:rPr>
                <w:rFonts w:ascii="Calibri" w:cs="Calibri" w:eastAsia="Calibri" w:hAnsi="Calibri"/>
                <w:b w:val="false"/>
                <w:bCs w:val="false"/>
                <w:color w:val="2A2A2A"/>
                <w:sz w:val="20"/>
                <w:szCs w:val="20"/>
              </w:rPr>
              <w:t xml:space="preserve">Build tests and evaluation suites. Monitor performance across model versions.</w:t>
            </w:r>
          </w:p>
          <w:p>
            <w:pPr>
              <w:spacing w:after="20" w:before="20"/>
            </w:pPr>
            <w:r>
              <w:rPr>
                <w:rFonts w:ascii="Calibri" w:cs="Calibri" w:eastAsia="Calibri" w:hAnsi="Calibri"/>
                <w:b w:val="false"/>
                <w:bCs w:val="false"/>
                <w:color w:val="2A2A2A"/>
                <w:sz w:val="20"/>
                <w:szCs w:val="20"/>
              </w:rPr>
              <w:t xml:space="preserve">Pin production apps to specific model snapshots (e.g., gpt-4.1-2025-04-14).</w:t>
            </w:r>
          </w:p>
          <w:p>
            <w:pPr>
              <w:spacing w:after="20" w:before="20"/>
            </w:pPr>
            <w:r>
              <w:rPr>
                <w:rFonts w:ascii="Calibri" w:cs="Calibri" w:eastAsia="Calibri" w:hAnsi="Calibri"/>
                <w:b/>
                <w:bCs/>
                <w:color w:val="1E5C4A"/>
                <w:sz w:val="20"/>
                <w:szCs w:val="20"/>
              </w:rPr>
              <w:t xml:space="preserve">Process: </w:t>
            </w:r>
            <w:r>
              <w:rPr>
                <w:rFonts w:ascii="Calibri" w:cs="Calibri" w:eastAsia="Calibri" w:hAnsi="Calibri"/>
                <w:color w:val="2A2A2A"/>
                <w:sz w:val="20"/>
                <w:szCs w:val="20"/>
              </w:rPr>
              <w:t xml:space="preserve">Use OpenAI's Prompt Optimizer tool. Run A/B tests with multiple variations. Measure accuracy as a percentage.</w:t>
            </w:r>
          </w:p>
        </w:tc>
      </w:tr>
    </w:tbl>
    <w:p>
      <w:pPr>
        <w:spacing w:after="80" w:before="300"/>
      </w:pPr>
      <w:r>
        <w:rPr>
          <w:rFonts w:ascii="Cambria" w:cs="Cambria" w:eastAsia="Cambria" w:hAnsi="Cambria"/>
          <w:b/>
          <w:bCs/>
          <w:color w:val="1E5C4A"/>
          <w:sz w:val="24"/>
          <w:szCs w:val="24"/>
        </w:rPr>
        <w:t xml:space="preserve">Where They Agree (use these regardless of provider):</w:t>
      </w:r>
    </w:p>
    <w:p>
      <w:pPr>
        <w:spacing w:after="40"/>
      </w:pPr>
      <w:r>
        <w:rPr>
          <w:rFonts w:ascii="Calibri" w:cs="Calibri" w:eastAsia="Calibri" w:hAnsi="Calibri"/>
          <w:color w:val="2A2A2A"/>
          <w:sz w:val="20"/>
          <w:szCs w:val="20"/>
        </w:rPr>
        <w:t xml:space="preserve">1. Be clear and specific, not vague.  2. Use examples (few-shot) for ambiguous tasks.  3. Separate instructions from data with delimiters.  4. Ask for step-by-step reasoning on complex problems.  5. Test and iterate: treat prompts like code, not one-time messages.  6. Put stable content first, variable content last (prompt caching).  7. Break complex tasks into smaller steps (prompt chaining).  8. Define what the model should NOT do (negative constraints).</w:t>
      </w:r>
    </w:p>
    <w:p>
      <w:pPr>
        <w:spacing w:after="40" w:before="200"/>
      </w:pPr>
      <w:r>
        <w:rPr>
          <w:rFonts w:ascii="Cambria" w:cs="Cambria" w:eastAsia="Cambria" w:hAnsi="Cambria"/>
          <w:b/>
          <w:bCs/>
          <w:color w:val="C94F1E"/>
          <w:sz w:val="24"/>
          <w:szCs w:val="24"/>
        </w:rPr>
        <w:t xml:space="preserve">Where They Differ:</w:t>
      </w:r>
    </w:p>
    <w:p>
      <w:pPr>
        <w:spacing w:after="40"/>
      </w:pPr>
      <w:r>
        <w:rPr>
          <w:rFonts w:ascii="Calibri" w:cs="Calibri" w:eastAsia="Calibri" w:hAnsi="Calibri"/>
          <w:color w:val="2A2A2A"/>
          <w:sz w:val="20"/>
          <w:szCs w:val="20"/>
        </w:rPr>
        <w:t xml:space="preserve">Anthropic prefers XML tags as delimiters; OpenAI is more flexible (triple quotes, backticks, XML all work).  Anthropic supports prefilling (starting the AI's response); OpenAI does not.  OpenAI offers response_format for guaranteed JSON; Anthropic relies on prompt-based JSON control.  Anthropic has extended thinking (automated CoT); OpenAI has reasoning models (o1, o3) for the same purpose.  Anthropic's caching gives 90% discount; OpenAI's gives 50%.  Both are converging: the core principles are nearly identical across providers.</w:t>
      </w:r>
    </w:p>
    <w:p>
      <w:pPr>
        <w:spacing w:before="200"/>
      </w:pPr>
      <w:r>
        <w:rPr>
          <w:rFonts w:ascii="Calibri" w:cs="Calibri" w:eastAsia="Calibri" w:hAnsi="Calibri"/>
          <w:b/>
          <w:bCs/>
          <w:color w:val="888888"/>
          <w:sz w:val="18"/>
          <w:szCs w:val="18"/>
        </w:rPr>
        <w:t xml:space="preserve">Sources: </w:t>
      </w:r>
      <w:r>
        <w:rPr>
          <w:rFonts w:ascii="Calibri" w:cs="Calibri" w:eastAsia="Calibri" w:hAnsi="Calibri"/>
          <w:color w:val="888888"/>
          <w:sz w:val="18"/>
          <w:szCs w:val="18"/>
        </w:rPr>
        <w:t xml:space="preserve">Anthropic: docs.anthropic.com/en/docs/build-with-claude/prompt-engineering  |  OpenAI: platform.openai.com/docs/guides/prompt-engineering  |  Week 3, Applied GenAI Engineering Program, GenAIEducate</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2026-07-11T09:49:52.152Z</dcterms:created>
  <dcterms:modified xsi:type="dcterms:W3CDTF">2026-07-11T09:49:52.180Z</dcterms:modified>
</cp:coreProperties>
</file>

<file path=docProps/custom.xml><?xml version="1.0" encoding="utf-8"?>
<Properties xmlns="http://schemas.openxmlformats.org/officeDocument/2006/custom-properties" xmlns:vt="http://schemas.openxmlformats.org/officeDocument/2006/docPropsVTypes"/>
</file>